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eastAsia" w:ascii="黑体" w:hAnsi="黑体" w:eastAsia="黑体" w:cs="黑体"/>
          <w:b w:val="0"/>
          <w:bCs w:val="0"/>
          <w:color w:val="000000" w:themeColor="text1"/>
          <w:spacing w:val="1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10"/>
          <w:sz w:val="32"/>
          <w:szCs w:val="32"/>
          <w:lang w:eastAsia="zh-CN"/>
          <w14:textFill>
            <w14:solidFill>
              <w14:schemeClr w14:val="tx1"/>
            </w14:solidFill>
          </w14:textFill>
        </w:rPr>
        <w:t>附件</w:t>
      </w:r>
      <w:r>
        <w:rPr>
          <w:rFonts w:hint="eastAsia" w:ascii="黑体" w:hAnsi="黑体" w:eastAsia="黑体" w:cs="黑体"/>
          <w:b w:val="0"/>
          <w:bCs w:val="0"/>
          <w:color w:val="000000" w:themeColor="text1"/>
          <w:spacing w:val="10"/>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right"/>
        <w:textAlignment w:val="auto"/>
        <w:rPr>
          <w:rFonts w:hint="eastAsia" w:ascii="方正小标宋简体" w:hAnsi="方正小标宋简体" w:eastAsia="方正小标宋简体" w:cs="方正小标宋简体"/>
          <w:b w:val="0"/>
          <w:bCs w:val="0"/>
          <w:color w:val="000000" w:themeColor="text1"/>
          <w:spacing w:val="2"/>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2"/>
          <w:sz w:val="42"/>
          <w:szCs w:val="42"/>
          <w14:textFill>
            <w14:solidFill>
              <w14:schemeClr w14:val="tx1"/>
            </w14:solidFill>
          </w14:textFill>
        </w:rPr>
        <w:t>2022年度</w:t>
      </w:r>
      <w:r>
        <w:rPr>
          <w:rFonts w:hint="eastAsia" w:ascii="方正小标宋简体" w:hAnsi="方正小标宋简体" w:eastAsia="方正小标宋简体" w:cs="方正小标宋简体"/>
          <w:b w:val="0"/>
          <w:bCs w:val="0"/>
          <w:color w:val="000000" w:themeColor="text1"/>
          <w:spacing w:val="2"/>
          <w:sz w:val="42"/>
          <w:szCs w:val="42"/>
          <w:lang w:eastAsia="zh-CN"/>
          <w14:textFill>
            <w14:solidFill>
              <w14:schemeClr w14:val="tx1"/>
            </w14:solidFill>
          </w14:textFill>
        </w:rPr>
        <w:t>预算单位</w:t>
      </w:r>
      <w:r>
        <w:rPr>
          <w:rFonts w:hint="eastAsia" w:ascii="方正小标宋简体" w:hAnsi="方正小标宋简体" w:eastAsia="方正小标宋简体" w:cs="方正小标宋简体"/>
          <w:b w:val="0"/>
          <w:bCs w:val="0"/>
          <w:color w:val="000000" w:themeColor="text1"/>
          <w:spacing w:val="2"/>
          <w:sz w:val="42"/>
          <w:szCs w:val="42"/>
          <w14:textFill>
            <w14:solidFill>
              <w14:schemeClr w14:val="tx1"/>
            </w14:solidFill>
          </w14:textFill>
        </w:rPr>
        <w:t>整体支出绩效评价基础数据表</w:t>
      </w:r>
    </w:p>
    <w:p>
      <w:pPr>
        <w:spacing w:line="115" w:lineRule="exact"/>
        <w:rPr>
          <w:color w:val="000000" w:themeColor="text1"/>
          <w14:textFill>
            <w14:solidFill>
              <w14:schemeClr w14:val="tx1"/>
            </w14:solidFill>
          </w14:textFill>
        </w:rPr>
      </w:pPr>
    </w:p>
    <w:tbl>
      <w:tblPr>
        <w:tblStyle w:val="8"/>
        <w:tblW w:w="96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50"/>
        <w:gridCol w:w="825"/>
        <w:gridCol w:w="990"/>
        <w:gridCol w:w="1140"/>
        <w:gridCol w:w="1185"/>
        <w:gridCol w:w="810"/>
        <w:gridCol w:w="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3850" w:type="dxa"/>
            <w:tcBorders>
              <w:bottom w:val="nil"/>
            </w:tcBorders>
            <w:vAlign w:val="center"/>
          </w:tcPr>
          <w:p>
            <w:pPr>
              <w:spacing w:before="33" w:line="198" w:lineRule="auto"/>
              <w:ind w:right="118" w:rightChars="0"/>
              <w:jc w:val="center"/>
              <w:rPr>
                <w:rFonts w:hint="eastAsia" w:asciiTheme="majorEastAsia" w:hAnsiTheme="majorEastAsia" w:eastAsiaTheme="majorEastAsia" w:cstheme="majorEastAsia"/>
                <w:color w:val="000000" w:themeColor="text1"/>
                <w:spacing w:val="2"/>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预算</w:t>
            </w:r>
            <w:r>
              <w:rPr>
                <w:rFonts w:hint="eastAsia" w:asciiTheme="majorEastAsia" w:hAnsiTheme="majorEastAsia" w:eastAsiaTheme="majorEastAsia" w:cstheme="majorEastAsia"/>
                <w:color w:val="000000" w:themeColor="text1"/>
                <w:spacing w:val="2"/>
                <w:sz w:val="24"/>
                <w:szCs w:val="24"/>
                <w:lang w:eastAsia="zh-CN"/>
                <w14:textFill>
                  <w14:solidFill>
                    <w14:schemeClr w14:val="tx1"/>
                  </w14:solidFill>
                </w14:textFill>
              </w:rPr>
              <w:t>单位</w:t>
            </w: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名称</w:t>
            </w:r>
          </w:p>
        </w:tc>
        <w:tc>
          <w:tcPr>
            <w:tcW w:w="5819" w:type="dxa"/>
            <w:gridSpan w:val="6"/>
            <w:vAlign w:val="top"/>
          </w:tcPr>
          <w:p>
            <w:pPr>
              <w:spacing w:before="103" w:line="219" w:lineRule="auto"/>
              <w:ind w:left="708"/>
              <w:jc w:val="center"/>
              <w:rPr>
                <w:rFonts w:hint="eastAsia" w:asciiTheme="majorEastAsia" w:hAnsiTheme="majorEastAsia" w:eastAsiaTheme="majorEastAsia" w:cstheme="majorEastAsia"/>
                <w:color w:val="000000" w:themeColor="text1"/>
                <w:spacing w:val="-2"/>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lang w:eastAsia="zh-CN"/>
                <w14:textFill>
                  <w14:solidFill>
                    <w14:schemeClr w14:val="tx1"/>
                  </w14:solidFill>
                </w14:textFill>
              </w:rPr>
              <w:t>岳阳市生态环境局平江分局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3850" w:type="dxa"/>
            <w:vMerge w:val="restart"/>
            <w:tcBorders>
              <w:bottom w:val="nil"/>
            </w:tcBorders>
            <w:vAlign w:val="top"/>
          </w:tcPr>
          <w:p>
            <w:pPr>
              <w:spacing w:before="262" w:line="219" w:lineRule="auto"/>
              <w:ind w:left="575"/>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3"/>
                <w:sz w:val="24"/>
                <w:szCs w:val="24"/>
                <w14:textFill>
                  <w14:solidFill>
                    <w14:schemeClr w14:val="tx1"/>
                  </w14:solidFill>
                </w14:textFill>
              </w:rPr>
              <w:t>财政供养人员情况(人)</w:t>
            </w:r>
          </w:p>
        </w:tc>
        <w:tc>
          <w:tcPr>
            <w:tcW w:w="1815" w:type="dxa"/>
            <w:gridSpan w:val="2"/>
            <w:vAlign w:val="top"/>
          </w:tcPr>
          <w:p>
            <w:pPr>
              <w:spacing w:before="103" w:line="219"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3"/>
                <w:sz w:val="24"/>
                <w:szCs w:val="24"/>
                <w14:textFill>
                  <w14:solidFill>
                    <w14:schemeClr w14:val="tx1"/>
                  </w14:solidFill>
                </w14:textFill>
              </w:rPr>
              <w:t>编制数</w:t>
            </w:r>
          </w:p>
        </w:tc>
        <w:tc>
          <w:tcPr>
            <w:tcW w:w="2325" w:type="dxa"/>
            <w:gridSpan w:val="2"/>
            <w:vAlign w:val="top"/>
          </w:tcPr>
          <w:p>
            <w:pPr>
              <w:spacing w:before="83" w:line="219"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2022年实际在职人数</w:t>
            </w:r>
          </w:p>
        </w:tc>
        <w:tc>
          <w:tcPr>
            <w:tcW w:w="1679" w:type="dxa"/>
            <w:gridSpan w:val="2"/>
            <w:vAlign w:val="top"/>
          </w:tcPr>
          <w:p>
            <w:pPr>
              <w:spacing w:before="103" w:line="219" w:lineRule="auto"/>
              <w:ind w:left="708"/>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控制率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850" w:type="dxa"/>
            <w:vMerge w:val="continue"/>
            <w:tcBorders>
              <w:top w:val="nil"/>
            </w:tcBorders>
            <w:vAlign w:val="top"/>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1815" w:type="dxa"/>
            <w:gridSpan w:val="2"/>
            <w:vAlign w:val="top"/>
          </w:tcPr>
          <w:p>
            <w:pPr>
              <w:jc w:val="cente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74</w:t>
            </w:r>
          </w:p>
        </w:tc>
        <w:tc>
          <w:tcPr>
            <w:tcW w:w="2325" w:type="dxa"/>
            <w:gridSpan w:val="2"/>
            <w:vAlign w:val="top"/>
          </w:tcPr>
          <w:p>
            <w:pPr>
              <w:jc w:val="cente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90</w:t>
            </w:r>
          </w:p>
        </w:tc>
        <w:tc>
          <w:tcPr>
            <w:tcW w:w="1679" w:type="dxa"/>
            <w:gridSpan w:val="2"/>
            <w:vAlign w:val="top"/>
          </w:tcPr>
          <w:p>
            <w:pPr>
              <w:jc w:val="cente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850" w:type="dxa"/>
            <w:vAlign w:val="top"/>
          </w:tcPr>
          <w:p>
            <w:pPr>
              <w:spacing w:before="140" w:line="202" w:lineRule="auto"/>
              <w:ind w:left="68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4"/>
                <w:sz w:val="24"/>
                <w:szCs w:val="24"/>
                <w14:textFill>
                  <w14:solidFill>
                    <w14:schemeClr w14:val="tx1"/>
                  </w14:solidFill>
                </w14:textFill>
              </w:rPr>
              <w:t>经费控制情况(万元)</w:t>
            </w:r>
          </w:p>
        </w:tc>
        <w:tc>
          <w:tcPr>
            <w:tcW w:w="1815" w:type="dxa"/>
            <w:gridSpan w:val="2"/>
            <w:vAlign w:val="top"/>
          </w:tcPr>
          <w:p>
            <w:pPr>
              <w:spacing w:before="119" w:line="219"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2021年决算数</w:t>
            </w:r>
          </w:p>
        </w:tc>
        <w:tc>
          <w:tcPr>
            <w:tcW w:w="2325" w:type="dxa"/>
            <w:gridSpan w:val="2"/>
            <w:vAlign w:val="top"/>
          </w:tcPr>
          <w:p>
            <w:pPr>
              <w:spacing w:before="119" w:line="219"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2022年预算数</w:t>
            </w:r>
          </w:p>
        </w:tc>
        <w:tc>
          <w:tcPr>
            <w:tcW w:w="1679" w:type="dxa"/>
            <w:gridSpan w:val="2"/>
            <w:vAlign w:val="top"/>
          </w:tcPr>
          <w:p>
            <w:pPr>
              <w:spacing w:before="76" w:line="219" w:lineRule="auto"/>
              <w:jc w:val="cente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pacing w:val="-4"/>
                <w:sz w:val="24"/>
                <w:szCs w:val="24"/>
                <w14:textFill>
                  <w14:solidFill>
                    <w14:schemeClr w14:val="tx1"/>
                  </w14:solidFill>
                </w14:textFill>
              </w:rPr>
              <w:t>2022年决算数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850" w:type="dxa"/>
            <w:vAlign w:val="top"/>
          </w:tcPr>
          <w:p>
            <w:pPr>
              <w:spacing w:before="141" w:line="202" w:lineRule="auto"/>
              <w:ind w:left="11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3"/>
                <w:sz w:val="24"/>
                <w:szCs w:val="24"/>
                <w14:textFill>
                  <w14:solidFill>
                    <w14:schemeClr w14:val="tx1"/>
                  </w14:solidFill>
                </w14:textFill>
              </w:rPr>
              <w:t>三公经费</w:t>
            </w:r>
          </w:p>
        </w:tc>
        <w:tc>
          <w:tcPr>
            <w:tcW w:w="1815" w:type="dxa"/>
            <w:gridSpan w:val="2"/>
            <w:vAlign w:val="top"/>
          </w:tcPr>
          <w:p>
            <w:pPr>
              <w:jc w:val="center"/>
              <w:rPr>
                <w:rFonts w:hint="eastAsia" w:asciiTheme="majorEastAsia" w:hAnsiTheme="majorEastAsia" w:eastAsiaTheme="majorEastAsia" w:cstheme="majorEastAsia"/>
                <w:b/>
                <w:bCs/>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4"/>
                <w:szCs w:val="24"/>
                <w:lang w:val="en-US" w:eastAsia="zh-CN"/>
                <w14:textFill>
                  <w14:solidFill>
                    <w14:schemeClr w14:val="tx1"/>
                  </w14:solidFill>
                </w14:textFill>
              </w:rPr>
              <w:t>5.60</w:t>
            </w:r>
          </w:p>
        </w:tc>
        <w:tc>
          <w:tcPr>
            <w:tcW w:w="2325" w:type="dxa"/>
            <w:gridSpan w:val="2"/>
            <w:vAlign w:val="top"/>
          </w:tcPr>
          <w:p>
            <w:pPr>
              <w:jc w:val="center"/>
              <w:rPr>
                <w:rFonts w:hint="eastAsia" w:asciiTheme="majorEastAsia" w:hAnsiTheme="majorEastAsia" w:eastAsiaTheme="majorEastAsia" w:cstheme="majorEastAsia"/>
                <w:b/>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
                <w:bCs/>
                <w:color w:val="000000" w:themeColor="text1"/>
                <w:sz w:val="24"/>
                <w:szCs w:val="24"/>
                <w14:textFill>
                  <w14:solidFill>
                    <w14:schemeClr w14:val="tx1"/>
                  </w14:solidFill>
                </w14:textFill>
              </w:rPr>
              <w:t>10.5</w:t>
            </w:r>
          </w:p>
        </w:tc>
        <w:tc>
          <w:tcPr>
            <w:tcW w:w="1679" w:type="dxa"/>
            <w:gridSpan w:val="2"/>
            <w:vAlign w:val="top"/>
          </w:tcPr>
          <w:p>
            <w:pPr>
              <w:jc w:val="center"/>
              <w:rPr>
                <w:rFonts w:hint="eastAsia" w:asciiTheme="majorEastAsia" w:hAnsiTheme="majorEastAsia" w:eastAsiaTheme="majorEastAsia" w:cstheme="majorEastAsia"/>
                <w:b/>
                <w:bCs/>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4"/>
                <w:szCs w:val="24"/>
                <w:lang w:val="en-US" w:eastAsia="zh-CN"/>
                <w14:textFill>
                  <w14:solidFill>
                    <w14:schemeClr w14:val="tx1"/>
                  </w14:solidFill>
                </w14:textFill>
              </w:rPr>
              <w:t>8.41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850" w:type="dxa"/>
            <w:vAlign w:val="top"/>
          </w:tcPr>
          <w:p>
            <w:pPr>
              <w:spacing w:before="149" w:line="193" w:lineRule="auto"/>
              <w:ind w:left="41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1、公务用车购置和维护经费</w:t>
            </w:r>
          </w:p>
        </w:tc>
        <w:tc>
          <w:tcPr>
            <w:tcW w:w="1815"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2.25</w:t>
            </w:r>
          </w:p>
        </w:tc>
        <w:tc>
          <w:tcPr>
            <w:tcW w:w="2325"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5</w:t>
            </w:r>
          </w:p>
        </w:tc>
        <w:tc>
          <w:tcPr>
            <w:tcW w:w="1679" w:type="dxa"/>
            <w:gridSpan w:val="2"/>
            <w:vAlign w:val="top"/>
          </w:tcPr>
          <w:p>
            <w:pPr>
              <w:jc w:val="center"/>
              <w:rPr>
                <w:rFonts w:hint="eastAsia" w:asciiTheme="majorEastAsia" w:hAnsiTheme="majorEastAsia" w:eastAsiaTheme="majorEastAsia" w:cstheme="majorEastAsia"/>
                <w:color w:val="000000" w:themeColor="text1"/>
                <w:sz w:val="21"/>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5.98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850" w:type="dxa"/>
            <w:vAlign w:val="top"/>
          </w:tcPr>
          <w:p>
            <w:pPr>
              <w:spacing w:before="81" w:line="219" w:lineRule="auto"/>
              <w:ind w:left="81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其中：公车购置</w:t>
            </w:r>
          </w:p>
        </w:tc>
        <w:tc>
          <w:tcPr>
            <w:tcW w:w="1815"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c>
          <w:tcPr>
            <w:tcW w:w="2325"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c>
          <w:tcPr>
            <w:tcW w:w="1679"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3850" w:type="dxa"/>
            <w:vAlign w:val="top"/>
          </w:tcPr>
          <w:p>
            <w:pPr>
              <w:spacing w:before="91" w:line="219" w:lineRule="auto"/>
              <w:ind w:left="142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公车运行维护</w:t>
            </w:r>
          </w:p>
        </w:tc>
        <w:tc>
          <w:tcPr>
            <w:tcW w:w="1815"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2.25</w:t>
            </w:r>
          </w:p>
        </w:tc>
        <w:tc>
          <w:tcPr>
            <w:tcW w:w="2325" w:type="dxa"/>
            <w:gridSpan w:val="2"/>
            <w:vAlign w:val="top"/>
          </w:tcPr>
          <w:p>
            <w:pPr>
              <w:jc w:val="center"/>
              <w:rPr>
                <w:rFonts w:hint="eastAsia" w:asciiTheme="majorEastAsia" w:hAnsiTheme="majorEastAsia" w:eastAsiaTheme="majorEastAsia" w:cstheme="majorEastAsia"/>
                <w:color w:val="000000" w:themeColor="text1"/>
                <w:sz w:val="21"/>
                <w14:textFill>
                  <w14:solidFill>
                    <w14:schemeClr w14:val="tx1"/>
                  </w14:solidFill>
                </w14:textFill>
              </w:rPr>
            </w:pPr>
            <w:r>
              <w:rPr>
                <w:rFonts w:hint="eastAsia" w:asciiTheme="majorEastAsia" w:hAnsiTheme="majorEastAsia" w:eastAsiaTheme="majorEastAsia" w:cstheme="majorEastAsia"/>
                <w:color w:val="000000" w:themeColor="text1"/>
                <w:sz w:val="21"/>
                <w14:textFill>
                  <w14:solidFill>
                    <w14:schemeClr w14:val="tx1"/>
                  </w14:solidFill>
                </w14:textFill>
              </w:rPr>
              <w:t>5</w:t>
            </w:r>
          </w:p>
        </w:tc>
        <w:tc>
          <w:tcPr>
            <w:tcW w:w="1679"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5.98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850" w:type="dxa"/>
            <w:vAlign w:val="top"/>
          </w:tcPr>
          <w:p>
            <w:pPr>
              <w:spacing w:before="81" w:line="220" w:lineRule="auto"/>
              <w:ind w:left="38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2、出国经费</w:t>
            </w:r>
          </w:p>
        </w:tc>
        <w:tc>
          <w:tcPr>
            <w:tcW w:w="1815"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c>
          <w:tcPr>
            <w:tcW w:w="2325"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c>
          <w:tcPr>
            <w:tcW w:w="1679"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850" w:type="dxa"/>
            <w:vAlign w:val="top"/>
          </w:tcPr>
          <w:p>
            <w:pPr>
              <w:spacing w:before="82" w:line="219" w:lineRule="auto"/>
              <w:ind w:left="38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3、公务接待</w:t>
            </w:r>
          </w:p>
        </w:tc>
        <w:tc>
          <w:tcPr>
            <w:tcW w:w="1815"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3.35</w:t>
            </w:r>
          </w:p>
        </w:tc>
        <w:tc>
          <w:tcPr>
            <w:tcW w:w="2325" w:type="dxa"/>
            <w:gridSpan w:val="2"/>
            <w:vAlign w:val="top"/>
          </w:tcPr>
          <w:p>
            <w:pPr>
              <w:jc w:val="center"/>
              <w:rPr>
                <w:rFonts w:hint="eastAsia" w:asciiTheme="majorEastAsia" w:hAnsiTheme="majorEastAsia" w:eastAsiaTheme="majorEastAsia" w:cstheme="majorEastAsia"/>
                <w:color w:val="000000" w:themeColor="text1"/>
                <w:sz w:val="21"/>
                <w14:textFill>
                  <w14:solidFill>
                    <w14:schemeClr w14:val="tx1"/>
                  </w14:solidFill>
                </w14:textFill>
              </w:rPr>
            </w:pPr>
            <w:r>
              <w:rPr>
                <w:rFonts w:hint="eastAsia" w:asciiTheme="majorEastAsia" w:hAnsiTheme="majorEastAsia" w:eastAsiaTheme="majorEastAsia" w:cstheme="majorEastAsia"/>
                <w:color w:val="000000" w:themeColor="text1"/>
                <w:sz w:val="21"/>
                <w14:textFill>
                  <w14:solidFill>
                    <w14:schemeClr w14:val="tx1"/>
                  </w14:solidFill>
                </w14:textFill>
              </w:rPr>
              <w:t>5.5</w:t>
            </w:r>
          </w:p>
        </w:tc>
        <w:tc>
          <w:tcPr>
            <w:tcW w:w="1679"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850" w:type="dxa"/>
            <w:vAlign w:val="top"/>
          </w:tcPr>
          <w:p>
            <w:pPr>
              <w:spacing w:before="143" w:line="200" w:lineRule="auto"/>
              <w:ind w:left="8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9"/>
                <w:sz w:val="24"/>
                <w:szCs w:val="24"/>
                <w14:textFill>
                  <w14:solidFill>
                    <w14:schemeClr w14:val="tx1"/>
                  </w14:solidFill>
                </w14:textFill>
              </w:rPr>
              <w:t>项目支出：</w:t>
            </w:r>
          </w:p>
        </w:tc>
        <w:tc>
          <w:tcPr>
            <w:tcW w:w="1815" w:type="dxa"/>
            <w:gridSpan w:val="2"/>
            <w:vAlign w:val="top"/>
          </w:tcPr>
          <w:p>
            <w:pPr>
              <w:jc w:val="center"/>
              <w:rPr>
                <w:rFonts w:hint="eastAsia" w:asciiTheme="majorEastAsia" w:hAnsiTheme="majorEastAsia" w:eastAsiaTheme="majorEastAsia" w:cstheme="majorEastAsia"/>
                <w:b/>
                <w:bCs/>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lang w:val="en-US" w:eastAsia="zh-CN"/>
                <w14:textFill>
                  <w14:solidFill>
                    <w14:schemeClr w14:val="tx1"/>
                  </w14:solidFill>
                </w14:textFill>
              </w:rPr>
              <w:t>1086.46</w:t>
            </w:r>
          </w:p>
        </w:tc>
        <w:tc>
          <w:tcPr>
            <w:tcW w:w="2325" w:type="dxa"/>
            <w:gridSpan w:val="2"/>
            <w:vAlign w:val="top"/>
          </w:tcPr>
          <w:p>
            <w:pPr>
              <w:jc w:val="center"/>
              <w:rPr>
                <w:rFonts w:hint="default" w:asciiTheme="majorEastAsia" w:hAnsiTheme="majorEastAsia" w:eastAsiaTheme="majorEastAsia" w:cstheme="majorEastAsia"/>
                <w:b/>
                <w:bCs/>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lang w:val="en-US" w:eastAsia="zh-CN"/>
                <w14:textFill>
                  <w14:solidFill>
                    <w14:schemeClr w14:val="tx1"/>
                  </w14:solidFill>
                </w14:textFill>
              </w:rPr>
              <w:t>167.73</w:t>
            </w:r>
          </w:p>
        </w:tc>
        <w:tc>
          <w:tcPr>
            <w:tcW w:w="1679" w:type="dxa"/>
            <w:gridSpan w:val="2"/>
            <w:vAlign w:val="top"/>
          </w:tcPr>
          <w:p>
            <w:pPr>
              <w:jc w:val="center"/>
              <w:rPr>
                <w:rFonts w:hint="eastAsia" w:asciiTheme="majorEastAsia" w:hAnsiTheme="majorEastAsia" w:eastAsiaTheme="majorEastAsia" w:cstheme="majorEastAsia"/>
                <w:b/>
                <w:bCs/>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lang w:val="en-US" w:eastAsia="zh-CN"/>
                <w14:textFill>
                  <w14:solidFill>
                    <w14:schemeClr w14:val="tx1"/>
                  </w14:solidFill>
                </w14:textFill>
              </w:rPr>
              <w:t>716.66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850" w:type="dxa"/>
            <w:vAlign w:val="top"/>
          </w:tcPr>
          <w:p>
            <w:pPr>
              <w:spacing w:before="133" w:line="200" w:lineRule="auto"/>
              <w:ind w:left="38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1、业务工作经费</w:t>
            </w:r>
          </w:p>
        </w:tc>
        <w:tc>
          <w:tcPr>
            <w:tcW w:w="1815"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1086.46</w:t>
            </w:r>
          </w:p>
        </w:tc>
        <w:tc>
          <w:tcPr>
            <w:tcW w:w="2325" w:type="dxa"/>
            <w:gridSpan w:val="2"/>
            <w:vAlign w:val="top"/>
          </w:tcPr>
          <w:p>
            <w:pPr>
              <w:jc w:val="cente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167.73</w:t>
            </w:r>
          </w:p>
        </w:tc>
        <w:tc>
          <w:tcPr>
            <w:tcW w:w="1679"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716.66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3850" w:type="dxa"/>
            <w:vAlign w:val="top"/>
          </w:tcPr>
          <w:p>
            <w:pPr>
              <w:spacing w:before="143" w:line="209" w:lineRule="auto"/>
              <w:ind w:left="38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2、运行维护经费</w:t>
            </w:r>
          </w:p>
        </w:tc>
        <w:tc>
          <w:tcPr>
            <w:tcW w:w="1815"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c>
          <w:tcPr>
            <w:tcW w:w="2325"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c>
          <w:tcPr>
            <w:tcW w:w="1679"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850" w:type="dxa"/>
            <w:vAlign w:val="top"/>
          </w:tcPr>
          <w:p>
            <w:pPr>
              <w:jc w:val="left"/>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w:t>
            </w:r>
          </w:p>
        </w:tc>
        <w:tc>
          <w:tcPr>
            <w:tcW w:w="1815" w:type="dxa"/>
            <w:gridSpan w:val="2"/>
            <w:vAlign w:val="top"/>
          </w:tcPr>
          <w:p>
            <w:pPr>
              <w:jc w:val="cente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2325" w:type="dxa"/>
            <w:gridSpan w:val="2"/>
            <w:vAlign w:val="top"/>
          </w:tcPr>
          <w:p>
            <w:pPr>
              <w:jc w:val="cente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1679" w:type="dxa"/>
            <w:gridSpan w:val="2"/>
            <w:vAlign w:val="top"/>
          </w:tcPr>
          <w:p>
            <w:pPr>
              <w:jc w:val="center"/>
              <w:rPr>
                <w:rFonts w:hint="eastAsia" w:asciiTheme="majorEastAsia" w:hAnsiTheme="majorEastAsia" w:eastAsiaTheme="majorEastAsia" w:cstheme="majorEastAsia"/>
                <w:color w:val="000000" w:themeColor="text1"/>
                <w:sz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3850" w:type="dxa"/>
            <w:vAlign w:val="top"/>
          </w:tcPr>
          <w:p>
            <w:pPr>
              <w:spacing w:before="93" w:line="219" w:lineRule="auto"/>
              <w:ind w:firstLine="488" w:firstLineChars="2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3、</w:t>
            </w:r>
            <w:r>
              <w:rPr>
                <w:rFonts w:hint="eastAsia" w:asciiTheme="majorEastAsia" w:hAnsiTheme="majorEastAsia" w:eastAsiaTheme="majorEastAsia" w:cstheme="majorEastAsia"/>
                <w:color w:val="000000" w:themeColor="text1"/>
                <w:spacing w:val="2"/>
                <w:sz w:val="24"/>
                <w:szCs w:val="24"/>
                <w:lang w:eastAsia="zh-CN"/>
                <w14:textFill>
                  <w14:solidFill>
                    <w14:schemeClr w14:val="tx1"/>
                  </w14:solidFill>
                </w14:textFill>
              </w:rPr>
              <w:t>区</w:t>
            </w: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级专项资金</w:t>
            </w:r>
            <w:r>
              <w:rPr>
                <w:rFonts w:hint="eastAsia" w:asciiTheme="majorEastAsia" w:hAnsiTheme="majorEastAsia" w:eastAsiaTheme="majorEastAsia" w:cstheme="majorEastAsia"/>
                <w:color w:val="000000" w:themeColor="text1"/>
                <w:spacing w:val="2"/>
                <w:sz w:val="21"/>
                <w:szCs w:val="21"/>
                <w14:textFill>
                  <w14:solidFill>
                    <w14:schemeClr w14:val="tx1"/>
                  </w14:solidFill>
                </w14:textFill>
              </w:rPr>
              <w:t>(一个专项一行)</w:t>
            </w:r>
          </w:p>
        </w:tc>
        <w:tc>
          <w:tcPr>
            <w:tcW w:w="1815"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c>
          <w:tcPr>
            <w:tcW w:w="2325"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c>
          <w:tcPr>
            <w:tcW w:w="1679"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850" w:type="dxa"/>
            <w:vAlign w:val="top"/>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1815" w:type="dxa"/>
            <w:gridSpan w:val="2"/>
            <w:vAlign w:val="top"/>
          </w:tcPr>
          <w:p>
            <w:pPr>
              <w:jc w:val="cente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2325" w:type="dxa"/>
            <w:gridSpan w:val="2"/>
            <w:vAlign w:val="top"/>
          </w:tcPr>
          <w:p>
            <w:pPr>
              <w:jc w:val="cente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1679" w:type="dxa"/>
            <w:gridSpan w:val="2"/>
            <w:vAlign w:val="top"/>
          </w:tcPr>
          <w:p>
            <w:pPr>
              <w:jc w:val="center"/>
              <w:rPr>
                <w:rFonts w:hint="eastAsia" w:asciiTheme="majorEastAsia" w:hAnsiTheme="majorEastAsia" w:eastAsiaTheme="majorEastAsia" w:cstheme="majorEastAsia"/>
                <w:color w:val="000000" w:themeColor="text1"/>
                <w:sz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850" w:type="dxa"/>
            <w:vAlign w:val="top"/>
          </w:tcPr>
          <w:p>
            <w:pPr>
              <w:spacing w:before="85" w:line="220" w:lineRule="auto"/>
              <w:ind w:firstLine="492" w:firstLineChars="200"/>
              <w:jc w:val="left"/>
              <w:rPr>
                <w:rFonts w:hint="eastAsia" w:asciiTheme="majorEastAsia" w:hAnsiTheme="majorEastAsia" w:eastAsiaTheme="majorEastAsia" w:cstheme="majorEastAsia"/>
                <w:color w:val="000000" w:themeColor="text1"/>
                <w:spacing w:val="3"/>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pacing w:val="3"/>
                <w:sz w:val="24"/>
                <w:szCs w:val="24"/>
                <w:lang w:val="en-US" w:eastAsia="zh-CN"/>
                <w14:textFill>
                  <w14:solidFill>
                    <w14:schemeClr w14:val="tx1"/>
                  </w14:solidFill>
                </w14:textFill>
              </w:rPr>
              <w:t>4、上级转移支付</w:t>
            </w:r>
            <w:r>
              <w:rPr>
                <w:rFonts w:hint="eastAsia" w:asciiTheme="majorEastAsia" w:hAnsiTheme="majorEastAsia" w:eastAsiaTheme="majorEastAsia" w:cstheme="majorEastAsia"/>
                <w:color w:val="000000" w:themeColor="text1"/>
                <w:spacing w:val="2"/>
                <w:sz w:val="21"/>
                <w:szCs w:val="21"/>
                <w14:textFill>
                  <w14:solidFill>
                    <w14:schemeClr w14:val="tx1"/>
                  </w14:solidFill>
                </w14:textFill>
              </w:rPr>
              <w:t>(一个专项一行</w:t>
            </w:r>
            <w:r>
              <w:rPr>
                <w:rFonts w:hint="eastAsia" w:asciiTheme="majorEastAsia" w:hAnsiTheme="majorEastAsia" w:eastAsiaTheme="majorEastAsia" w:cstheme="majorEastAsia"/>
                <w:color w:val="000000" w:themeColor="text1"/>
                <w:spacing w:val="2"/>
                <w:sz w:val="21"/>
                <w:szCs w:val="21"/>
                <w:lang w:eastAsia="zh-CN"/>
                <w14:textFill>
                  <w14:solidFill>
                    <w14:schemeClr w14:val="tx1"/>
                  </w14:solidFill>
                </w14:textFill>
              </w:rPr>
              <w:t>）</w:t>
            </w:r>
          </w:p>
        </w:tc>
        <w:tc>
          <w:tcPr>
            <w:tcW w:w="1815"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c>
          <w:tcPr>
            <w:tcW w:w="2325"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c>
          <w:tcPr>
            <w:tcW w:w="1679"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850" w:type="dxa"/>
            <w:vAlign w:val="top"/>
          </w:tcPr>
          <w:p>
            <w:pPr>
              <w:spacing w:before="85" w:line="220" w:lineRule="auto"/>
              <w:ind w:left="9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3"/>
                <w:sz w:val="24"/>
                <w:szCs w:val="24"/>
                <w14:textFill>
                  <w14:solidFill>
                    <w14:schemeClr w14:val="tx1"/>
                  </w14:solidFill>
                </w14:textFill>
              </w:rPr>
              <w:t>公用经费</w:t>
            </w:r>
          </w:p>
        </w:tc>
        <w:tc>
          <w:tcPr>
            <w:tcW w:w="1815" w:type="dxa"/>
            <w:gridSpan w:val="2"/>
            <w:vAlign w:val="top"/>
          </w:tcPr>
          <w:p>
            <w:pPr>
              <w:jc w:val="center"/>
              <w:rPr>
                <w:rFonts w:hint="eastAsia" w:asciiTheme="majorEastAsia" w:hAnsiTheme="majorEastAsia" w:eastAsiaTheme="majorEastAsia" w:cstheme="majorEastAsia"/>
                <w:b/>
                <w:bCs/>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lang w:val="en-US" w:eastAsia="zh-CN"/>
                <w14:textFill>
                  <w14:solidFill>
                    <w14:schemeClr w14:val="tx1"/>
                  </w14:solidFill>
                </w14:textFill>
              </w:rPr>
              <w:t>157.52</w:t>
            </w:r>
          </w:p>
        </w:tc>
        <w:tc>
          <w:tcPr>
            <w:tcW w:w="2325" w:type="dxa"/>
            <w:gridSpan w:val="2"/>
            <w:vAlign w:val="top"/>
          </w:tcPr>
          <w:p>
            <w:pPr>
              <w:jc w:val="center"/>
              <w:rPr>
                <w:rFonts w:hint="eastAsia" w:asciiTheme="majorEastAsia" w:hAnsiTheme="majorEastAsia" w:eastAsiaTheme="majorEastAsia" w:cstheme="majorEastAsia"/>
                <w:b/>
                <w:bCs/>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lang w:val="en-US" w:eastAsia="zh-CN"/>
                <w14:textFill>
                  <w14:solidFill>
                    <w14:schemeClr w14:val="tx1"/>
                  </w14:solidFill>
                </w14:textFill>
              </w:rPr>
              <w:t>199.64</w:t>
            </w:r>
          </w:p>
        </w:tc>
        <w:tc>
          <w:tcPr>
            <w:tcW w:w="1679" w:type="dxa"/>
            <w:gridSpan w:val="2"/>
            <w:vAlign w:val="top"/>
          </w:tcPr>
          <w:p>
            <w:pPr>
              <w:jc w:val="center"/>
              <w:rPr>
                <w:rFonts w:hint="eastAsia" w:asciiTheme="majorEastAsia" w:hAnsiTheme="majorEastAsia" w:eastAsiaTheme="majorEastAsia" w:cstheme="majorEastAsia"/>
                <w:b/>
                <w:bCs/>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lang w:val="en-US" w:eastAsia="zh-CN"/>
                <w14:textFill>
                  <w14:solidFill>
                    <w14:schemeClr w14:val="tx1"/>
                  </w14:solidFill>
                </w14:textFill>
              </w:rPr>
              <w:t>256.68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850" w:type="dxa"/>
            <w:vAlign w:val="top"/>
          </w:tcPr>
          <w:p>
            <w:pPr>
              <w:spacing w:before="85" w:line="219" w:lineRule="auto"/>
              <w:ind w:left="38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其中：办公经费</w:t>
            </w:r>
          </w:p>
        </w:tc>
        <w:tc>
          <w:tcPr>
            <w:tcW w:w="1815" w:type="dxa"/>
            <w:gridSpan w:val="2"/>
            <w:vAlign w:val="top"/>
          </w:tcPr>
          <w:p>
            <w:pPr>
              <w:jc w:val="center"/>
              <w:rPr>
                <w:rFonts w:hint="eastAsia" w:asciiTheme="majorEastAsia" w:hAnsiTheme="majorEastAsia" w:eastAsiaTheme="majorEastAsia" w:cstheme="majorEastAsia"/>
                <w:color w:val="000000" w:themeColor="text1"/>
                <w:sz w:val="21"/>
                <w14:textFill>
                  <w14:solidFill>
                    <w14:schemeClr w14:val="tx1"/>
                  </w14:solidFill>
                </w14:textFill>
              </w:rPr>
            </w:pPr>
            <w:r>
              <w:rPr>
                <w:rFonts w:hint="eastAsia" w:asciiTheme="majorEastAsia" w:hAnsiTheme="majorEastAsia" w:eastAsiaTheme="majorEastAsia" w:cstheme="majorEastAsia"/>
                <w:color w:val="000000" w:themeColor="text1"/>
                <w:sz w:val="21"/>
                <w14:textFill>
                  <w14:solidFill>
                    <w14:schemeClr w14:val="tx1"/>
                  </w14:solidFill>
                </w14:textFill>
              </w:rPr>
              <w:t>133.85</w:t>
            </w:r>
          </w:p>
        </w:tc>
        <w:tc>
          <w:tcPr>
            <w:tcW w:w="2325"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176.64</w:t>
            </w:r>
          </w:p>
        </w:tc>
        <w:tc>
          <w:tcPr>
            <w:tcW w:w="1679" w:type="dxa"/>
            <w:gridSpan w:val="2"/>
            <w:vAlign w:val="top"/>
          </w:tcPr>
          <w:p>
            <w:pPr>
              <w:jc w:val="center"/>
              <w:rPr>
                <w:rFonts w:hint="eastAsia" w:asciiTheme="majorEastAsia" w:hAnsiTheme="majorEastAsia" w:eastAsiaTheme="majorEastAsia" w:cstheme="majorEastAsia"/>
                <w:color w:val="000000" w:themeColor="text1"/>
                <w:sz w:val="21"/>
                <w14:textFill>
                  <w14:solidFill>
                    <w14:schemeClr w14:val="tx1"/>
                  </w14:solidFill>
                </w14:textFill>
              </w:rPr>
            </w:pPr>
            <w:r>
              <w:rPr>
                <w:rFonts w:hint="eastAsia" w:asciiTheme="majorEastAsia" w:hAnsiTheme="majorEastAsia" w:eastAsiaTheme="majorEastAsia" w:cstheme="majorEastAsia"/>
                <w:color w:val="000000" w:themeColor="text1"/>
                <w:sz w:val="21"/>
                <w14:textFill>
                  <w14:solidFill>
                    <w14:schemeClr w14:val="tx1"/>
                  </w14:solidFill>
                </w14:textFill>
              </w:rPr>
              <w:t>201.55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850" w:type="dxa"/>
            <w:vAlign w:val="top"/>
          </w:tcPr>
          <w:p>
            <w:pPr>
              <w:spacing w:before="135" w:line="198" w:lineRule="auto"/>
              <w:ind w:left="111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水费、电费、差旅费</w:t>
            </w:r>
          </w:p>
        </w:tc>
        <w:tc>
          <w:tcPr>
            <w:tcW w:w="1815" w:type="dxa"/>
            <w:gridSpan w:val="2"/>
            <w:vAlign w:val="top"/>
          </w:tcPr>
          <w:p>
            <w:pPr>
              <w:jc w:val="center"/>
              <w:rPr>
                <w:rFonts w:hint="eastAsia" w:asciiTheme="majorEastAsia" w:hAnsiTheme="majorEastAsia" w:eastAsiaTheme="majorEastAsia" w:cstheme="majorEastAsia"/>
                <w:color w:val="000000" w:themeColor="text1"/>
                <w:sz w:val="21"/>
                <w14:textFill>
                  <w14:solidFill>
                    <w14:schemeClr w14:val="tx1"/>
                  </w14:solidFill>
                </w14:textFill>
              </w:rPr>
            </w:pPr>
            <w:r>
              <w:rPr>
                <w:rFonts w:hint="eastAsia" w:asciiTheme="majorEastAsia" w:hAnsiTheme="majorEastAsia" w:eastAsiaTheme="majorEastAsia" w:cstheme="majorEastAsia"/>
                <w:color w:val="000000" w:themeColor="text1"/>
                <w:sz w:val="21"/>
                <w14:textFill>
                  <w14:solidFill>
                    <w14:schemeClr w14:val="tx1"/>
                  </w14:solidFill>
                </w14:textFill>
              </w:rPr>
              <w:t>23.51</w:t>
            </w:r>
          </w:p>
        </w:tc>
        <w:tc>
          <w:tcPr>
            <w:tcW w:w="2325"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22.00</w:t>
            </w:r>
          </w:p>
        </w:tc>
        <w:tc>
          <w:tcPr>
            <w:tcW w:w="1679"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53.65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850" w:type="dxa"/>
            <w:vAlign w:val="top"/>
          </w:tcPr>
          <w:p>
            <w:pPr>
              <w:spacing w:before="144" w:line="198" w:lineRule="auto"/>
              <w:ind w:left="112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会议费、培训费</w:t>
            </w:r>
          </w:p>
        </w:tc>
        <w:tc>
          <w:tcPr>
            <w:tcW w:w="1815"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0.16</w:t>
            </w:r>
          </w:p>
        </w:tc>
        <w:tc>
          <w:tcPr>
            <w:tcW w:w="2325"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1</w:t>
            </w:r>
          </w:p>
        </w:tc>
        <w:tc>
          <w:tcPr>
            <w:tcW w:w="1679" w:type="dxa"/>
            <w:gridSpan w:val="2"/>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850" w:type="dxa"/>
            <w:vAlign w:val="top"/>
          </w:tcPr>
          <w:p>
            <w:pPr>
              <w:spacing w:before="145" w:line="189" w:lineRule="auto"/>
              <w:ind w:left="10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政府采购金额</w:t>
            </w:r>
          </w:p>
        </w:tc>
        <w:tc>
          <w:tcPr>
            <w:tcW w:w="1815" w:type="dxa"/>
            <w:gridSpan w:val="2"/>
            <w:vAlign w:val="top"/>
          </w:tcPr>
          <w:p>
            <w:pPr>
              <w:jc w:val="center"/>
              <w:rPr>
                <w:rFonts w:hint="eastAsia" w:asciiTheme="majorEastAsia" w:hAnsiTheme="majorEastAsia" w:eastAsiaTheme="majorEastAsia" w:cstheme="majorEastAsia"/>
                <w:b/>
                <w:bCs/>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lang w:val="en-US" w:eastAsia="zh-CN"/>
                <w14:textFill>
                  <w14:solidFill>
                    <w14:schemeClr w14:val="tx1"/>
                  </w14:solidFill>
                </w14:textFill>
              </w:rPr>
              <w:t>459.02</w:t>
            </w:r>
          </w:p>
        </w:tc>
        <w:tc>
          <w:tcPr>
            <w:tcW w:w="2325" w:type="dxa"/>
            <w:gridSpan w:val="2"/>
            <w:vAlign w:val="top"/>
          </w:tcPr>
          <w:p>
            <w:pPr>
              <w:jc w:val="center"/>
              <w:rPr>
                <w:rFonts w:hint="eastAsia" w:asciiTheme="majorEastAsia" w:hAnsiTheme="majorEastAsia" w:eastAsiaTheme="majorEastAsia" w:cstheme="majorEastAsia"/>
                <w:b/>
                <w:bCs/>
                <w:color w:val="000000" w:themeColor="text1"/>
                <w:sz w:val="21"/>
                <w14:textFill>
                  <w14:solidFill>
                    <w14:schemeClr w14:val="tx1"/>
                  </w14:solidFill>
                </w14:textFill>
              </w:rPr>
            </w:pPr>
            <w:r>
              <w:rPr>
                <w:rFonts w:hint="eastAsia" w:asciiTheme="majorEastAsia" w:hAnsiTheme="majorEastAsia" w:eastAsiaTheme="majorEastAsia" w:cstheme="majorEastAsia"/>
                <w:b/>
                <w:bCs/>
                <w:color w:val="000000" w:themeColor="text1"/>
                <w:sz w:val="21"/>
                <w14:textFill>
                  <w14:solidFill>
                    <w14:schemeClr w14:val="tx1"/>
                  </w14:solidFill>
                </w14:textFill>
              </w:rPr>
              <w:t>365.23</w:t>
            </w:r>
          </w:p>
        </w:tc>
        <w:tc>
          <w:tcPr>
            <w:tcW w:w="1679" w:type="dxa"/>
            <w:gridSpan w:val="2"/>
            <w:vAlign w:val="top"/>
          </w:tcPr>
          <w:p>
            <w:pPr>
              <w:jc w:val="center"/>
              <w:rPr>
                <w:rFonts w:hint="default" w:asciiTheme="majorEastAsia" w:hAnsiTheme="majorEastAsia" w:eastAsiaTheme="majorEastAsia" w:cstheme="majorEastAsia"/>
                <w:b/>
                <w:bCs/>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lang w:val="en-US" w:eastAsia="zh-CN"/>
                <w14:textFill>
                  <w14:solidFill>
                    <w14:schemeClr w14:val="tx1"/>
                  </w14:solidFill>
                </w14:textFill>
              </w:rPr>
              <w:t>699.27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850" w:type="dxa"/>
            <w:vAlign w:val="top"/>
          </w:tcPr>
          <w:p>
            <w:pPr>
              <w:spacing w:before="145" w:line="198" w:lineRule="auto"/>
              <w:ind w:left="11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部门基本支出预算调整</w:t>
            </w:r>
          </w:p>
        </w:tc>
        <w:tc>
          <w:tcPr>
            <w:tcW w:w="1815" w:type="dxa"/>
            <w:gridSpan w:val="2"/>
            <w:vAlign w:val="top"/>
          </w:tcPr>
          <w:p>
            <w:pPr>
              <w:jc w:val="center"/>
              <w:rPr>
                <w:rFonts w:hint="default" w:asciiTheme="majorEastAsia" w:hAnsiTheme="majorEastAsia" w:eastAsiaTheme="majorEastAsia" w:cstheme="majorEastAsia"/>
                <w:b/>
                <w:bCs/>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lang w:val="en-US" w:eastAsia="zh-CN"/>
                <w14:textFill>
                  <w14:solidFill>
                    <w14:schemeClr w14:val="tx1"/>
                  </w14:solidFill>
                </w14:textFill>
              </w:rPr>
              <w:t>1244.72</w:t>
            </w:r>
          </w:p>
        </w:tc>
        <w:tc>
          <w:tcPr>
            <w:tcW w:w="2325" w:type="dxa"/>
            <w:gridSpan w:val="2"/>
            <w:vAlign w:val="top"/>
          </w:tcPr>
          <w:p>
            <w:pPr>
              <w:jc w:val="center"/>
              <w:rPr>
                <w:rFonts w:hint="default" w:asciiTheme="majorEastAsia" w:hAnsiTheme="majorEastAsia" w:eastAsiaTheme="majorEastAsia" w:cstheme="majorEastAsia"/>
                <w:b/>
                <w:bCs/>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lang w:val="en-US" w:eastAsia="zh-CN"/>
                <w14:textFill>
                  <w14:solidFill>
                    <w14:schemeClr w14:val="tx1"/>
                  </w14:solidFill>
                </w14:textFill>
              </w:rPr>
              <w:t>1334.64</w:t>
            </w:r>
          </w:p>
        </w:tc>
        <w:tc>
          <w:tcPr>
            <w:tcW w:w="1679" w:type="dxa"/>
            <w:gridSpan w:val="2"/>
            <w:vAlign w:val="top"/>
          </w:tcPr>
          <w:p>
            <w:pPr>
              <w:jc w:val="center"/>
              <w:rPr>
                <w:rFonts w:hint="default" w:asciiTheme="majorEastAsia" w:hAnsiTheme="majorEastAsia" w:eastAsiaTheme="majorEastAsia" w:cstheme="majorEastAsia"/>
                <w:b/>
                <w:bCs/>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lang w:val="en-US" w:eastAsia="zh-CN"/>
                <w14:textFill>
                  <w14:solidFill>
                    <w14:schemeClr w14:val="tx1"/>
                  </w14:solidFill>
                </w14:textFill>
              </w:rPr>
              <w:t>1668.98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3850" w:type="dxa"/>
            <w:vMerge w:val="restart"/>
            <w:tcBorders>
              <w:bottom w:val="nil"/>
            </w:tcBorders>
            <w:vAlign w:val="center"/>
          </w:tcPr>
          <w:p>
            <w:pPr>
              <w:spacing w:before="65" w:line="390" w:lineRule="exact"/>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position w:val="14"/>
                <w:sz w:val="24"/>
                <w:szCs w:val="24"/>
                <w14:textFill>
                  <w14:solidFill>
                    <w14:schemeClr w14:val="tx1"/>
                  </w14:solidFill>
                </w14:textFill>
              </w:rPr>
              <w:t>楼堂馆所控制情况</w:t>
            </w:r>
          </w:p>
          <w:p>
            <w:pPr>
              <w:spacing w:line="219"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3"/>
                <w:sz w:val="24"/>
                <w:szCs w:val="24"/>
                <w14:textFill>
                  <w14:solidFill>
                    <w14:schemeClr w14:val="tx1"/>
                  </w14:solidFill>
                </w14:textFill>
              </w:rPr>
              <w:t>(2022年完工项目)</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批复规模</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(m²)</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实际规</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模(m²)</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规模控制率</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预算投资</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(万元)</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实际</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投资</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(万元)</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投资概</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算控制</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850" w:type="dxa"/>
            <w:vMerge w:val="continue"/>
            <w:tcBorders>
              <w:top w:val="nil"/>
            </w:tcBorders>
            <w:vAlign w:val="top"/>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825" w:type="dxa"/>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c>
          <w:tcPr>
            <w:tcW w:w="990" w:type="dxa"/>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c>
          <w:tcPr>
            <w:tcW w:w="1140" w:type="dxa"/>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c>
          <w:tcPr>
            <w:tcW w:w="1185" w:type="dxa"/>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c>
          <w:tcPr>
            <w:tcW w:w="810" w:type="dxa"/>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c>
          <w:tcPr>
            <w:tcW w:w="869" w:type="dxa"/>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385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厉行节约保障措施</w:t>
            </w:r>
          </w:p>
        </w:tc>
        <w:tc>
          <w:tcPr>
            <w:tcW w:w="5819" w:type="dxa"/>
            <w:gridSpan w:val="6"/>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ajorEastAsia" w:hAnsiTheme="majorEastAsia" w:eastAsiaTheme="majorEastAsia" w:cstheme="majorEastAsia"/>
                <w:color w:val="000000" w:themeColor="text1"/>
                <w:sz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10" w:lineRule="exact"/>
        <w:ind w:left="0"/>
        <w:textAlignment w:val="auto"/>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t>说明：“项目支出”需要填报基本支出以外的所有项目支出情况，“公用经费”填报基本支出中的一般商品和服务支出。</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heme="majorEastAsia" w:hAnsiTheme="majorEastAsia" w:eastAsiaTheme="majorEastAsia" w:cstheme="majorEastAsia"/>
          <w:color w:val="000000" w:themeColor="text1"/>
          <w:spacing w:val="0"/>
          <w:position w:val="0"/>
          <w:sz w:val="23"/>
          <w:szCs w:val="23"/>
          <w:lang w:val="en-US" w:eastAsia="zh-CN"/>
          <w14:textFill>
            <w14:solidFill>
              <w14:schemeClr w14:val="tx1"/>
            </w14:solidFill>
          </w14:textFill>
        </w:rPr>
        <w:sectPr>
          <w:footerReference r:id="rId3" w:type="default"/>
          <w:pgSz w:w="11906" w:h="16838"/>
          <w:pgMar w:top="1134" w:right="1417" w:bottom="1134" w:left="1134" w:header="851" w:footer="992" w:gutter="0"/>
          <w:pgNumType w:fmt="decimal"/>
          <w:cols w:space="0" w:num="1"/>
          <w:rtlGutter w:val="0"/>
          <w:docGrid w:type="lines" w:linePitch="312" w:charSpace="0"/>
        </w:sectPr>
      </w:pPr>
      <w:r>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t>填表人</w:t>
      </w:r>
      <w:r>
        <w:rPr>
          <w:rFonts w:hint="eastAsia" w:asciiTheme="majorEastAsia" w:hAnsiTheme="majorEastAsia" w:eastAsiaTheme="majorEastAsia" w:cstheme="majorEastAsia"/>
          <w:color w:val="000000" w:themeColor="text1"/>
          <w:spacing w:val="0"/>
          <w:position w:val="0"/>
          <w:sz w:val="23"/>
          <w:szCs w:val="23"/>
          <w:lang w:eastAsia="zh-CN"/>
          <w14:textFill>
            <w14:solidFill>
              <w14:schemeClr w14:val="tx1"/>
            </w14:solidFill>
          </w14:textFill>
        </w:rPr>
        <w:t>：</w:t>
      </w:r>
      <w:r>
        <w:rPr>
          <w:rFonts w:hint="eastAsia" w:asciiTheme="majorEastAsia" w:hAnsiTheme="majorEastAsia" w:eastAsiaTheme="majorEastAsia" w:cstheme="majorEastAsia"/>
          <w:color w:val="000000" w:themeColor="text1"/>
          <w:spacing w:val="0"/>
          <w:position w:val="0"/>
          <w:sz w:val="23"/>
          <w:szCs w:val="23"/>
          <w:lang w:val="en-US" w:eastAsia="zh-CN"/>
          <w14:textFill>
            <w14:solidFill>
              <w14:schemeClr w14:val="tx1"/>
            </w14:solidFill>
          </w14:textFill>
        </w:rPr>
        <w:t>许香平</w:t>
      </w:r>
      <w:r>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t xml:space="preserve">  联系电话： </w:t>
      </w:r>
      <w:r>
        <w:rPr>
          <w:rFonts w:hint="eastAsia" w:asciiTheme="majorEastAsia" w:hAnsiTheme="majorEastAsia" w:eastAsiaTheme="majorEastAsia" w:cstheme="majorEastAsia"/>
          <w:color w:val="000000" w:themeColor="text1"/>
          <w:spacing w:val="0"/>
          <w:position w:val="0"/>
          <w:sz w:val="23"/>
          <w:szCs w:val="23"/>
          <w:lang w:val="en-US" w:eastAsia="zh-CN"/>
          <w14:textFill>
            <w14:solidFill>
              <w14:schemeClr w14:val="tx1"/>
            </w14:solidFill>
          </w14:textFill>
        </w:rPr>
        <w:t>07306223589</w:t>
      </w:r>
      <w:r>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t xml:space="preserve">      单位负责人签字：</w:t>
      </w:r>
      <w:r>
        <w:rPr>
          <w:rFonts w:hint="eastAsia" w:asciiTheme="majorEastAsia" w:hAnsiTheme="majorEastAsia" w:eastAsiaTheme="majorEastAsia" w:cstheme="majorEastAsia"/>
          <w:color w:val="000000" w:themeColor="text1"/>
          <w:spacing w:val="0"/>
          <w:position w:val="0"/>
          <w:sz w:val="23"/>
          <w:szCs w:val="23"/>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t>填报日期：</w:t>
      </w:r>
      <w:r>
        <w:rPr>
          <w:rFonts w:hint="eastAsia" w:asciiTheme="majorEastAsia" w:hAnsiTheme="majorEastAsia" w:eastAsiaTheme="majorEastAsia" w:cstheme="majorEastAsia"/>
          <w:color w:val="000000" w:themeColor="text1"/>
          <w:spacing w:val="0"/>
          <w:position w:val="0"/>
          <w:sz w:val="23"/>
          <w:szCs w:val="23"/>
          <w:lang w:val="en-US" w:eastAsia="zh-CN"/>
          <w14:textFill>
            <w14:solidFill>
              <w14:schemeClr w14:val="tx1"/>
            </w14:solidFill>
          </w14:textFill>
        </w:rPr>
        <w:t>2023.6.25</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黑体" w:hAnsi="黑体" w:eastAsia="黑体" w:cs="黑体"/>
          <w:b w:val="0"/>
          <w:bCs w:val="0"/>
          <w:color w:val="000000" w:themeColor="text1"/>
          <w:spacing w:val="1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10"/>
          <w:sz w:val="32"/>
          <w:szCs w:val="32"/>
          <w:lang w:eastAsia="zh-CN"/>
          <w14:textFill>
            <w14:solidFill>
              <w14:schemeClr w14:val="tx1"/>
            </w14:solidFill>
          </w14:textFill>
        </w:rPr>
        <w:t>附件</w:t>
      </w:r>
      <w:r>
        <w:rPr>
          <w:rFonts w:hint="eastAsia" w:ascii="黑体" w:hAnsi="黑体" w:eastAsia="黑体" w:cs="黑体"/>
          <w:b w:val="0"/>
          <w:bCs w:val="0"/>
          <w:color w:val="000000" w:themeColor="text1"/>
          <w:spacing w:val="10"/>
          <w:sz w:val="32"/>
          <w:szCs w:val="32"/>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方正小标宋简体" w:eastAsia="方正小标宋简体" w:cs="方正小标宋简体"/>
          <w:b w:val="0"/>
          <w:bCs w:val="0"/>
          <w:color w:val="000000" w:themeColor="text1"/>
          <w:spacing w:val="2"/>
          <w:sz w:val="42"/>
          <w:szCs w:val="4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2"/>
          <w:sz w:val="42"/>
          <w:szCs w:val="42"/>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pacing w:val="2"/>
          <w:sz w:val="42"/>
          <w:szCs w:val="42"/>
          <w14:textFill>
            <w14:solidFill>
              <w14:schemeClr w14:val="tx1"/>
            </w14:solidFill>
          </w14:textFill>
        </w:rPr>
        <w:t>2022年度</w:t>
      </w:r>
      <w:r>
        <w:rPr>
          <w:rFonts w:hint="eastAsia" w:ascii="方正小标宋简体" w:hAnsi="方正小标宋简体" w:eastAsia="方正小标宋简体" w:cs="方正小标宋简体"/>
          <w:b w:val="0"/>
          <w:bCs w:val="0"/>
          <w:color w:val="000000" w:themeColor="text1"/>
          <w:spacing w:val="2"/>
          <w:sz w:val="42"/>
          <w:szCs w:val="42"/>
          <w:lang w:eastAsia="zh-CN"/>
          <w14:textFill>
            <w14:solidFill>
              <w14:schemeClr w14:val="tx1"/>
            </w14:solidFill>
          </w14:textFill>
        </w:rPr>
        <w:t>预算单位</w:t>
      </w:r>
      <w:r>
        <w:rPr>
          <w:rFonts w:hint="eastAsia" w:ascii="方正小标宋简体" w:hAnsi="方正小标宋简体" w:eastAsia="方正小标宋简体" w:cs="方正小标宋简体"/>
          <w:b w:val="0"/>
          <w:bCs w:val="0"/>
          <w:color w:val="000000" w:themeColor="text1"/>
          <w:spacing w:val="2"/>
          <w:sz w:val="42"/>
          <w:szCs w:val="42"/>
          <w14:textFill>
            <w14:solidFill>
              <w14:schemeClr w14:val="tx1"/>
            </w14:solidFill>
          </w14:textFill>
        </w:rPr>
        <w:t>整体支出绩效自评表</w:t>
      </w:r>
    </w:p>
    <w:p>
      <w:pPr>
        <w:spacing w:line="168" w:lineRule="exact"/>
        <w:rPr>
          <w:color w:val="000000" w:themeColor="text1"/>
          <w14:textFill>
            <w14:solidFill>
              <w14:schemeClr w14:val="tx1"/>
            </w14:solidFill>
          </w14:textFill>
        </w:rPr>
      </w:pPr>
    </w:p>
    <w:tbl>
      <w:tblPr>
        <w:tblStyle w:val="8"/>
        <w:tblW w:w="983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0"/>
        <w:gridCol w:w="1143"/>
        <w:gridCol w:w="1029"/>
        <w:gridCol w:w="1291"/>
        <w:gridCol w:w="1297"/>
        <w:gridCol w:w="1259"/>
        <w:gridCol w:w="719"/>
        <w:gridCol w:w="802"/>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020" w:type="dxa"/>
            <w:vAlign w:val="top"/>
          </w:tcPr>
          <w:p>
            <w:pPr>
              <w:keepNext w:val="0"/>
              <w:keepLines w:val="0"/>
              <w:pageBreakBefore w:val="0"/>
              <w:widowControl w:val="0"/>
              <w:kinsoku/>
              <w:wordWrap/>
              <w:overflowPunct/>
              <w:topLinePunct w:val="0"/>
              <w:autoSpaceDE/>
              <w:autoSpaceDN/>
              <w:bidi w:val="0"/>
              <w:adjustRightInd/>
              <w:snapToGrid/>
              <w:spacing w:line="198" w:lineRule="auto"/>
              <w:ind w:left="0" w:right="0" w:firstLine="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预算</w:t>
            </w:r>
            <w:r>
              <w:rPr>
                <w:rFonts w:hint="eastAsia" w:ascii="宋体" w:hAnsi="宋体" w:eastAsia="宋体" w:cs="宋体"/>
                <w:color w:val="000000" w:themeColor="text1"/>
                <w:spacing w:val="2"/>
                <w:sz w:val="21"/>
                <w:szCs w:val="21"/>
                <w:lang w:eastAsia="zh-CN"/>
                <w14:textFill>
                  <w14:solidFill>
                    <w14:schemeClr w14:val="tx1"/>
                  </w14:solidFill>
                </w14:textFill>
              </w:rPr>
              <w:t>单位</w:t>
            </w:r>
            <w:r>
              <w:rPr>
                <w:rFonts w:hint="eastAsia" w:ascii="宋体" w:hAnsi="宋体" w:eastAsia="宋体" w:cs="宋体"/>
                <w:color w:val="000000" w:themeColor="text1"/>
                <w:spacing w:val="2"/>
                <w:sz w:val="21"/>
                <w:szCs w:val="21"/>
                <w:lang w:val="en-US" w:eastAsia="zh-CN"/>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名称</w:t>
            </w:r>
          </w:p>
        </w:tc>
        <w:tc>
          <w:tcPr>
            <w:tcW w:w="8815" w:type="dxa"/>
            <w:gridSpan w:val="8"/>
            <w:vAlign w:val="top"/>
          </w:tcPr>
          <w:p>
            <w:pPr>
              <w:jc w:val="center"/>
              <w:rPr>
                <w:rFonts w:ascii="Arial"/>
                <w:color w:val="000000" w:themeColor="text1"/>
                <w:sz w:val="21"/>
                <w14:textFill>
                  <w14:solidFill>
                    <w14:schemeClr w14:val="tx1"/>
                  </w14:solidFill>
                </w14:textFill>
              </w:rPr>
            </w:pPr>
            <w:r>
              <w:rPr>
                <w:rFonts w:hint="eastAsia" w:ascii="Arial"/>
                <w:color w:val="000000" w:themeColor="text1"/>
                <w:sz w:val="21"/>
                <w14:textFill>
                  <w14:solidFill>
                    <w14:schemeClr w14:val="tx1"/>
                  </w14:solidFill>
                </w14:textFill>
              </w:rPr>
              <w:t>岳阳市生态环境局平江分局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20"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line="418" w:lineRule="auto"/>
              <w:ind w:left="0" w:right="0" w:firstLine="0"/>
              <w:jc w:val="center"/>
              <w:textAlignment w:val="auto"/>
              <w:rPr>
                <w:rFonts w:ascii="Arial"/>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position w:val="4"/>
                <w:sz w:val="21"/>
                <w:szCs w:val="21"/>
                <w14:textFill>
                  <w14:solidFill>
                    <w14:schemeClr w14:val="tx1"/>
                  </w14:solidFill>
                </w14:textFill>
              </w:rPr>
              <w:t>年度预</w:t>
            </w:r>
          </w:p>
          <w:p>
            <w:pPr>
              <w:keepNext w:val="0"/>
              <w:keepLines w:val="0"/>
              <w:pageBreakBefore w:val="0"/>
              <w:widowControl w:val="0"/>
              <w:kinsoku/>
              <w:wordWrap/>
              <w:overflowPunct/>
              <w:topLinePunct w:val="0"/>
              <w:autoSpaceDE/>
              <w:autoSpaceDN/>
              <w:bidi w:val="0"/>
              <w:adjustRightInd/>
              <w:snapToGrid/>
              <w:spacing w:line="219" w:lineRule="auto"/>
              <w:ind w:left="0" w:right="0" w:firstLine="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算申请</w:t>
            </w:r>
          </w:p>
          <w:p>
            <w:pPr>
              <w:keepNext w:val="0"/>
              <w:keepLines w:val="0"/>
              <w:pageBreakBefore w:val="0"/>
              <w:widowControl w:val="0"/>
              <w:kinsoku/>
              <w:wordWrap/>
              <w:overflowPunct/>
              <w:topLinePunct w:val="0"/>
              <w:autoSpaceDE/>
              <w:autoSpaceDN/>
              <w:bidi w:val="0"/>
              <w:adjustRightInd/>
              <w:snapToGrid/>
              <w:spacing w:line="220" w:lineRule="auto"/>
              <w:ind w:left="0" w:right="0" w:firstLine="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11"/>
                <w:sz w:val="21"/>
                <w:szCs w:val="21"/>
                <w14:textFill>
                  <w14:solidFill>
                    <w14:schemeClr w14:val="tx1"/>
                  </w14:solidFill>
                </w14:textFill>
              </w:rPr>
              <w:t>(万元)</w:t>
            </w:r>
          </w:p>
        </w:tc>
        <w:tc>
          <w:tcPr>
            <w:tcW w:w="217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ascii="Arial"/>
                <w:color w:val="000000" w:themeColor="text1"/>
                <w:spacing w:val="0"/>
                <w:sz w:val="20"/>
                <w14:textFill>
                  <w14:solidFill>
                    <w14:schemeClr w14:val="tx1"/>
                  </w14:solidFill>
                </w14:textFill>
              </w:rPr>
            </w:pP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194"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年初预算数</w:t>
            </w:r>
          </w:p>
        </w:tc>
        <w:tc>
          <w:tcPr>
            <w:tcW w:w="1297" w:type="dxa"/>
            <w:vAlign w:val="center"/>
          </w:tcPr>
          <w:p>
            <w:pPr>
              <w:keepNext w:val="0"/>
              <w:keepLines w:val="0"/>
              <w:pageBreakBefore w:val="0"/>
              <w:widowControl w:val="0"/>
              <w:kinsoku/>
              <w:wordWrap/>
              <w:overflowPunct/>
              <w:topLinePunct w:val="0"/>
              <w:autoSpaceDE/>
              <w:autoSpaceDN/>
              <w:bidi w:val="0"/>
              <w:adjustRightInd/>
              <w:snapToGrid/>
              <w:spacing w:line="194"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全年预算数</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194"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全年执行数</w:t>
            </w: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194"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分值</w:t>
            </w:r>
          </w:p>
        </w:tc>
        <w:tc>
          <w:tcPr>
            <w:tcW w:w="802" w:type="dxa"/>
            <w:vAlign w:val="center"/>
          </w:tcPr>
          <w:p>
            <w:pPr>
              <w:keepNext w:val="0"/>
              <w:keepLines w:val="0"/>
              <w:pageBreakBefore w:val="0"/>
              <w:widowControl w:val="0"/>
              <w:kinsoku/>
              <w:wordWrap/>
              <w:overflowPunct/>
              <w:topLinePunct w:val="0"/>
              <w:autoSpaceDE/>
              <w:autoSpaceDN/>
              <w:bidi w:val="0"/>
              <w:adjustRightInd/>
              <w:snapToGrid/>
              <w:spacing w:line="194"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执行率</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194"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2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ascii="Arial"/>
                <w:color w:val="000000" w:themeColor="text1"/>
                <w:sz w:val="21"/>
                <w:szCs w:val="21"/>
                <w14:textFill>
                  <w14:solidFill>
                    <w14:schemeClr w14:val="tx1"/>
                  </w14:solidFill>
                </w14:textFill>
              </w:rPr>
            </w:pPr>
          </w:p>
        </w:tc>
        <w:tc>
          <w:tcPr>
            <w:tcW w:w="2172" w:type="dxa"/>
            <w:gridSpan w:val="2"/>
            <w:vAlign w:val="center"/>
          </w:tcPr>
          <w:p>
            <w:pPr>
              <w:keepNext w:val="0"/>
              <w:keepLines w:val="0"/>
              <w:pageBreakBefore w:val="0"/>
              <w:widowControl w:val="0"/>
              <w:kinsoku/>
              <w:wordWrap/>
              <w:overflowPunct/>
              <w:topLinePunct w:val="0"/>
              <w:autoSpaceDE/>
              <w:autoSpaceDN/>
              <w:bidi w:val="0"/>
              <w:adjustRightInd/>
              <w:snapToGrid/>
              <w:spacing w:line="193"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年度资金总额</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ascii="Arial"/>
                <w:color w:val="000000" w:themeColor="text1"/>
                <w:spacing w:val="0"/>
                <w:sz w:val="20"/>
                <w14:textFill>
                  <w14:solidFill>
                    <w14:schemeClr w14:val="tx1"/>
                  </w14:solidFill>
                </w14:textFill>
              </w:rPr>
            </w:pPr>
            <w:r>
              <w:rPr>
                <w:rFonts w:hint="eastAsia" w:ascii="Arial"/>
                <w:color w:val="000000" w:themeColor="text1"/>
                <w:spacing w:val="0"/>
                <w:sz w:val="20"/>
                <w14:textFill>
                  <w14:solidFill>
                    <w14:schemeClr w14:val="tx1"/>
                  </w14:solidFill>
                </w14:textFill>
              </w:rPr>
              <w:t>1502.37</w:t>
            </w:r>
          </w:p>
        </w:tc>
        <w:tc>
          <w:tcPr>
            <w:tcW w:w="1297"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Arial" w:eastAsiaTheme="minorEastAsia"/>
                <w:color w:val="000000" w:themeColor="text1"/>
                <w:spacing w:val="0"/>
                <w:sz w:val="20"/>
                <w:lang w:val="en-US" w:eastAsia="zh-CN"/>
                <w14:textFill>
                  <w14:solidFill>
                    <w14:schemeClr w14:val="tx1"/>
                  </w14:solidFill>
                </w14:textFill>
              </w:rPr>
            </w:pPr>
            <w:r>
              <w:rPr>
                <w:rFonts w:hint="eastAsia" w:ascii="Arial"/>
                <w:color w:val="000000" w:themeColor="text1"/>
                <w:spacing w:val="0"/>
                <w:sz w:val="20"/>
                <w:lang w:val="en-US" w:eastAsia="zh-CN"/>
                <w14:textFill>
                  <w14:solidFill>
                    <w14:schemeClr w14:val="tx1"/>
                  </w14:solidFill>
                </w14:textFill>
              </w:rPr>
              <w:t>2385.64</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Arial" w:eastAsiaTheme="minorEastAsia"/>
                <w:color w:val="000000" w:themeColor="text1"/>
                <w:spacing w:val="0"/>
                <w:sz w:val="20"/>
                <w:lang w:val="en-US" w:eastAsia="zh-CN"/>
                <w14:textFill>
                  <w14:solidFill>
                    <w14:schemeClr w14:val="tx1"/>
                  </w14:solidFill>
                </w14:textFill>
              </w:rPr>
            </w:pPr>
            <w:r>
              <w:rPr>
                <w:rFonts w:hint="eastAsia" w:ascii="Arial"/>
                <w:color w:val="000000" w:themeColor="text1"/>
                <w:spacing w:val="0"/>
                <w:sz w:val="20"/>
                <w:lang w:val="en-US" w:eastAsia="zh-CN"/>
                <w14:textFill>
                  <w14:solidFill>
                    <w14:schemeClr w14:val="tx1"/>
                  </w14:solidFill>
                </w14:textFill>
              </w:rPr>
              <w:t>2385.64</w:t>
            </w: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147" w:lineRule="exact"/>
              <w:ind w:left="0"/>
              <w:jc w:val="center"/>
              <w:textAlignment w:val="auto"/>
              <w:rPr>
                <w:rFonts w:ascii="宋体" w:hAnsi="宋体" w:eastAsia="宋体" w:cs="宋体"/>
                <w:color w:val="000000" w:themeColor="text1"/>
                <w:spacing w:val="0"/>
                <w:sz w:val="20"/>
                <w:szCs w:val="20"/>
                <w14:textFill>
                  <w14:solidFill>
                    <w14:schemeClr w14:val="tx1"/>
                  </w14:solidFill>
                </w14:textFill>
              </w:rPr>
            </w:pPr>
            <w:r>
              <w:rPr>
                <w:rFonts w:ascii="宋体" w:hAnsi="宋体" w:eastAsia="宋体" w:cs="宋体"/>
                <w:color w:val="000000" w:themeColor="text1"/>
                <w:spacing w:val="0"/>
                <w:position w:val="-3"/>
                <w:sz w:val="20"/>
                <w:szCs w:val="20"/>
                <w14:textFill>
                  <w14:solidFill>
                    <w14:schemeClr w14:val="tx1"/>
                  </w14:solidFill>
                </w14:textFill>
              </w:rPr>
              <w:t>10</w:t>
            </w:r>
          </w:p>
        </w:tc>
        <w:tc>
          <w:tcPr>
            <w:tcW w:w="802"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Arial" w:eastAsiaTheme="minorEastAsia"/>
                <w:color w:val="000000" w:themeColor="text1"/>
                <w:spacing w:val="0"/>
                <w:sz w:val="20"/>
                <w:lang w:val="en-US" w:eastAsia="zh-CN"/>
                <w14:textFill>
                  <w14:solidFill>
                    <w14:schemeClr w14:val="tx1"/>
                  </w14:solidFill>
                </w14:textFill>
              </w:rPr>
            </w:pPr>
            <w:r>
              <w:rPr>
                <w:rFonts w:hint="eastAsia" w:ascii="Arial"/>
                <w:color w:val="000000" w:themeColor="text1"/>
                <w:spacing w:val="0"/>
                <w:sz w:val="20"/>
                <w:lang w:val="en-US" w:eastAsia="zh-CN"/>
                <w14:textFill>
                  <w14:solidFill>
                    <w14:schemeClr w14:val="tx1"/>
                  </w14:solidFill>
                </w14:textFill>
              </w:rPr>
              <w:t>100%</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Arial" w:eastAsiaTheme="minorEastAsia"/>
                <w:color w:val="000000" w:themeColor="text1"/>
                <w:spacing w:val="0"/>
                <w:sz w:val="20"/>
                <w:lang w:val="en-US" w:eastAsia="zh-CN"/>
                <w14:textFill>
                  <w14:solidFill>
                    <w14:schemeClr w14:val="tx1"/>
                  </w14:solidFill>
                </w14:textFill>
              </w:rPr>
            </w:pPr>
            <w:r>
              <w:rPr>
                <w:rFonts w:hint="eastAsia" w:ascii="Arial"/>
                <w:color w:val="000000" w:themeColor="text1"/>
                <w:spacing w:val="0"/>
                <w:sz w:val="20"/>
                <w:lang w:val="en-US" w:eastAsia="zh-CN"/>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2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ascii="Arial"/>
                <w:color w:val="000000" w:themeColor="text1"/>
                <w:sz w:val="21"/>
                <w:szCs w:val="21"/>
                <w14:textFill>
                  <w14:solidFill>
                    <w14:schemeClr w14:val="tx1"/>
                  </w14:solidFill>
                </w14:textFill>
              </w:rPr>
            </w:pPr>
          </w:p>
        </w:tc>
        <w:tc>
          <w:tcPr>
            <w:tcW w:w="4760" w:type="dxa"/>
            <w:gridSpan w:val="4"/>
            <w:vAlign w:val="center"/>
          </w:tcPr>
          <w:p>
            <w:pPr>
              <w:keepNext w:val="0"/>
              <w:keepLines w:val="0"/>
              <w:pageBreakBefore w:val="0"/>
              <w:widowControl w:val="0"/>
              <w:kinsoku/>
              <w:wordWrap/>
              <w:overflowPunct/>
              <w:topLinePunct w:val="0"/>
              <w:autoSpaceDE/>
              <w:autoSpaceDN/>
              <w:bidi w:val="0"/>
              <w:adjustRightInd/>
              <w:snapToGrid/>
              <w:spacing w:line="193" w:lineRule="auto"/>
              <w:ind w:left="0" w:firstLine="210" w:firstLineChars="100"/>
              <w:jc w:val="left"/>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按收入性质分：</w:t>
            </w:r>
          </w:p>
        </w:tc>
        <w:tc>
          <w:tcPr>
            <w:tcW w:w="4055" w:type="dxa"/>
            <w:gridSpan w:val="4"/>
            <w:vAlign w:val="center"/>
          </w:tcPr>
          <w:p>
            <w:pPr>
              <w:keepNext w:val="0"/>
              <w:keepLines w:val="0"/>
              <w:pageBreakBefore w:val="0"/>
              <w:widowControl w:val="0"/>
              <w:kinsoku/>
              <w:wordWrap/>
              <w:overflowPunct/>
              <w:topLinePunct w:val="0"/>
              <w:autoSpaceDE/>
              <w:autoSpaceDN/>
              <w:bidi w:val="0"/>
              <w:adjustRightInd/>
              <w:snapToGrid/>
              <w:spacing w:line="193" w:lineRule="auto"/>
              <w:ind w:left="0" w:firstLine="210" w:firstLineChars="100"/>
              <w:jc w:val="left"/>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按支出性质分：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2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ascii="Arial"/>
                <w:color w:val="000000" w:themeColor="text1"/>
                <w:sz w:val="21"/>
                <w:szCs w:val="21"/>
                <w14:textFill>
                  <w14:solidFill>
                    <w14:schemeClr w14:val="tx1"/>
                  </w14:solidFill>
                </w14:textFill>
              </w:rPr>
            </w:pPr>
          </w:p>
        </w:tc>
        <w:tc>
          <w:tcPr>
            <w:tcW w:w="4760" w:type="dxa"/>
            <w:gridSpan w:val="4"/>
            <w:vAlign w:val="center"/>
          </w:tcPr>
          <w:p>
            <w:pPr>
              <w:keepNext w:val="0"/>
              <w:keepLines w:val="0"/>
              <w:pageBreakBefore w:val="0"/>
              <w:widowControl w:val="0"/>
              <w:kinsoku/>
              <w:wordWrap/>
              <w:overflowPunct/>
              <w:topLinePunct w:val="0"/>
              <w:autoSpaceDE/>
              <w:autoSpaceDN/>
              <w:bidi w:val="0"/>
              <w:adjustRightInd/>
              <w:snapToGrid/>
              <w:spacing w:line="193" w:lineRule="auto"/>
              <w:ind w:left="0" w:firstLine="210" w:firstLineChars="100"/>
              <w:jc w:val="left"/>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 xml:space="preserve">其中： </w:t>
            </w: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一般公共预算：</w:t>
            </w:r>
            <w:r>
              <w:rPr>
                <w:rFonts w:hint="eastAsia" w:ascii="宋体" w:hAnsi="宋体" w:eastAsia="宋体" w:cs="宋体"/>
                <w:color w:val="000000" w:themeColor="text1"/>
                <w:spacing w:val="0"/>
                <w:sz w:val="21"/>
                <w:szCs w:val="21"/>
                <w:lang w:val="en-US" w:eastAsia="zh-CN"/>
                <w14:textFill>
                  <w14:solidFill>
                    <w14:schemeClr w14:val="tx1"/>
                  </w14:solidFill>
                </w14:textFill>
              </w:rPr>
              <w:t>2385.64</w:t>
            </w:r>
          </w:p>
        </w:tc>
        <w:tc>
          <w:tcPr>
            <w:tcW w:w="4055" w:type="dxa"/>
            <w:gridSpan w:val="4"/>
            <w:vAlign w:val="center"/>
          </w:tcPr>
          <w:p>
            <w:pPr>
              <w:keepNext w:val="0"/>
              <w:keepLines w:val="0"/>
              <w:pageBreakBefore w:val="0"/>
              <w:widowControl w:val="0"/>
              <w:kinsoku/>
              <w:wordWrap/>
              <w:overflowPunct/>
              <w:topLinePunct w:val="0"/>
              <w:autoSpaceDE/>
              <w:autoSpaceDN/>
              <w:bidi w:val="0"/>
              <w:adjustRightInd/>
              <w:snapToGrid/>
              <w:spacing w:line="194" w:lineRule="auto"/>
              <w:ind w:left="0" w:firstLine="210" w:firstLineChars="100"/>
              <w:jc w:val="left"/>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其中：基本支出：</w:t>
            </w:r>
            <w:r>
              <w:rPr>
                <w:rFonts w:hint="eastAsia" w:ascii="宋体" w:hAnsi="宋体" w:eastAsia="宋体" w:cs="宋体"/>
                <w:color w:val="000000" w:themeColor="text1"/>
                <w:spacing w:val="0"/>
                <w:sz w:val="21"/>
                <w:szCs w:val="21"/>
                <w:lang w:val="en-US" w:eastAsia="zh-CN"/>
                <w14:textFill>
                  <w14:solidFill>
                    <w14:schemeClr w14:val="tx1"/>
                  </w14:solidFill>
                </w14:textFill>
              </w:rPr>
              <w:t>1668.98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2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ascii="Arial"/>
                <w:color w:val="000000" w:themeColor="text1"/>
                <w:sz w:val="21"/>
                <w:szCs w:val="21"/>
                <w14:textFill>
                  <w14:solidFill>
                    <w14:schemeClr w14:val="tx1"/>
                  </w14:solidFill>
                </w14:textFill>
              </w:rPr>
            </w:pPr>
          </w:p>
        </w:tc>
        <w:tc>
          <w:tcPr>
            <w:tcW w:w="4760" w:type="dxa"/>
            <w:gridSpan w:val="4"/>
            <w:vAlign w:val="center"/>
          </w:tcPr>
          <w:p>
            <w:pPr>
              <w:keepNext w:val="0"/>
              <w:keepLines w:val="0"/>
              <w:pageBreakBefore w:val="0"/>
              <w:widowControl w:val="0"/>
              <w:kinsoku/>
              <w:wordWrap/>
              <w:overflowPunct/>
              <w:topLinePunct w:val="0"/>
              <w:autoSpaceDE/>
              <w:autoSpaceDN/>
              <w:bidi w:val="0"/>
              <w:adjustRightInd/>
              <w:snapToGrid/>
              <w:spacing w:line="202" w:lineRule="auto"/>
              <w:ind w:left="0" w:firstLine="1050" w:firstLineChars="500"/>
              <w:jc w:val="left"/>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政府性基金拨款：</w:t>
            </w:r>
            <w:r>
              <w:rPr>
                <w:rFonts w:hint="eastAsia" w:ascii="宋体" w:hAnsi="宋体" w:eastAsia="宋体" w:cs="宋体"/>
                <w:color w:val="000000" w:themeColor="text1"/>
                <w:spacing w:val="0"/>
                <w:sz w:val="21"/>
                <w:szCs w:val="21"/>
                <w:lang w:val="en-US" w:eastAsia="zh-CN"/>
                <w14:textFill>
                  <w14:solidFill>
                    <w14:schemeClr w14:val="tx1"/>
                  </w14:solidFill>
                </w14:textFill>
              </w:rPr>
              <w:t>0</w:t>
            </w:r>
          </w:p>
        </w:tc>
        <w:tc>
          <w:tcPr>
            <w:tcW w:w="4055" w:type="dxa"/>
            <w:gridSpan w:val="4"/>
            <w:vAlign w:val="center"/>
          </w:tcPr>
          <w:p>
            <w:pPr>
              <w:keepNext w:val="0"/>
              <w:keepLines w:val="0"/>
              <w:pageBreakBefore w:val="0"/>
              <w:widowControl w:val="0"/>
              <w:kinsoku/>
              <w:wordWrap/>
              <w:overflowPunct/>
              <w:topLinePunct w:val="0"/>
              <w:autoSpaceDE/>
              <w:autoSpaceDN/>
              <w:bidi w:val="0"/>
              <w:adjustRightInd/>
              <w:snapToGrid/>
              <w:spacing w:line="201" w:lineRule="auto"/>
              <w:ind w:left="0" w:firstLine="840" w:firstLineChars="400"/>
              <w:jc w:val="left"/>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项目支出：</w:t>
            </w:r>
            <w:r>
              <w:rPr>
                <w:rFonts w:hint="eastAsia" w:ascii="宋体" w:hAnsi="宋体" w:eastAsia="宋体" w:cs="宋体"/>
                <w:color w:val="000000" w:themeColor="text1"/>
                <w:spacing w:val="0"/>
                <w:sz w:val="21"/>
                <w:szCs w:val="21"/>
                <w:lang w:val="en-US" w:eastAsia="zh-CN"/>
                <w14:textFill>
                  <w14:solidFill>
                    <w14:schemeClr w14:val="tx1"/>
                  </w14:solidFill>
                </w14:textFill>
              </w:rPr>
              <w:t>716.66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2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ascii="Arial"/>
                <w:color w:val="000000" w:themeColor="text1"/>
                <w:sz w:val="21"/>
                <w:szCs w:val="21"/>
                <w14:textFill>
                  <w14:solidFill>
                    <w14:schemeClr w14:val="tx1"/>
                  </w14:solidFill>
                </w14:textFill>
              </w:rPr>
            </w:pPr>
          </w:p>
        </w:tc>
        <w:tc>
          <w:tcPr>
            <w:tcW w:w="4760" w:type="dxa"/>
            <w:gridSpan w:val="4"/>
            <w:vAlign w:val="center"/>
          </w:tcPr>
          <w:p>
            <w:pPr>
              <w:keepNext w:val="0"/>
              <w:keepLines w:val="0"/>
              <w:pageBreakBefore w:val="0"/>
              <w:widowControl w:val="0"/>
              <w:kinsoku/>
              <w:wordWrap/>
              <w:overflowPunct/>
              <w:topLinePunct w:val="0"/>
              <w:autoSpaceDE/>
              <w:autoSpaceDN/>
              <w:bidi w:val="0"/>
              <w:adjustRightInd/>
              <w:snapToGrid/>
              <w:spacing w:line="192" w:lineRule="auto"/>
              <w:ind w:left="0" w:firstLine="1050" w:firstLineChars="500"/>
              <w:jc w:val="left"/>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纳入专户管理的非税收入拨款：</w:t>
            </w:r>
            <w:r>
              <w:rPr>
                <w:rFonts w:hint="eastAsia" w:ascii="宋体" w:hAnsi="宋体" w:eastAsia="宋体" w:cs="宋体"/>
                <w:color w:val="000000" w:themeColor="text1"/>
                <w:spacing w:val="0"/>
                <w:sz w:val="21"/>
                <w:szCs w:val="21"/>
                <w:lang w:val="en-US" w:eastAsia="zh-CN"/>
                <w14:textFill>
                  <w14:solidFill>
                    <w14:schemeClr w14:val="tx1"/>
                  </w14:solidFill>
                </w14:textFill>
              </w:rPr>
              <w:t>0</w:t>
            </w:r>
          </w:p>
        </w:tc>
        <w:tc>
          <w:tcPr>
            <w:tcW w:w="4055" w:type="dxa"/>
            <w:gridSpan w:val="4"/>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left"/>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20"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ascii="Arial"/>
                <w:color w:val="000000" w:themeColor="text1"/>
                <w:sz w:val="21"/>
                <w:szCs w:val="21"/>
                <w14:textFill>
                  <w14:solidFill>
                    <w14:schemeClr w14:val="tx1"/>
                  </w14:solidFill>
                </w14:textFill>
              </w:rPr>
            </w:pPr>
          </w:p>
        </w:tc>
        <w:tc>
          <w:tcPr>
            <w:tcW w:w="4760" w:type="dxa"/>
            <w:gridSpan w:val="4"/>
            <w:vAlign w:val="center"/>
          </w:tcPr>
          <w:p>
            <w:pPr>
              <w:keepNext w:val="0"/>
              <w:keepLines w:val="0"/>
              <w:pageBreakBefore w:val="0"/>
              <w:widowControl w:val="0"/>
              <w:kinsoku/>
              <w:wordWrap/>
              <w:overflowPunct/>
              <w:topLinePunct w:val="0"/>
              <w:autoSpaceDE/>
              <w:autoSpaceDN/>
              <w:bidi w:val="0"/>
              <w:adjustRightInd/>
              <w:snapToGrid/>
              <w:spacing w:line="192" w:lineRule="auto"/>
              <w:ind w:left="0" w:firstLine="1050" w:firstLineChars="500"/>
              <w:jc w:val="left"/>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其他资金：</w:t>
            </w:r>
            <w:r>
              <w:rPr>
                <w:rFonts w:hint="eastAsia" w:ascii="宋体" w:hAnsi="宋体" w:eastAsia="宋体" w:cs="宋体"/>
                <w:color w:val="000000" w:themeColor="text1"/>
                <w:spacing w:val="0"/>
                <w:sz w:val="21"/>
                <w:szCs w:val="21"/>
                <w:lang w:val="en-US" w:eastAsia="zh-CN"/>
                <w14:textFill>
                  <w14:solidFill>
                    <w14:schemeClr w14:val="tx1"/>
                  </w14:solidFill>
                </w14:textFill>
              </w:rPr>
              <w:t>0</w:t>
            </w:r>
          </w:p>
        </w:tc>
        <w:tc>
          <w:tcPr>
            <w:tcW w:w="4055"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left"/>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20"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line="211" w:lineRule="auto"/>
              <w:ind w:left="0" w:right="0" w:firstLine="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7"/>
                <w:sz w:val="21"/>
                <w:szCs w:val="21"/>
                <w14:textFill>
                  <w14:solidFill>
                    <w14:schemeClr w14:val="tx1"/>
                  </w14:solidFill>
                </w14:textFill>
              </w:rPr>
              <w:t>年度总体</w:t>
            </w:r>
            <w:r>
              <w:rPr>
                <w:rFonts w:ascii="宋体" w:hAnsi="宋体" w:eastAsia="宋体" w:cs="宋体"/>
                <w:color w:val="000000" w:themeColor="text1"/>
                <w:spacing w:val="1"/>
                <w:sz w:val="21"/>
                <w:szCs w:val="21"/>
                <w14:textFill>
                  <w14:solidFill>
                    <w14:schemeClr w14:val="tx1"/>
                  </w14:solidFill>
                </w14:textFill>
              </w:rPr>
              <w:t xml:space="preserve"> </w:t>
            </w:r>
            <w:r>
              <w:rPr>
                <w:rFonts w:ascii="宋体" w:hAnsi="宋体" w:eastAsia="宋体" w:cs="宋体"/>
                <w:color w:val="000000" w:themeColor="text1"/>
                <w:spacing w:val="-19"/>
                <w:sz w:val="21"/>
                <w:szCs w:val="21"/>
                <w14:textFill>
                  <w14:solidFill>
                    <w14:schemeClr w14:val="tx1"/>
                  </w14:solidFill>
                </w14:textFill>
              </w:rPr>
              <w:t>目</w:t>
            </w:r>
            <w:r>
              <w:rPr>
                <w:rFonts w:ascii="宋体" w:hAnsi="宋体" w:eastAsia="宋体" w:cs="宋体"/>
                <w:color w:val="000000" w:themeColor="text1"/>
                <w:spacing w:val="-35"/>
                <w:sz w:val="21"/>
                <w:szCs w:val="21"/>
                <w14:textFill>
                  <w14:solidFill>
                    <w14:schemeClr w14:val="tx1"/>
                  </w14:solidFill>
                </w14:textFill>
              </w:rPr>
              <w:t xml:space="preserve"> </w:t>
            </w:r>
            <w:r>
              <w:rPr>
                <w:rFonts w:ascii="宋体" w:hAnsi="宋体" w:eastAsia="宋体" w:cs="宋体"/>
                <w:color w:val="000000" w:themeColor="text1"/>
                <w:spacing w:val="-19"/>
                <w:sz w:val="21"/>
                <w:szCs w:val="21"/>
                <w14:textFill>
                  <w14:solidFill>
                    <w14:schemeClr w14:val="tx1"/>
                  </w14:solidFill>
                </w14:textFill>
              </w:rPr>
              <w:t>标</w:t>
            </w:r>
          </w:p>
        </w:tc>
        <w:tc>
          <w:tcPr>
            <w:tcW w:w="4760" w:type="dxa"/>
            <w:gridSpan w:val="4"/>
            <w:vAlign w:val="center"/>
          </w:tcPr>
          <w:p>
            <w:pPr>
              <w:keepNext w:val="0"/>
              <w:keepLines w:val="0"/>
              <w:pageBreakBefore w:val="0"/>
              <w:widowControl w:val="0"/>
              <w:kinsoku/>
              <w:wordWrap/>
              <w:overflowPunct/>
              <w:topLinePunct w:val="0"/>
              <w:autoSpaceDE/>
              <w:autoSpaceDN/>
              <w:bidi w:val="0"/>
              <w:adjustRightInd/>
              <w:snapToGrid/>
              <w:spacing w:line="191" w:lineRule="auto"/>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预期目标</w:t>
            </w:r>
          </w:p>
        </w:tc>
        <w:tc>
          <w:tcPr>
            <w:tcW w:w="4055" w:type="dxa"/>
            <w:gridSpan w:val="4"/>
            <w:vAlign w:val="center"/>
          </w:tcPr>
          <w:p>
            <w:pPr>
              <w:keepNext w:val="0"/>
              <w:keepLines w:val="0"/>
              <w:pageBreakBefore w:val="0"/>
              <w:widowControl w:val="0"/>
              <w:kinsoku/>
              <w:wordWrap/>
              <w:overflowPunct/>
              <w:topLinePunct w:val="0"/>
              <w:autoSpaceDE/>
              <w:autoSpaceDN/>
              <w:bidi w:val="0"/>
              <w:adjustRightInd/>
              <w:snapToGrid/>
              <w:spacing w:line="191"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20"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ascii="Arial"/>
                <w:color w:val="000000" w:themeColor="text1"/>
                <w:sz w:val="21"/>
                <w:szCs w:val="21"/>
                <w14:textFill>
                  <w14:solidFill>
                    <w14:schemeClr w14:val="tx1"/>
                  </w14:solidFill>
                </w14:textFill>
              </w:rPr>
            </w:pPr>
          </w:p>
        </w:tc>
        <w:tc>
          <w:tcPr>
            <w:tcW w:w="4760"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ascii="Arial"/>
                <w:color w:val="000000" w:themeColor="text1"/>
                <w:spacing w:val="0"/>
                <w:sz w:val="20"/>
                <w14:textFill>
                  <w14:solidFill>
                    <w14:schemeClr w14:val="tx1"/>
                  </w14:solidFill>
                </w14:textFill>
              </w:rPr>
            </w:pPr>
            <w:r>
              <w:rPr>
                <w:rFonts w:hint="eastAsia" w:ascii="Arial"/>
                <w:color w:val="000000" w:themeColor="text1"/>
                <w:spacing w:val="0"/>
                <w:sz w:val="20"/>
                <w14:textFill>
                  <w14:solidFill>
                    <w14:schemeClr w14:val="tx1"/>
                  </w14:solidFill>
                </w14:textFill>
              </w:rPr>
              <w:t>目标1：坚持绿色发展，着力巩固生态环境工作“大格局”                                                                   目标2：坚持标本兼治，着力打好蓝天保卫战。                                                                     目标3：坚持分类治理，着力打好碧水保卫战。目标4：坚持问题导向，着力抓好突出环境问题整改。目标5：服务经济发展，不断提升服务水平。目标6：服务经济发展，不断提升服务水平。目标7：坚持严管重罚，着力强化环境监管能力</w:t>
            </w:r>
          </w:p>
        </w:tc>
        <w:tc>
          <w:tcPr>
            <w:tcW w:w="4055"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Arial" w:eastAsiaTheme="minorEastAsia"/>
                <w:color w:val="000000" w:themeColor="text1"/>
                <w:spacing w:val="0"/>
                <w:sz w:val="20"/>
                <w:lang w:val="en-US" w:eastAsia="zh-CN"/>
                <w14:textFill>
                  <w14:solidFill>
                    <w14:schemeClr w14:val="tx1"/>
                  </w14:solidFill>
                </w14:textFill>
              </w:rPr>
            </w:pPr>
            <w:r>
              <w:rPr>
                <w:rFonts w:hint="eastAsia" w:ascii="Arial"/>
                <w:color w:val="000000" w:themeColor="text1"/>
                <w:spacing w:val="0"/>
                <w:sz w:val="20"/>
                <w:lang w:eastAsia="zh-CN"/>
                <w14:textFill>
                  <w14:solidFill>
                    <w14:schemeClr w14:val="tx1"/>
                  </w14:solidFill>
                </w14:textFill>
              </w:rPr>
              <w:t>完成</w:t>
            </w:r>
            <w:r>
              <w:rPr>
                <w:rFonts w:hint="eastAsia" w:ascii="Arial"/>
                <w:color w:val="000000" w:themeColor="text1"/>
                <w:spacing w:val="0"/>
                <w:sz w:val="20"/>
                <w:lang w:val="en-US" w:eastAsia="zh-CN"/>
                <w14:textFill>
                  <w14:solidFill>
                    <w14:schemeClr w14:val="tx1"/>
                  </w14:solidFill>
                </w14:textFill>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020" w:type="dxa"/>
            <w:vMerge w:val="restart"/>
            <w:tcBorders>
              <w:bottom w:val="nil"/>
            </w:tcBorders>
            <w:textDirection w:val="tbRlV"/>
            <w:vAlign w:val="top"/>
          </w:tcPr>
          <w:p>
            <w:pPr>
              <w:keepNext w:val="0"/>
              <w:keepLines w:val="0"/>
              <w:pageBreakBefore w:val="0"/>
              <w:widowControl w:val="0"/>
              <w:kinsoku/>
              <w:wordWrap/>
              <w:overflowPunct/>
              <w:topLinePunct w:val="0"/>
              <w:autoSpaceDE/>
              <w:autoSpaceDN/>
              <w:bidi w:val="0"/>
              <w:adjustRightInd/>
              <w:snapToGrid/>
              <w:spacing w:line="367" w:lineRule="auto"/>
              <w:ind w:left="0" w:right="0" w:firstLine="0"/>
              <w:jc w:val="center"/>
              <w:textAlignment w:val="auto"/>
              <w:rPr>
                <w:rFonts w:ascii="Arial"/>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17" w:lineRule="auto"/>
              <w:ind w:left="0" w:right="0" w:firstLine="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绩效指标</w:t>
            </w:r>
          </w:p>
        </w:tc>
        <w:tc>
          <w:tcPr>
            <w:tcW w:w="1143" w:type="dxa"/>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一级指标</w:t>
            </w:r>
          </w:p>
        </w:tc>
        <w:tc>
          <w:tcPr>
            <w:tcW w:w="1029" w:type="dxa"/>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二级指标</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三级指标</w:t>
            </w:r>
          </w:p>
        </w:tc>
        <w:tc>
          <w:tcPr>
            <w:tcW w:w="1297" w:type="dxa"/>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年度指标值</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实际完成值</w:t>
            </w: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分值</w:t>
            </w:r>
          </w:p>
        </w:tc>
        <w:tc>
          <w:tcPr>
            <w:tcW w:w="802" w:type="dxa"/>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得分</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11"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偏差原因分析</w:t>
            </w:r>
          </w:p>
          <w:p>
            <w:pPr>
              <w:keepNext w:val="0"/>
              <w:keepLines w:val="0"/>
              <w:pageBreakBefore w:val="0"/>
              <w:widowControl w:val="0"/>
              <w:kinsoku/>
              <w:wordWrap/>
              <w:overflowPunct/>
              <w:topLinePunct w:val="0"/>
              <w:autoSpaceDE/>
              <w:autoSpaceDN/>
              <w:bidi w:val="0"/>
              <w:adjustRightInd/>
              <w:snapToGrid/>
              <w:spacing w:line="190"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20"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143"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69" w:lineRule="auto"/>
              <w:ind w:left="0"/>
              <w:jc w:val="center"/>
              <w:textAlignment w:val="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69" w:lineRule="auto"/>
              <w:ind w:left="0"/>
              <w:jc w:val="center"/>
              <w:textAlignment w:val="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70" w:lineRule="auto"/>
              <w:ind w:left="0"/>
              <w:jc w:val="center"/>
              <w:textAlignment w:val="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70" w:lineRule="auto"/>
              <w:ind w:left="0"/>
              <w:jc w:val="center"/>
              <w:textAlignment w:val="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1" w:lineRule="exact"/>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position w:val="20"/>
                <w:sz w:val="21"/>
                <w:szCs w:val="21"/>
                <w14:textFill>
                  <w14:solidFill>
                    <w14:schemeClr w14:val="tx1"/>
                  </w14:solidFill>
                </w14:textFill>
              </w:rPr>
              <w:t>产出指标</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9"/>
                <w:sz w:val="21"/>
                <w:szCs w:val="21"/>
                <w14:textFill>
                  <w14:solidFill>
                    <w14:schemeClr w14:val="tx1"/>
                  </w14:solidFill>
                </w14:textFill>
              </w:rPr>
              <w:t>(50分)</w:t>
            </w:r>
          </w:p>
        </w:tc>
        <w:tc>
          <w:tcPr>
            <w:tcW w:w="102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数量指标</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14:textFill>
                  <w14:solidFill>
                    <w14:schemeClr w14:val="tx1"/>
                  </w14:solidFill>
                </w14:textFill>
              </w:rPr>
              <w:t>强力开展各项行动</w:t>
            </w:r>
          </w:p>
        </w:tc>
        <w:tc>
          <w:tcPr>
            <w:tcW w:w="1297"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hint="eastAsia"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10次</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10次</w:t>
            </w: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hint="eastAsia"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10</w:t>
            </w:r>
          </w:p>
        </w:tc>
        <w:tc>
          <w:tcPr>
            <w:tcW w:w="802"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10</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ascii="Arial"/>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20"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14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质量指标</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14:textFill>
                  <w14:solidFill>
                    <w14:schemeClr w14:val="tx1"/>
                  </w14:solidFill>
                </w14:textFill>
              </w:rPr>
              <w:t>全县环境质量达标</w:t>
            </w:r>
          </w:p>
        </w:tc>
        <w:tc>
          <w:tcPr>
            <w:tcW w:w="129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Arial" w:eastAsiaTheme="minorEastAsia"/>
                <w:color w:val="000000" w:themeColor="text1"/>
                <w:sz w:val="20"/>
                <w:lang w:val="en-US" w:eastAsia="zh-CN"/>
                <w14:textFill>
                  <w14:solidFill>
                    <w14:schemeClr w14:val="tx1"/>
                  </w14:solidFill>
                </w14:textFill>
              </w:rPr>
            </w:pPr>
            <w:r>
              <w:rPr>
                <w:rFonts w:hint="default" w:ascii="Arial" w:hAnsi="Arial" w:cs="Arial"/>
                <w:color w:val="000000" w:themeColor="text1"/>
                <w:sz w:val="20"/>
                <w14:textFill>
                  <w14:solidFill>
                    <w14:schemeClr w14:val="tx1"/>
                  </w14:solidFill>
                </w14:textFill>
              </w:rPr>
              <w:t>≥</w:t>
            </w:r>
            <w:r>
              <w:rPr>
                <w:rFonts w:hint="eastAsia" w:ascii="Arial"/>
                <w:color w:val="000000" w:themeColor="text1"/>
                <w:sz w:val="20"/>
                <w:lang w:val="en-US" w:eastAsia="zh-CN"/>
                <w14:textFill>
                  <w14:solidFill>
                    <w14:schemeClr w14:val="tx1"/>
                  </w14:solidFill>
                </w14:textFill>
              </w:rPr>
              <w:t>90%</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90%</w:t>
            </w: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10</w:t>
            </w:r>
          </w:p>
        </w:tc>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10</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ascii="Arial"/>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20"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14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时效指标</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14:textFill>
                  <w14:solidFill>
                    <w14:schemeClr w14:val="tx1"/>
                  </w14:solidFill>
                </w14:textFill>
              </w:rPr>
              <w:t>按时完成各项指标任务</w:t>
            </w:r>
          </w:p>
        </w:tc>
        <w:tc>
          <w:tcPr>
            <w:tcW w:w="1297"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2022年度</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2022年度</w:t>
            </w: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15</w:t>
            </w:r>
          </w:p>
        </w:tc>
        <w:tc>
          <w:tcPr>
            <w:tcW w:w="802"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leftChars="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15</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ascii="Arial"/>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20"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14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成本指标</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14:textFill>
                  <w14:solidFill>
                    <w14:schemeClr w14:val="tx1"/>
                  </w14:solidFill>
                </w14:textFill>
              </w:rPr>
              <w:t>财政支出绩效目标</w:t>
            </w:r>
          </w:p>
        </w:tc>
        <w:tc>
          <w:tcPr>
            <w:tcW w:w="1297"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2385.64万元</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2385.64万元</w:t>
            </w: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15</w:t>
            </w:r>
          </w:p>
        </w:tc>
        <w:tc>
          <w:tcPr>
            <w:tcW w:w="802"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leftChars="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15</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ascii="Arial"/>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20"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143"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50" w:lineRule="auto"/>
              <w:ind w:left="0"/>
              <w:jc w:val="center"/>
              <w:textAlignment w:val="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1" w:lineRule="auto"/>
              <w:ind w:left="0"/>
              <w:jc w:val="center"/>
              <w:textAlignment w:val="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1" w:lineRule="auto"/>
              <w:ind w:left="0"/>
              <w:jc w:val="center"/>
              <w:textAlignment w:val="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1" w:lineRule="auto"/>
              <w:ind w:left="0"/>
              <w:jc w:val="center"/>
              <w:textAlignment w:val="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91" w:lineRule="exact"/>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position w:val="21"/>
                <w:sz w:val="21"/>
                <w:szCs w:val="21"/>
                <w14:textFill>
                  <w14:solidFill>
                    <w14:schemeClr w14:val="tx1"/>
                  </w14:solidFill>
                </w14:textFill>
              </w:rPr>
              <w:t>效益指标</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9"/>
                <w:sz w:val="21"/>
                <w:szCs w:val="21"/>
                <w14:textFill>
                  <w14:solidFill>
                    <w14:schemeClr w14:val="tx1"/>
                  </w14:solidFill>
                </w14:textFill>
              </w:rPr>
              <w:t>(30分)</w:t>
            </w:r>
          </w:p>
        </w:tc>
        <w:tc>
          <w:tcPr>
            <w:tcW w:w="102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29"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经济效</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益指标</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14:textFill>
                  <w14:solidFill>
                    <w14:schemeClr w14:val="tx1"/>
                  </w14:solidFill>
                </w14:textFill>
              </w:rPr>
              <w:t>推动污染治理环保产业发展</w:t>
            </w:r>
          </w:p>
        </w:tc>
        <w:tc>
          <w:tcPr>
            <w:tcW w:w="129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14:textFill>
                  <w14:solidFill>
                    <w14:schemeClr w14:val="tx1"/>
                  </w14:solidFill>
                </w14:textFill>
              </w:rPr>
              <w:t xml:space="preserve">效益明显 </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Arial" w:eastAsiaTheme="minorEastAsia"/>
                <w:color w:val="000000" w:themeColor="text1"/>
                <w:sz w:val="20"/>
                <w:lang w:eastAsia="zh-CN"/>
                <w14:textFill>
                  <w14:solidFill>
                    <w14:schemeClr w14:val="tx1"/>
                  </w14:solidFill>
                </w14:textFill>
              </w:rPr>
            </w:pPr>
            <w:r>
              <w:rPr>
                <w:rFonts w:hint="eastAsia" w:ascii="Arial"/>
                <w:color w:val="000000" w:themeColor="text1"/>
                <w:sz w:val="20"/>
                <w:lang w:eastAsia="zh-CN"/>
                <w14:textFill>
                  <w14:solidFill>
                    <w14:schemeClr w14:val="tx1"/>
                  </w14:solidFill>
                </w14:textFill>
              </w:rPr>
              <w:t>有所改善</w:t>
            </w: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10</w:t>
            </w:r>
          </w:p>
        </w:tc>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10</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ascii="Arial"/>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20"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14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12"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社会效</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益指标</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14:textFill>
                  <w14:solidFill>
                    <w14:schemeClr w14:val="tx1"/>
                  </w14:solidFill>
                </w14:textFill>
              </w:rPr>
              <w:t>提升了公众环保意识，提升生态环境保护社会影响度</w:t>
            </w:r>
          </w:p>
        </w:tc>
        <w:tc>
          <w:tcPr>
            <w:tcW w:w="129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14:textFill>
                  <w14:solidFill>
                    <w14:schemeClr w14:val="tx1"/>
                  </w14:solidFill>
                </w14:textFill>
              </w:rPr>
              <w:t xml:space="preserve">效益明显 </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Arial" w:eastAsiaTheme="minorEastAsia"/>
                <w:color w:val="000000" w:themeColor="text1"/>
                <w:sz w:val="20"/>
                <w:lang w:eastAsia="zh-CN"/>
                <w14:textFill>
                  <w14:solidFill>
                    <w14:schemeClr w14:val="tx1"/>
                  </w14:solidFill>
                </w14:textFill>
              </w:rPr>
            </w:pPr>
            <w:r>
              <w:rPr>
                <w:rFonts w:hint="eastAsia" w:ascii="Arial"/>
                <w:color w:val="000000" w:themeColor="text1"/>
                <w:sz w:val="20"/>
                <w:lang w:eastAsia="zh-CN"/>
                <w14:textFill>
                  <w14:solidFill>
                    <w14:schemeClr w14:val="tx1"/>
                  </w14:solidFill>
                </w14:textFill>
              </w:rPr>
              <w:t>有所提升</w:t>
            </w: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10</w:t>
            </w:r>
          </w:p>
        </w:tc>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10</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ascii="Arial"/>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20"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14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37"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生态效</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益指标</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14:textFill>
                  <w14:solidFill>
                    <w14:schemeClr w14:val="tx1"/>
                  </w14:solidFill>
                </w14:textFill>
              </w:rPr>
              <w:t>县域生态环境考核</w:t>
            </w:r>
          </w:p>
        </w:tc>
        <w:tc>
          <w:tcPr>
            <w:tcW w:w="129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14:textFill>
                  <w14:solidFill>
                    <w14:schemeClr w14:val="tx1"/>
                  </w14:solidFill>
                </w14:textFill>
              </w:rPr>
              <w:t>达标</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14:textFill>
                  <w14:solidFill>
                    <w14:schemeClr w14:val="tx1"/>
                  </w14:solidFill>
                </w14:textFill>
              </w:rPr>
              <w:t>达标</w:t>
            </w: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5</w:t>
            </w:r>
          </w:p>
        </w:tc>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5</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ascii="Arial"/>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020"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14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03"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可持续影</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响指标</w:t>
            </w:r>
          </w:p>
        </w:tc>
        <w:tc>
          <w:tcPr>
            <w:tcW w:w="1291"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r>
              <w:rPr>
                <w:rFonts w:hint="eastAsia" w:ascii="Arial"/>
                <w:color w:val="000000" w:themeColor="text1"/>
                <w:sz w:val="21"/>
                <w14:textFill>
                  <w14:solidFill>
                    <w14:schemeClr w14:val="tx1"/>
                  </w14:solidFill>
                </w14:textFill>
              </w:rPr>
              <w:t>绿色发展稳步推进</w:t>
            </w:r>
          </w:p>
        </w:tc>
        <w:tc>
          <w:tcPr>
            <w:tcW w:w="1297"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r>
              <w:rPr>
                <w:rFonts w:hint="eastAsia" w:ascii="Arial"/>
                <w:color w:val="000000" w:themeColor="text1"/>
                <w:sz w:val="21"/>
                <w14:textFill>
                  <w14:solidFill>
                    <w14:schemeClr w14:val="tx1"/>
                  </w14:solidFill>
                </w14:textFill>
              </w:rPr>
              <w:t xml:space="preserve">效益明显 </w:t>
            </w:r>
          </w:p>
        </w:tc>
        <w:tc>
          <w:tcPr>
            <w:tcW w:w="125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r>
              <w:rPr>
                <w:rFonts w:hint="eastAsia" w:ascii="Arial"/>
                <w:color w:val="000000" w:themeColor="text1"/>
                <w:sz w:val="21"/>
                <w14:textFill>
                  <w14:solidFill>
                    <w14:schemeClr w14:val="tx1"/>
                  </w14:solidFill>
                </w14:textFill>
              </w:rPr>
              <w:t>效益明显</w:t>
            </w:r>
          </w:p>
        </w:tc>
        <w:tc>
          <w:tcPr>
            <w:tcW w:w="71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Arial" w:eastAsiaTheme="minorEastAsia"/>
                <w:color w:val="000000" w:themeColor="text1"/>
                <w:sz w:val="21"/>
                <w:lang w:val="en-US" w:eastAsia="zh-CN"/>
                <w14:textFill>
                  <w14:solidFill>
                    <w14:schemeClr w14:val="tx1"/>
                  </w14:solidFill>
                </w14:textFill>
              </w:rPr>
            </w:pPr>
            <w:r>
              <w:rPr>
                <w:rFonts w:hint="eastAsia" w:ascii="Arial"/>
                <w:color w:val="000000" w:themeColor="text1"/>
                <w:sz w:val="21"/>
                <w:lang w:val="en-US" w:eastAsia="zh-CN"/>
                <w14:textFill>
                  <w14:solidFill>
                    <w14:schemeClr w14:val="tx1"/>
                  </w14:solidFill>
                </w14:textFill>
              </w:rPr>
              <w:t>5</w:t>
            </w:r>
          </w:p>
        </w:tc>
        <w:tc>
          <w:tcPr>
            <w:tcW w:w="802"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Arial"/>
                <w:color w:val="000000" w:themeColor="text1"/>
                <w:sz w:val="21"/>
                <w14:textFill>
                  <w14:solidFill>
                    <w14:schemeClr w14:val="tx1"/>
                  </w14:solidFill>
                </w14:textFill>
              </w:rPr>
            </w:pPr>
            <w:r>
              <w:rPr>
                <w:rFonts w:hint="eastAsia" w:ascii="Arial"/>
                <w:color w:val="000000" w:themeColor="text1"/>
                <w:sz w:val="21"/>
                <w:lang w:val="en-US" w:eastAsia="zh-CN"/>
                <w14:textFill>
                  <w14:solidFill>
                    <w14:schemeClr w14:val="tx1"/>
                  </w14:solidFill>
                </w14:textFill>
              </w:rPr>
              <w:t>5</w:t>
            </w:r>
          </w:p>
        </w:tc>
        <w:tc>
          <w:tcPr>
            <w:tcW w:w="1275"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020"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143"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满意度</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指标</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9"/>
                <w:sz w:val="21"/>
                <w:szCs w:val="21"/>
                <w14:textFill>
                  <w14:solidFill>
                    <w14:schemeClr w14:val="tx1"/>
                  </w14:solidFill>
                </w14:textFill>
              </w:rPr>
              <w:t>(10分)</w:t>
            </w:r>
          </w:p>
        </w:tc>
        <w:tc>
          <w:tcPr>
            <w:tcW w:w="102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02"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服务对象</w:t>
            </w:r>
          </w:p>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满意度指</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标</w:t>
            </w:r>
          </w:p>
        </w:tc>
        <w:tc>
          <w:tcPr>
            <w:tcW w:w="1291"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r>
              <w:rPr>
                <w:rFonts w:hint="eastAsia" w:ascii="Arial"/>
                <w:color w:val="000000" w:themeColor="text1"/>
                <w:sz w:val="21"/>
                <w14:textFill>
                  <w14:solidFill>
                    <w14:schemeClr w14:val="tx1"/>
                  </w14:solidFill>
                </w14:textFill>
              </w:rPr>
              <w:t>社会公众满意度</w:t>
            </w:r>
          </w:p>
        </w:tc>
        <w:tc>
          <w:tcPr>
            <w:tcW w:w="1297"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r>
              <w:rPr>
                <w:rFonts w:hint="default" w:ascii="Arial" w:hAnsi="Arial" w:cs="Arial"/>
                <w:color w:val="000000" w:themeColor="text1"/>
                <w:sz w:val="20"/>
                <w14:textFill>
                  <w14:solidFill>
                    <w14:schemeClr w14:val="tx1"/>
                  </w14:solidFill>
                </w14:textFill>
              </w:rPr>
              <w:t>≥</w:t>
            </w:r>
            <w:r>
              <w:rPr>
                <w:rFonts w:hint="eastAsia" w:ascii="Arial"/>
                <w:color w:val="000000" w:themeColor="text1"/>
                <w:sz w:val="20"/>
                <w:lang w:val="en-US" w:eastAsia="zh-CN"/>
                <w14:textFill>
                  <w14:solidFill>
                    <w14:schemeClr w14:val="tx1"/>
                  </w14:solidFill>
                </w14:textFill>
              </w:rPr>
              <w:t>95%</w:t>
            </w:r>
          </w:p>
        </w:tc>
        <w:tc>
          <w:tcPr>
            <w:tcW w:w="125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95%</w:t>
            </w:r>
          </w:p>
        </w:tc>
        <w:tc>
          <w:tcPr>
            <w:tcW w:w="71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Arial" w:eastAsiaTheme="minorEastAsia"/>
                <w:color w:val="000000" w:themeColor="text1"/>
                <w:sz w:val="21"/>
                <w:lang w:val="en-US" w:eastAsia="zh-CN"/>
                <w14:textFill>
                  <w14:solidFill>
                    <w14:schemeClr w14:val="tx1"/>
                  </w14:solidFill>
                </w14:textFill>
              </w:rPr>
            </w:pPr>
            <w:r>
              <w:rPr>
                <w:rFonts w:hint="eastAsia" w:ascii="Arial"/>
                <w:color w:val="000000" w:themeColor="text1"/>
                <w:sz w:val="21"/>
                <w:lang w:val="en-US" w:eastAsia="zh-CN"/>
                <w14:textFill>
                  <w14:solidFill>
                    <w14:schemeClr w14:val="tx1"/>
                  </w14:solidFill>
                </w14:textFill>
              </w:rPr>
              <w:t>10</w:t>
            </w:r>
          </w:p>
        </w:tc>
        <w:tc>
          <w:tcPr>
            <w:tcW w:w="802"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Arial" w:eastAsiaTheme="minorEastAsia"/>
                <w:color w:val="000000" w:themeColor="text1"/>
                <w:sz w:val="21"/>
                <w:lang w:val="en-US" w:eastAsia="zh-CN"/>
                <w14:textFill>
                  <w14:solidFill>
                    <w14:schemeClr w14:val="tx1"/>
                  </w14:solidFill>
                </w14:textFill>
              </w:rPr>
            </w:pPr>
            <w:r>
              <w:rPr>
                <w:rFonts w:hint="eastAsia" w:ascii="Arial"/>
                <w:color w:val="000000" w:themeColor="text1"/>
                <w:sz w:val="21"/>
                <w:lang w:val="en-US" w:eastAsia="zh-CN"/>
                <w14:textFill>
                  <w14:solidFill>
                    <w14:schemeClr w14:val="tx1"/>
                  </w14:solidFill>
                </w14:textFill>
              </w:rPr>
              <w:t>10</w:t>
            </w:r>
          </w:p>
        </w:tc>
        <w:tc>
          <w:tcPr>
            <w:tcW w:w="1275"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7039" w:type="dxa"/>
            <w:gridSpan w:val="6"/>
            <w:vAlign w:val="center"/>
          </w:tcPr>
          <w:p>
            <w:pPr>
              <w:keepNext w:val="0"/>
              <w:keepLines w:val="0"/>
              <w:pageBreakBefore w:val="0"/>
              <w:widowControl w:val="0"/>
              <w:kinsoku/>
              <w:wordWrap/>
              <w:overflowPunct/>
              <w:topLinePunct w:val="0"/>
              <w:autoSpaceDE/>
              <w:autoSpaceDN/>
              <w:bidi w:val="0"/>
              <w:adjustRightInd/>
              <w:snapToGrid/>
              <w:spacing w:line="251" w:lineRule="exact"/>
              <w:ind w:left="0" w:firstLine="3274"/>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297815" cy="158750"/>
                  <wp:effectExtent l="0" t="0" r="6985" b="13335"/>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a:stretch>
                            <a:fillRect/>
                          </a:stretch>
                        </pic:blipFill>
                        <pic:spPr>
                          <a:xfrm>
                            <a:off x="0" y="0"/>
                            <a:ext cx="297815" cy="158750"/>
                          </a:xfrm>
                          <a:prstGeom prst="rect">
                            <a:avLst/>
                          </a:prstGeom>
                          <a:noFill/>
                          <a:ln>
                            <a:noFill/>
                          </a:ln>
                        </pic:spPr>
                      </pic:pic>
                    </a:graphicData>
                  </a:graphic>
                </wp:inline>
              </w:drawing>
            </w: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16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6"/>
                <w:sz w:val="21"/>
                <w:szCs w:val="21"/>
                <w14:textFill>
                  <w14:solidFill>
                    <w14:schemeClr w14:val="tx1"/>
                  </w14:solidFill>
                </w14:textFill>
              </w:rPr>
              <w:t>100</w:t>
            </w:r>
          </w:p>
        </w:tc>
        <w:tc>
          <w:tcPr>
            <w:tcW w:w="802"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Arial" w:eastAsiaTheme="minorEastAsia"/>
                <w:color w:val="000000" w:themeColor="text1"/>
                <w:sz w:val="21"/>
                <w:lang w:val="en-US" w:eastAsia="zh-CN"/>
                <w14:textFill>
                  <w14:solidFill>
                    <w14:schemeClr w14:val="tx1"/>
                  </w14:solidFill>
                </w14:textFill>
              </w:rPr>
            </w:pPr>
            <w:r>
              <w:rPr>
                <w:rFonts w:hint="eastAsia" w:ascii="Arial"/>
                <w:color w:val="000000" w:themeColor="text1"/>
                <w:sz w:val="21"/>
                <w:lang w:val="en-US" w:eastAsia="zh-CN"/>
                <w14:textFill>
                  <w14:solidFill>
                    <w14:schemeClr w14:val="tx1"/>
                  </w14:solidFill>
                </w14:textFill>
              </w:rPr>
              <w:t>100</w:t>
            </w:r>
          </w:p>
        </w:tc>
        <w:tc>
          <w:tcPr>
            <w:tcW w:w="1275"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asciiTheme="majorEastAsia" w:hAnsiTheme="majorEastAsia" w:eastAsiaTheme="majorEastAsia" w:cstheme="majorEastAsia"/>
          <w:color w:val="000000" w:themeColor="text1"/>
          <w:spacing w:val="0"/>
          <w:position w:val="0"/>
          <w:sz w:val="23"/>
          <w:szCs w:val="23"/>
          <w:lang w:val="en-US" w:eastAsia="zh-CN"/>
          <w14:textFill>
            <w14:solidFill>
              <w14:schemeClr w14:val="tx1"/>
            </w14:solidFill>
          </w14:textFill>
        </w:rPr>
        <w:sectPr>
          <w:footerReference r:id="rId4" w:type="default"/>
          <w:pgSz w:w="11906" w:h="16838"/>
          <w:pgMar w:top="1134" w:right="1417" w:bottom="1134" w:left="1134" w:header="851" w:footer="992" w:gutter="0"/>
          <w:pgNumType w:fmt="decimal"/>
          <w:cols w:space="0" w:num="1"/>
          <w:rtlGutter w:val="0"/>
          <w:docGrid w:type="lines" w:linePitch="312" w:charSpace="0"/>
        </w:sectPr>
      </w:pPr>
      <w:r>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t>填表人</w:t>
      </w:r>
      <w:r>
        <w:rPr>
          <w:rFonts w:hint="eastAsia" w:asciiTheme="majorEastAsia" w:hAnsiTheme="majorEastAsia" w:eastAsiaTheme="majorEastAsia" w:cstheme="majorEastAsia"/>
          <w:color w:val="000000" w:themeColor="text1"/>
          <w:spacing w:val="0"/>
          <w:position w:val="0"/>
          <w:sz w:val="23"/>
          <w:szCs w:val="23"/>
          <w:lang w:eastAsia="zh-CN"/>
          <w14:textFill>
            <w14:solidFill>
              <w14:schemeClr w14:val="tx1"/>
            </w14:solidFill>
          </w14:textFill>
        </w:rPr>
        <w:t>：</w:t>
      </w:r>
      <w:r>
        <w:rPr>
          <w:rFonts w:hint="eastAsia" w:asciiTheme="majorEastAsia" w:hAnsiTheme="majorEastAsia" w:eastAsiaTheme="majorEastAsia" w:cstheme="majorEastAsia"/>
          <w:color w:val="000000" w:themeColor="text1"/>
          <w:spacing w:val="0"/>
          <w:position w:val="0"/>
          <w:sz w:val="23"/>
          <w:szCs w:val="23"/>
          <w:lang w:val="en-US" w:eastAsia="zh-CN"/>
          <w14:textFill>
            <w14:solidFill>
              <w14:schemeClr w14:val="tx1"/>
            </w14:solidFill>
          </w14:textFill>
        </w:rPr>
        <w:t>许香平</w:t>
      </w:r>
      <w:r>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t xml:space="preserve">  联系电话： </w:t>
      </w:r>
      <w:r>
        <w:rPr>
          <w:rFonts w:hint="eastAsia" w:asciiTheme="majorEastAsia" w:hAnsiTheme="majorEastAsia" w:eastAsiaTheme="majorEastAsia" w:cstheme="majorEastAsia"/>
          <w:color w:val="000000" w:themeColor="text1"/>
          <w:spacing w:val="0"/>
          <w:position w:val="0"/>
          <w:sz w:val="23"/>
          <w:szCs w:val="23"/>
          <w:lang w:val="en-US" w:eastAsia="zh-CN"/>
          <w14:textFill>
            <w14:solidFill>
              <w14:schemeClr w14:val="tx1"/>
            </w14:solidFill>
          </w14:textFill>
        </w:rPr>
        <w:t>07306223589</w:t>
      </w:r>
      <w:r>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t xml:space="preserve">      责人签字：</w:t>
      </w:r>
      <w:r>
        <w:rPr>
          <w:rFonts w:hint="eastAsia" w:asciiTheme="majorEastAsia" w:hAnsiTheme="majorEastAsia" w:eastAsiaTheme="majorEastAsia" w:cstheme="majorEastAsia"/>
          <w:color w:val="000000" w:themeColor="text1"/>
          <w:spacing w:val="0"/>
          <w:position w:val="0"/>
          <w:sz w:val="23"/>
          <w:szCs w:val="23"/>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t>填报日期：</w:t>
      </w:r>
      <w:r>
        <w:rPr>
          <w:rFonts w:hint="eastAsia" w:asciiTheme="majorEastAsia" w:hAnsiTheme="majorEastAsia" w:eastAsiaTheme="majorEastAsia" w:cstheme="majorEastAsia"/>
          <w:color w:val="000000" w:themeColor="text1"/>
          <w:spacing w:val="0"/>
          <w:position w:val="0"/>
          <w:sz w:val="23"/>
          <w:szCs w:val="23"/>
          <w:lang w:val="en-US" w:eastAsia="zh-CN"/>
          <w14:textFill>
            <w14:solidFill>
              <w14:schemeClr w14:val="tx1"/>
            </w14:solidFill>
          </w14:textFill>
        </w:rPr>
        <w:t>2023.6.25</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22"/>
          <w:position w:val="-1"/>
          <w:sz w:val="22"/>
          <w:szCs w:val="22"/>
          <w:lang w:val="en-US" w:eastAsia="zh-CN"/>
          <w14:textFill>
            <w14:solidFill>
              <w14:schemeClr w14:val="tx1"/>
            </w14:solidFill>
          </w14:textFill>
        </w:rPr>
      </w:pPr>
      <w:r>
        <w:rPr>
          <w:rFonts w:ascii="仿宋" w:hAnsi="仿宋" w:eastAsia="仿宋" w:cs="仿宋"/>
          <w:color w:val="000000" w:themeColor="text1"/>
          <w:spacing w:val="3"/>
          <w:sz w:val="22"/>
          <w:szCs w:val="2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sectPr>
          <w:pgSz w:w="11906" w:h="16838"/>
          <w:pgMar w:top="1134" w:right="1417" w:bottom="1134" w:left="1134" w:header="851" w:footer="992" w:gutter="0"/>
          <w:pgNumType w:fmt="decimal"/>
          <w:cols w:space="0" w:num="1"/>
          <w:rtlGutter w:val="0"/>
          <w:docGrid w:type="lines" w:linePitch="312" w:charSpace="0"/>
        </w:sectPr>
      </w:pPr>
      <w:r>
        <w:rPr>
          <w:rFonts w:hint="eastAsia" w:ascii="仿宋" w:hAnsi="仿宋" w:eastAsia="仿宋" w:cs="仿宋"/>
          <w:color w:val="000000" w:themeColor="text1"/>
          <w:spacing w:val="0"/>
          <w:position w:val="0"/>
          <w:sz w:val="22"/>
          <w:szCs w:val="2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黑体" w:hAnsi="黑体" w:eastAsia="黑体" w:cs="黑体"/>
          <w:b w:val="0"/>
          <w:bCs w:val="0"/>
          <w:color w:val="000000" w:themeColor="text1"/>
          <w:spacing w:val="10"/>
          <w:sz w:val="32"/>
          <w:szCs w:val="32"/>
          <w:lang w:val="en-US" w:eastAsia="zh-CN"/>
          <w14:textFill>
            <w14:solidFill>
              <w14:schemeClr w14:val="tx1"/>
            </w14:solidFill>
          </w14:textFill>
        </w:rPr>
      </w:pPr>
      <w:r>
        <w:rPr>
          <w:rFonts w:hint="default" w:ascii="黑体" w:hAnsi="黑体" w:eastAsia="黑体" w:cs="黑体"/>
          <w:b w:val="0"/>
          <w:bCs w:val="0"/>
          <w:color w:val="000000" w:themeColor="text1"/>
          <w:spacing w:val="10"/>
          <w:sz w:val="32"/>
          <w:szCs w:val="32"/>
          <w:lang w:val="en-US" w:eastAsia="zh-CN"/>
          <w14:textFill>
            <w14:solidFill>
              <w14:schemeClr w14:val="tx1"/>
            </w14:solidFill>
          </w14:textFill>
        </w:rPr>
        <w:t>附件</w:t>
      </w:r>
      <w:r>
        <w:rPr>
          <w:rFonts w:hint="eastAsia" w:ascii="黑体" w:hAnsi="黑体" w:eastAsia="黑体" w:cs="黑体"/>
          <w:b w:val="0"/>
          <w:bCs w:val="0"/>
          <w:color w:val="000000" w:themeColor="text1"/>
          <w:spacing w:val="10"/>
          <w:sz w:val="32"/>
          <w:szCs w:val="32"/>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default" w:ascii="方正小标宋简体" w:hAnsi="方正小标宋简体" w:eastAsia="方正小标宋简体" w:cs="方正小标宋简体"/>
          <w:b w:val="0"/>
          <w:bCs w:val="0"/>
          <w:color w:val="000000" w:themeColor="text1"/>
          <w:spacing w:val="2"/>
          <w:sz w:val="42"/>
          <w:szCs w:val="4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default" w:ascii="方正小标宋简体" w:hAnsi="方正小标宋简体" w:eastAsia="方正小标宋简体" w:cs="方正小标宋简体"/>
          <w:b w:val="0"/>
          <w:bCs w:val="0"/>
          <w:color w:val="000000" w:themeColor="text1"/>
          <w:spacing w:val="2"/>
          <w:sz w:val="44"/>
          <w:szCs w:val="44"/>
          <w:lang w:val="en-US" w:eastAsia="zh-CN"/>
          <w14:textFill>
            <w14:solidFill>
              <w14:schemeClr w14:val="tx1"/>
            </w14:solidFill>
          </w14:textFill>
        </w:rPr>
      </w:pPr>
      <w:r>
        <w:rPr>
          <w:rFonts w:hint="default" w:ascii="方正小标宋简体" w:hAnsi="方正小标宋简体" w:eastAsia="方正小标宋简体" w:cs="方正小标宋简体"/>
          <w:b w:val="0"/>
          <w:bCs w:val="0"/>
          <w:color w:val="000000" w:themeColor="text1"/>
          <w:spacing w:val="2"/>
          <w:sz w:val="44"/>
          <w:szCs w:val="44"/>
          <w:lang w:val="en-US" w:eastAsia="zh-CN"/>
          <w14:textFill>
            <w14:solidFill>
              <w14:schemeClr w14:val="tx1"/>
            </w14:solidFill>
          </w14:textFill>
        </w:rPr>
        <w:t>2022年度岳阳市生态环境局平江分局</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default" w:ascii="方正小标宋简体" w:hAnsi="方正小标宋简体" w:eastAsia="方正小标宋简体" w:cs="方正小标宋简体"/>
          <w:b w:val="0"/>
          <w:bCs w:val="0"/>
          <w:color w:val="000000" w:themeColor="text1"/>
          <w:spacing w:val="2"/>
          <w:sz w:val="44"/>
          <w:szCs w:val="44"/>
          <w:lang w:val="en-US" w:eastAsia="zh-CN"/>
          <w14:textFill>
            <w14:solidFill>
              <w14:schemeClr w14:val="tx1"/>
            </w14:solidFill>
          </w14:textFill>
        </w:rPr>
      </w:pPr>
      <w:r>
        <w:rPr>
          <w:rFonts w:hint="default" w:ascii="方正小标宋简体" w:hAnsi="方正小标宋简体" w:eastAsia="方正小标宋简体" w:cs="方正小标宋简体"/>
          <w:b w:val="0"/>
          <w:bCs w:val="0"/>
          <w:color w:val="000000" w:themeColor="text1"/>
          <w:spacing w:val="2"/>
          <w:sz w:val="44"/>
          <w:szCs w:val="44"/>
          <w:lang w:val="en-US" w:eastAsia="zh-CN"/>
          <w14:textFill>
            <w14:solidFill>
              <w14:schemeClr w14:val="tx1"/>
            </w14:solidFill>
          </w14:textFill>
        </w:rPr>
        <w:t>整体支出绩效自评报告</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楷体_GB2312" w:hAnsi="楷体_GB2312" w:eastAsia="楷体_GB2312" w:cs="楷体_GB2312"/>
          <w:color w:val="000000" w:themeColor="text1"/>
          <w:spacing w:val="0"/>
          <w:position w:val="0"/>
          <w:sz w:val="36"/>
          <w:szCs w:val="36"/>
          <w:lang w:val="en-US" w:eastAsia="zh-CN"/>
          <w14:textFill>
            <w14:solidFill>
              <w14:schemeClr w14:val="tx1"/>
            </w14:solidFill>
          </w14:textFill>
        </w:rPr>
      </w:pPr>
      <w:r>
        <w:rPr>
          <w:rFonts w:hint="eastAsia" w:ascii="楷体_GB2312" w:hAnsi="楷体_GB2312" w:eastAsia="楷体_GB2312" w:cs="楷体_GB2312"/>
          <w:color w:val="000000" w:themeColor="text1"/>
          <w:spacing w:val="0"/>
          <w:position w:val="0"/>
          <w:sz w:val="36"/>
          <w:szCs w:val="36"/>
          <w:lang w:val="en-US" w:eastAsia="zh-CN"/>
          <w14:textFill>
            <w14:solidFill>
              <w14:schemeClr w14:val="tx1"/>
            </w14:solidFill>
          </w14:textFill>
        </w:rPr>
        <w:t>部门(单位)名称：岳阳市生态环境局平江分局</w:t>
      </w:r>
    </w:p>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楷体_GB2312" w:hAnsi="楷体_GB2312" w:eastAsia="楷体_GB2312" w:cs="楷体_GB2312"/>
          <w:color w:val="000000" w:themeColor="text1"/>
          <w:spacing w:val="0"/>
          <w:position w:val="0"/>
          <w:sz w:val="36"/>
          <w:szCs w:val="36"/>
          <w:lang w:val="en-US" w:eastAsia="zh-CN"/>
          <w14:textFill>
            <w14:solidFill>
              <w14:schemeClr w14:val="tx1"/>
            </w14:solidFill>
          </w14:textFill>
        </w:rPr>
      </w:pPr>
      <w:r>
        <w:rPr>
          <w:rFonts w:hint="eastAsia" w:ascii="楷体_GB2312" w:hAnsi="楷体_GB2312" w:eastAsia="楷体_GB2312" w:cs="楷体_GB2312"/>
          <w:color w:val="000000" w:themeColor="text1"/>
          <w:spacing w:val="0"/>
          <w:position w:val="0"/>
          <w:sz w:val="36"/>
          <w:szCs w:val="36"/>
          <w:lang w:val="en-US" w:eastAsia="zh-CN"/>
          <w14:textFill>
            <w14:solidFill>
              <w14:schemeClr w14:val="tx1"/>
            </w14:solidFill>
          </w14:textFill>
        </w:rPr>
        <w:t>( 盖 章 )</w:t>
      </w:r>
    </w:p>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楷体_GB2312" w:hAnsi="楷体_GB2312" w:eastAsia="楷体_GB2312" w:cs="楷体_GB2312"/>
          <w:color w:val="000000" w:themeColor="text1"/>
          <w:spacing w:val="0"/>
          <w:position w:val="0"/>
          <w:sz w:val="36"/>
          <w:szCs w:val="36"/>
          <w:lang w:val="en-US" w:eastAsia="zh-CN"/>
          <w14:textFill>
            <w14:solidFill>
              <w14:schemeClr w14:val="tx1"/>
            </w14:solidFill>
          </w14:textFill>
        </w:rPr>
      </w:pPr>
      <w:r>
        <w:rPr>
          <w:rFonts w:hint="eastAsia" w:ascii="楷体_GB2312" w:hAnsi="楷体_GB2312" w:eastAsia="楷体_GB2312" w:cs="楷体_GB2312"/>
          <w:color w:val="000000" w:themeColor="text1"/>
          <w:spacing w:val="0"/>
          <w:position w:val="0"/>
          <w:sz w:val="36"/>
          <w:szCs w:val="36"/>
          <w:lang w:val="en-US" w:eastAsia="zh-CN"/>
          <w14:textFill>
            <w14:solidFill>
              <w14:schemeClr w14:val="tx1"/>
            </w14:solidFill>
          </w14:textFill>
        </w:rPr>
        <w:t>2023年6  月 25 日</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left="0"/>
        <w:jc w:val="center"/>
        <w:textAlignment w:val="auto"/>
        <w:rPr>
          <w:rFonts w:hint="eastAsia" w:ascii="方正小标宋简体" w:hAnsi="方正小标宋简体" w:eastAsia="方正小标宋简体" w:cs="方正小标宋简体"/>
          <w:color w:val="000000" w:themeColor="text1"/>
          <w:spacing w:val="0"/>
          <w:positio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position w:val="0"/>
          <w:sz w:val="44"/>
          <w:szCs w:val="44"/>
          <w:lang w:val="en-US" w:eastAsia="zh-CN"/>
          <w14:textFill>
            <w14:solidFill>
              <w14:schemeClr w14:val="tx1"/>
            </w14:solidFill>
          </w14:textFill>
        </w:rPr>
        <w:t>2022年度岳阳市生态环境局平江分局</w:t>
      </w:r>
    </w:p>
    <w:p>
      <w:pPr>
        <w:keepNext w:val="0"/>
        <w:keepLines w:val="0"/>
        <w:pageBreakBefore w:val="0"/>
        <w:widowControl w:val="0"/>
        <w:kinsoku/>
        <w:wordWrap/>
        <w:overflowPunct/>
        <w:topLinePunct w:val="0"/>
        <w:autoSpaceDE/>
        <w:autoSpaceDN/>
        <w:bidi w:val="0"/>
        <w:adjustRightInd/>
        <w:snapToGrid/>
        <w:spacing w:line="700" w:lineRule="exact"/>
        <w:ind w:left="0"/>
        <w:jc w:val="center"/>
        <w:textAlignment w:val="auto"/>
        <w:rPr>
          <w:rFonts w:hint="eastAsia" w:ascii="方正小标宋简体" w:hAnsi="方正小标宋简体" w:eastAsia="方正小标宋简体" w:cs="方正小标宋简体"/>
          <w:color w:val="000000" w:themeColor="text1"/>
          <w:spacing w:val="0"/>
          <w:positio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position w:val="0"/>
          <w:sz w:val="44"/>
          <w:szCs w:val="44"/>
          <w:lang w:val="en-US" w:eastAsia="zh-CN"/>
          <w14:textFill>
            <w14:solidFill>
              <w14:schemeClr w14:val="tx1"/>
            </w14:solidFill>
          </w14:textFill>
        </w:rPr>
        <w:t>整体支出绩效自评报告</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单位基本情况</w:t>
      </w:r>
    </w:p>
    <w:p>
      <w:pPr>
        <w:keepNext w:val="0"/>
        <w:keepLines w:val="0"/>
        <w:pageBreakBefore w:val="0"/>
        <w:widowControl w:val="0"/>
        <w:kinsoku/>
        <w:wordWrap/>
        <w:overflowPunct/>
        <w:topLinePunct w:val="0"/>
        <w:autoSpaceDE/>
        <w:autoSpaceDN/>
        <w:bidi w:val="0"/>
        <w:adjustRightInd/>
        <w:snapToGrid/>
        <w:ind w:left="0" w:firstLine="643" w:firstLineChars="200"/>
        <w:jc w:val="left"/>
        <w:textAlignment w:val="auto"/>
        <w:rPr>
          <w:rFonts w:hint="eastAsia" w:ascii="楷体_GB2312" w:hAnsi="楷体_GB2312" w:eastAsia="楷体_GB2312" w:cs="楷体_GB2312"/>
          <w:b/>
          <w:bCs/>
          <w:color w:val="000000" w:themeColor="text1"/>
          <w:spacing w:val="0"/>
          <w:position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position w:val="0"/>
          <w:sz w:val="32"/>
          <w:szCs w:val="32"/>
          <w:lang w:val="en-US" w:eastAsia="zh-CN"/>
          <w14:textFill>
            <w14:solidFill>
              <w14:schemeClr w14:val="tx1"/>
            </w14:solidFill>
          </w14:textFill>
        </w:rPr>
        <w:t>（一）职能职责</w:t>
      </w:r>
    </w:p>
    <w:p>
      <w:pPr>
        <w:pStyle w:val="4"/>
        <w:spacing w:before="0" w:beforeAutospacing="0" w:after="0" w:afterAutospacing="0" w:line="480" w:lineRule="auto"/>
        <w:ind w:firstLine="480"/>
        <w:jc w:val="both"/>
        <w:rPr>
          <w:rFonts w:hint="eastAsia" w:ascii="仿宋" w:hAnsi="仿宋" w:eastAsia="仿宋" w:cs="仿宋"/>
          <w:color w:val="555555"/>
          <w:sz w:val="30"/>
          <w:szCs w:val="30"/>
        </w:rPr>
      </w:pPr>
      <w:r>
        <w:rPr>
          <w:rFonts w:hint="eastAsia" w:ascii="仿宋" w:hAnsi="仿宋" w:eastAsia="仿宋" w:cs="仿宋"/>
          <w:sz w:val="30"/>
          <w:szCs w:val="30"/>
        </w:rPr>
        <w:t>1、</w:t>
      </w:r>
      <w:r>
        <w:rPr>
          <w:rFonts w:hint="eastAsia" w:ascii="仿宋" w:hAnsi="仿宋" w:eastAsia="仿宋" w:cs="仿宋"/>
          <w:color w:val="555555"/>
          <w:sz w:val="30"/>
          <w:szCs w:val="30"/>
        </w:rPr>
        <w:t>受市生态环境局委托，承担辖区内的生态环境相关工作；承担市生态环境局</w:t>
      </w:r>
      <w:r>
        <w:rPr>
          <w:rFonts w:hint="eastAsia" w:ascii="仿宋" w:hAnsi="仿宋" w:eastAsia="仿宋" w:cs="仿宋"/>
          <w:color w:val="555555"/>
          <w:sz w:val="30"/>
          <w:szCs w:val="30"/>
          <w:lang w:eastAsia="zh-CN"/>
        </w:rPr>
        <w:t>和县委、县政府</w:t>
      </w:r>
      <w:r>
        <w:rPr>
          <w:rFonts w:hint="eastAsia" w:ascii="仿宋" w:hAnsi="仿宋" w:eastAsia="仿宋" w:cs="仿宋"/>
          <w:color w:val="555555"/>
          <w:sz w:val="30"/>
          <w:szCs w:val="30"/>
        </w:rPr>
        <w:t>交办的其他任务。</w:t>
      </w:r>
    </w:p>
    <w:p>
      <w:pPr>
        <w:pStyle w:val="4"/>
        <w:spacing w:before="0" w:beforeAutospacing="0" w:after="0" w:afterAutospacing="0" w:line="480" w:lineRule="auto"/>
        <w:ind w:firstLine="480"/>
        <w:jc w:val="both"/>
        <w:rPr>
          <w:rFonts w:hint="eastAsia" w:ascii="仿宋" w:hAnsi="仿宋" w:eastAsia="仿宋" w:cs="仿宋"/>
          <w:color w:val="555555"/>
          <w:sz w:val="30"/>
          <w:szCs w:val="30"/>
        </w:rPr>
      </w:pPr>
      <w:r>
        <w:rPr>
          <w:rFonts w:hint="eastAsia" w:ascii="仿宋" w:hAnsi="仿宋" w:eastAsia="仿宋" w:cs="仿宋"/>
          <w:color w:val="555555"/>
          <w:sz w:val="30"/>
          <w:szCs w:val="30"/>
        </w:rPr>
        <w:t>2、负责本辖区内重点污染源在线监控系统现场监督管理；负责受理和办理生态环境保护举报（信访），负责生态环境信访维稳事件的现场调查处置工作；负责环境县级执法事项违法案件调查处理；负责组织协调生态环境保护县级跨部门联合执法行动。</w:t>
      </w:r>
    </w:p>
    <w:p>
      <w:pPr>
        <w:pStyle w:val="4"/>
        <w:spacing w:before="0" w:beforeAutospacing="0" w:after="0" w:afterAutospacing="0" w:line="480" w:lineRule="auto"/>
        <w:ind w:firstLine="480"/>
        <w:jc w:val="both"/>
        <w:rPr>
          <w:rFonts w:hint="eastAsia" w:ascii="仿宋" w:hAnsi="仿宋" w:eastAsia="仿宋" w:cs="仿宋"/>
          <w:color w:val="555555"/>
          <w:sz w:val="30"/>
          <w:szCs w:val="30"/>
          <w:lang w:eastAsia="zh-CN"/>
        </w:rPr>
      </w:pPr>
      <w:r>
        <w:rPr>
          <w:rFonts w:hint="eastAsia" w:ascii="仿宋" w:hAnsi="仿宋" w:eastAsia="仿宋" w:cs="仿宋"/>
          <w:color w:val="555555"/>
          <w:sz w:val="30"/>
          <w:szCs w:val="30"/>
        </w:rPr>
        <w:t>3、负责本辖区生态环境</w:t>
      </w:r>
      <w:r>
        <w:rPr>
          <w:rFonts w:hint="eastAsia" w:ascii="仿宋" w:hAnsi="仿宋" w:eastAsia="仿宋" w:cs="仿宋"/>
          <w:color w:val="555555"/>
          <w:sz w:val="30"/>
          <w:szCs w:val="30"/>
          <w:lang w:eastAsia="zh-CN"/>
        </w:rPr>
        <w:t>质量监测、</w:t>
      </w:r>
      <w:r>
        <w:rPr>
          <w:rFonts w:hint="eastAsia" w:ascii="仿宋" w:hAnsi="仿宋" w:eastAsia="仿宋" w:cs="仿宋"/>
          <w:color w:val="555555"/>
          <w:sz w:val="30"/>
          <w:szCs w:val="30"/>
        </w:rPr>
        <w:t>执法监测、污染源监测和应急监测</w:t>
      </w:r>
      <w:r>
        <w:rPr>
          <w:rFonts w:hint="eastAsia" w:ascii="仿宋" w:hAnsi="仿宋" w:eastAsia="仿宋" w:cs="仿宋"/>
          <w:color w:val="555555"/>
          <w:sz w:val="30"/>
          <w:szCs w:val="30"/>
          <w:lang w:eastAsia="zh-CN"/>
        </w:rPr>
        <w:t>；负责辖区内生态文明示范县创建。</w:t>
      </w:r>
    </w:p>
    <w:p>
      <w:pPr>
        <w:pStyle w:val="4"/>
        <w:spacing w:before="0" w:beforeAutospacing="0" w:after="0" w:afterAutospacing="0" w:line="480" w:lineRule="auto"/>
        <w:ind w:firstLine="480"/>
        <w:jc w:val="both"/>
        <w:rPr>
          <w:rFonts w:hint="default" w:ascii="仿宋" w:hAnsi="仿宋" w:eastAsia="仿宋" w:cs="仿宋"/>
          <w:color w:val="555555"/>
          <w:sz w:val="30"/>
          <w:szCs w:val="30"/>
          <w:lang w:val="en-US" w:eastAsia="zh-CN"/>
        </w:rPr>
      </w:pPr>
      <w:r>
        <w:rPr>
          <w:rFonts w:hint="eastAsia" w:ascii="仿宋" w:hAnsi="仿宋" w:eastAsia="仿宋" w:cs="仿宋"/>
          <w:color w:val="555555"/>
          <w:sz w:val="30"/>
          <w:szCs w:val="30"/>
          <w:lang w:val="en-US" w:eastAsia="zh-CN"/>
        </w:rPr>
        <w:t>4、承担辖区内固体废物、化学品、持久性有机物、重金属、电磁辐射源等年度调查技术工作；承担企业固体废物、化学品等污染防治技术的指导与服务工作；参与危险（固体）废物、重金属、辐射事故应急与调查技术工作；承担废弃电器电子产品拆解技术审查和电子废物环境管理相关技术指导与服务工作。承担辖区内主要污染物排污权有偿使用和指标储备相关技术性、事务性工作。承担辖区内生态环境数据资源建设、信息系统及基础设备设施的管理运维工作，提供网络安全与信息化技术支持和服务保障。承担为机关行政审批、行政许可和综合执法等工作提供技术支撑和事务性工作。承办上级交办的其他事项。</w:t>
      </w:r>
    </w:p>
    <w:p>
      <w:pPr>
        <w:keepNext w:val="0"/>
        <w:keepLines w:val="0"/>
        <w:pageBreakBefore w:val="0"/>
        <w:widowControl w:val="0"/>
        <w:kinsoku/>
        <w:wordWrap/>
        <w:overflowPunct/>
        <w:topLinePunct w:val="0"/>
        <w:autoSpaceDE/>
        <w:autoSpaceDN/>
        <w:bidi w:val="0"/>
        <w:adjustRightInd/>
        <w:snapToGrid/>
        <w:ind w:left="0" w:firstLine="643" w:firstLineChars="200"/>
        <w:jc w:val="left"/>
        <w:textAlignment w:val="auto"/>
        <w:rPr>
          <w:rFonts w:hint="eastAsia" w:ascii="楷体_GB2312" w:hAnsi="楷体_GB2312" w:eastAsia="楷体_GB2312" w:cs="楷体_GB2312"/>
          <w:b/>
          <w:bCs/>
          <w:color w:val="000000" w:themeColor="text1"/>
          <w:spacing w:val="0"/>
          <w:position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position w:val="0"/>
          <w:sz w:val="32"/>
          <w:szCs w:val="32"/>
          <w:lang w:val="en-US" w:eastAsia="zh-CN"/>
          <w14:textFill>
            <w14:solidFill>
              <w14:schemeClr w14:val="tx1"/>
            </w14:solidFill>
          </w14:textFill>
        </w:rPr>
        <w:t>（二）机构设置</w:t>
      </w:r>
    </w:p>
    <w:p>
      <w:pPr>
        <w:widowControl/>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岳阳市生态环境局平江分局部门</w:t>
      </w:r>
      <w:r>
        <w:rPr>
          <w:rFonts w:hint="eastAsia" w:ascii="仿宋" w:hAnsi="仿宋" w:eastAsia="仿宋" w:cs="仿宋"/>
          <w:sz w:val="30"/>
          <w:szCs w:val="30"/>
          <w:lang w:eastAsia="zh-CN"/>
        </w:rPr>
        <w:t>预算</w:t>
      </w:r>
      <w:r>
        <w:rPr>
          <w:rFonts w:hint="eastAsia" w:ascii="仿宋" w:hAnsi="仿宋" w:eastAsia="仿宋" w:cs="仿宋"/>
          <w:sz w:val="30"/>
          <w:szCs w:val="30"/>
        </w:rPr>
        <w:t>包括局机关本级决算及所属二级机构（根据财政预算管理制度，所属二级机构由岳阳市生态环境局平江分局统一预算），</w:t>
      </w:r>
      <w:r>
        <w:rPr>
          <w:rFonts w:hint="eastAsia" w:ascii="仿宋" w:hAnsi="仿宋" w:eastAsia="仿宋" w:cs="仿宋"/>
          <w:sz w:val="30"/>
          <w:szCs w:val="30"/>
          <w:lang w:eastAsia="zh-CN"/>
        </w:rPr>
        <w:t>平江分局</w:t>
      </w:r>
      <w:r>
        <w:rPr>
          <w:rFonts w:hint="eastAsia" w:ascii="仿宋" w:hAnsi="仿宋" w:eastAsia="仿宋" w:cs="仿宋"/>
          <w:color w:val="555555"/>
          <w:sz w:val="30"/>
          <w:szCs w:val="30"/>
        </w:rPr>
        <w:t>现有编制数74</w:t>
      </w:r>
      <w:r>
        <w:rPr>
          <w:rFonts w:hint="eastAsia" w:ascii="仿宋" w:hAnsi="仿宋" w:eastAsia="仿宋" w:cs="仿宋"/>
          <w:color w:val="555555"/>
          <w:sz w:val="30"/>
          <w:szCs w:val="30"/>
          <w:lang w:eastAsia="zh-CN"/>
        </w:rPr>
        <w:t>人</w:t>
      </w:r>
      <w:r>
        <w:rPr>
          <w:rFonts w:hint="eastAsia" w:ascii="仿宋" w:hAnsi="仿宋" w:eastAsia="仿宋" w:cs="仿宋"/>
          <w:color w:val="555555"/>
          <w:sz w:val="30"/>
          <w:szCs w:val="30"/>
        </w:rPr>
        <w:t>，其中行政编制8</w:t>
      </w:r>
      <w:r>
        <w:rPr>
          <w:rFonts w:hint="eastAsia" w:ascii="仿宋" w:hAnsi="仿宋" w:eastAsia="仿宋" w:cs="仿宋"/>
          <w:color w:val="555555"/>
          <w:sz w:val="30"/>
          <w:szCs w:val="30"/>
          <w:lang w:eastAsia="zh-CN"/>
        </w:rPr>
        <w:t>人</w:t>
      </w:r>
      <w:r>
        <w:rPr>
          <w:rFonts w:hint="eastAsia" w:ascii="仿宋" w:hAnsi="仿宋" w:eastAsia="仿宋" w:cs="仿宋"/>
          <w:color w:val="555555"/>
          <w:sz w:val="30"/>
          <w:szCs w:val="30"/>
        </w:rPr>
        <w:t>，</w:t>
      </w:r>
      <w:r>
        <w:rPr>
          <w:rFonts w:hint="eastAsia" w:ascii="仿宋" w:hAnsi="仿宋" w:eastAsia="仿宋" w:cs="仿宋"/>
          <w:color w:val="555555"/>
          <w:sz w:val="30"/>
          <w:szCs w:val="30"/>
          <w:lang w:eastAsia="zh-CN"/>
        </w:rPr>
        <w:t>参公编制</w:t>
      </w:r>
      <w:r>
        <w:rPr>
          <w:rFonts w:hint="eastAsia" w:ascii="仿宋" w:hAnsi="仿宋" w:eastAsia="仿宋" w:cs="仿宋"/>
          <w:color w:val="555555"/>
          <w:sz w:val="30"/>
          <w:szCs w:val="30"/>
          <w:lang w:val="en-US" w:eastAsia="zh-CN"/>
        </w:rPr>
        <w:t>44人、</w:t>
      </w:r>
      <w:r>
        <w:rPr>
          <w:rFonts w:hint="eastAsia" w:ascii="仿宋" w:hAnsi="仿宋" w:eastAsia="仿宋" w:cs="仿宋"/>
          <w:color w:val="555555"/>
          <w:sz w:val="30"/>
          <w:szCs w:val="30"/>
        </w:rPr>
        <w:t>全额事业编制</w:t>
      </w:r>
      <w:r>
        <w:rPr>
          <w:rFonts w:hint="eastAsia" w:ascii="仿宋" w:hAnsi="仿宋" w:eastAsia="仿宋" w:cs="仿宋"/>
          <w:color w:val="555555"/>
          <w:sz w:val="30"/>
          <w:szCs w:val="30"/>
          <w:lang w:val="en-US" w:eastAsia="zh-CN"/>
        </w:rPr>
        <w:t>22</w:t>
      </w:r>
      <w:r>
        <w:rPr>
          <w:rFonts w:hint="eastAsia" w:ascii="仿宋" w:hAnsi="仿宋" w:eastAsia="仿宋" w:cs="仿宋"/>
          <w:color w:val="555555"/>
          <w:sz w:val="30"/>
          <w:szCs w:val="30"/>
          <w:lang w:eastAsia="zh-CN"/>
        </w:rPr>
        <w:t>人</w:t>
      </w:r>
      <w:r>
        <w:rPr>
          <w:rFonts w:hint="eastAsia" w:ascii="仿宋" w:hAnsi="仿宋" w:eastAsia="仿宋" w:cs="仿宋"/>
          <w:color w:val="555555"/>
          <w:sz w:val="30"/>
          <w:szCs w:val="30"/>
        </w:rPr>
        <w:t>。</w:t>
      </w:r>
      <w:r>
        <w:rPr>
          <w:rFonts w:hint="eastAsia" w:ascii="仿宋" w:hAnsi="仿宋" w:eastAsia="仿宋" w:cs="仿宋"/>
          <w:color w:val="555555"/>
          <w:sz w:val="30"/>
          <w:szCs w:val="30"/>
          <w:lang w:val="en-US" w:eastAsia="zh-CN"/>
        </w:rPr>
        <w:t>年初</w:t>
      </w:r>
      <w:r>
        <w:rPr>
          <w:rFonts w:hint="eastAsia" w:ascii="仿宋" w:hAnsi="仿宋" w:eastAsia="仿宋" w:cs="仿宋"/>
          <w:color w:val="555555"/>
          <w:sz w:val="30"/>
          <w:szCs w:val="30"/>
        </w:rPr>
        <w:t>在职职工</w:t>
      </w:r>
      <w:r>
        <w:rPr>
          <w:rFonts w:hint="eastAsia" w:ascii="仿宋" w:hAnsi="仿宋" w:eastAsia="仿宋" w:cs="仿宋"/>
          <w:color w:val="555555"/>
          <w:sz w:val="30"/>
          <w:szCs w:val="30"/>
          <w:lang w:val="en-US" w:eastAsia="zh-CN"/>
        </w:rPr>
        <w:t>90</w:t>
      </w:r>
      <w:r>
        <w:rPr>
          <w:rFonts w:hint="eastAsia" w:ascii="仿宋" w:hAnsi="仿宋" w:eastAsia="仿宋" w:cs="仿宋"/>
          <w:color w:val="555555"/>
          <w:sz w:val="30"/>
          <w:szCs w:val="30"/>
        </w:rPr>
        <w:t>人，其中：行政人员</w:t>
      </w:r>
      <w:r>
        <w:rPr>
          <w:rFonts w:hint="eastAsia" w:ascii="仿宋" w:hAnsi="仿宋" w:eastAsia="仿宋" w:cs="仿宋"/>
          <w:color w:val="555555"/>
          <w:sz w:val="30"/>
          <w:szCs w:val="30"/>
          <w:lang w:val="en-US" w:eastAsia="zh-CN"/>
        </w:rPr>
        <w:t>48</w:t>
      </w:r>
      <w:r>
        <w:rPr>
          <w:rFonts w:hint="eastAsia" w:ascii="仿宋" w:hAnsi="仿宋" w:eastAsia="仿宋" w:cs="仿宋"/>
          <w:color w:val="555555"/>
          <w:sz w:val="30"/>
          <w:szCs w:val="30"/>
        </w:rPr>
        <w:t>人、事业人员</w:t>
      </w:r>
      <w:r>
        <w:rPr>
          <w:rFonts w:hint="eastAsia" w:ascii="仿宋" w:hAnsi="仿宋" w:eastAsia="仿宋" w:cs="仿宋"/>
          <w:color w:val="555555"/>
          <w:sz w:val="30"/>
          <w:szCs w:val="30"/>
          <w:lang w:val="en-US" w:eastAsia="zh-CN"/>
        </w:rPr>
        <w:t>42</w:t>
      </w:r>
      <w:r>
        <w:rPr>
          <w:rFonts w:hint="eastAsia" w:ascii="仿宋" w:hAnsi="仿宋" w:eastAsia="仿宋" w:cs="仿宋"/>
          <w:color w:val="555555"/>
          <w:sz w:val="30"/>
          <w:szCs w:val="30"/>
        </w:rPr>
        <w:t>人（全额事业人员</w:t>
      </w:r>
      <w:r>
        <w:rPr>
          <w:rFonts w:hint="eastAsia" w:ascii="仿宋" w:hAnsi="仿宋" w:eastAsia="仿宋" w:cs="仿宋"/>
          <w:color w:val="555555"/>
          <w:sz w:val="30"/>
          <w:szCs w:val="30"/>
          <w:lang w:val="en-US" w:eastAsia="zh-CN"/>
        </w:rPr>
        <w:t>42</w:t>
      </w:r>
      <w:r>
        <w:rPr>
          <w:rFonts w:hint="eastAsia" w:ascii="仿宋" w:hAnsi="仿宋" w:eastAsia="仿宋" w:cs="仿宋"/>
          <w:color w:val="555555"/>
          <w:sz w:val="30"/>
          <w:szCs w:val="30"/>
        </w:rPr>
        <w:t>人）；离退休人员</w:t>
      </w:r>
      <w:r>
        <w:rPr>
          <w:rFonts w:hint="eastAsia" w:ascii="仿宋" w:hAnsi="仿宋" w:eastAsia="仿宋" w:cs="仿宋"/>
          <w:color w:val="555555"/>
          <w:sz w:val="30"/>
          <w:szCs w:val="30"/>
          <w:lang w:val="en-US" w:eastAsia="zh-CN"/>
        </w:rPr>
        <w:t>25</w:t>
      </w:r>
      <w:r>
        <w:rPr>
          <w:rFonts w:hint="eastAsia" w:ascii="仿宋" w:hAnsi="仿宋" w:eastAsia="仿宋" w:cs="仿宋"/>
          <w:color w:val="555555"/>
          <w:sz w:val="30"/>
          <w:szCs w:val="30"/>
        </w:rPr>
        <w:t>人（全额退休人员</w:t>
      </w:r>
      <w:r>
        <w:rPr>
          <w:rFonts w:hint="eastAsia" w:ascii="仿宋" w:hAnsi="仿宋" w:eastAsia="仿宋" w:cs="仿宋"/>
          <w:color w:val="555555"/>
          <w:sz w:val="30"/>
          <w:szCs w:val="30"/>
          <w:lang w:val="en-US" w:eastAsia="zh-CN"/>
        </w:rPr>
        <w:t>25</w:t>
      </w:r>
      <w:r>
        <w:rPr>
          <w:rFonts w:hint="eastAsia" w:ascii="仿宋" w:hAnsi="仿宋" w:eastAsia="仿宋" w:cs="仿宋"/>
          <w:color w:val="555555"/>
          <w:sz w:val="30"/>
          <w:szCs w:val="30"/>
        </w:rPr>
        <w:t>人）。</w:t>
      </w:r>
      <w:r>
        <w:rPr>
          <w:rFonts w:hint="eastAsia" w:ascii="仿宋" w:hAnsi="仿宋" w:eastAsia="仿宋" w:cs="仿宋"/>
          <w:color w:val="555555"/>
          <w:sz w:val="30"/>
          <w:szCs w:val="30"/>
          <w:lang w:val="en-US" w:eastAsia="zh-CN"/>
        </w:rPr>
        <w:t>年末</w:t>
      </w:r>
      <w:r>
        <w:rPr>
          <w:rFonts w:hint="eastAsia" w:ascii="仿宋" w:hAnsi="仿宋" w:eastAsia="仿宋" w:cs="仿宋"/>
          <w:color w:val="555555"/>
          <w:sz w:val="30"/>
          <w:szCs w:val="30"/>
        </w:rPr>
        <w:t>在职职工</w:t>
      </w:r>
      <w:r>
        <w:rPr>
          <w:rFonts w:hint="eastAsia" w:ascii="仿宋" w:hAnsi="仿宋" w:eastAsia="仿宋" w:cs="仿宋"/>
          <w:color w:val="555555"/>
          <w:sz w:val="30"/>
          <w:szCs w:val="30"/>
          <w:lang w:val="en-US" w:eastAsia="zh-CN"/>
        </w:rPr>
        <w:t>84</w:t>
      </w:r>
      <w:r>
        <w:rPr>
          <w:rFonts w:hint="eastAsia" w:ascii="仿宋" w:hAnsi="仿宋" w:eastAsia="仿宋" w:cs="仿宋"/>
          <w:color w:val="555555"/>
          <w:sz w:val="30"/>
          <w:szCs w:val="30"/>
        </w:rPr>
        <w:t>人，其中：行政人员</w:t>
      </w:r>
      <w:r>
        <w:rPr>
          <w:rFonts w:hint="eastAsia" w:ascii="仿宋" w:hAnsi="仿宋" w:eastAsia="仿宋" w:cs="仿宋"/>
          <w:color w:val="555555"/>
          <w:sz w:val="30"/>
          <w:szCs w:val="30"/>
          <w:lang w:val="en-US" w:eastAsia="zh-CN"/>
        </w:rPr>
        <w:t>43</w:t>
      </w:r>
      <w:r>
        <w:rPr>
          <w:rFonts w:hint="eastAsia" w:ascii="仿宋" w:hAnsi="仿宋" w:eastAsia="仿宋" w:cs="仿宋"/>
          <w:color w:val="555555"/>
          <w:sz w:val="30"/>
          <w:szCs w:val="30"/>
        </w:rPr>
        <w:t>人、事业人员</w:t>
      </w:r>
      <w:r>
        <w:rPr>
          <w:rFonts w:hint="eastAsia" w:ascii="仿宋" w:hAnsi="仿宋" w:eastAsia="仿宋" w:cs="仿宋"/>
          <w:color w:val="555555"/>
          <w:sz w:val="30"/>
          <w:szCs w:val="30"/>
          <w:lang w:val="en-US" w:eastAsia="zh-CN"/>
        </w:rPr>
        <w:t>41</w:t>
      </w:r>
      <w:r>
        <w:rPr>
          <w:rFonts w:hint="eastAsia" w:ascii="仿宋" w:hAnsi="仿宋" w:eastAsia="仿宋" w:cs="仿宋"/>
          <w:color w:val="555555"/>
          <w:sz w:val="30"/>
          <w:szCs w:val="30"/>
        </w:rPr>
        <w:t>人（全额事业人员</w:t>
      </w:r>
      <w:r>
        <w:rPr>
          <w:rFonts w:hint="eastAsia" w:ascii="仿宋" w:hAnsi="仿宋" w:eastAsia="仿宋" w:cs="仿宋"/>
          <w:color w:val="555555"/>
          <w:sz w:val="30"/>
          <w:szCs w:val="30"/>
          <w:lang w:val="en-US" w:eastAsia="zh-CN"/>
        </w:rPr>
        <w:t>41</w:t>
      </w:r>
      <w:r>
        <w:rPr>
          <w:rFonts w:hint="eastAsia" w:ascii="仿宋" w:hAnsi="仿宋" w:eastAsia="仿宋" w:cs="仿宋"/>
          <w:color w:val="555555"/>
          <w:sz w:val="30"/>
          <w:szCs w:val="30"/>
        </w:rPr>
        <w:t>人）；离退休人员</w:t>
      </w:r>
      <w:r>
        <w:rPr>
          <w:rFonts w:hint="eastAsia" w:ascii="仿宋" w:hAnsi="仿宋" w:eastAsia="仿宋" w:cs="仿宋"/>
          <w:color w:val="555555"/>
          <w:sz w:val="30"/>
          <w:szCs w:val="30"/>
          <w:lang w:val="en-US" w:eastAsia="zh-CN"/>
        </w:rPr>
        <w:t>29</w:t>
      </w:r>
      <w:r>
        <w:rPr>
          <w:rFonts w:hint="eastAsia" w:ascii="仿宋" w:hAnsi="仿宋" w:eastAsia="仿宋" w:cs="仿宋"/>
          <w:color w:val="555555"/>
          <w:sz w:val="30"/>
          <w:szCs w:val="30"/>
        </w:rPr>
        <w:t>人（全额退休人员</w:t>
      </w:r>
      <w:r>
        <w:rPr>
          <w:rFonts w:hint="eastAsia" w:ascii="仿宋" w:hAnsi="仿宋" w:eastAsia="仿宋" w:cs="仿宋"/>
          <w:color w:val="555555"/>
          <w:sz w:val="30"/>
          <w:szCs w:val="30"/>
          <w:lang w:val="en-US" w:eastAsia="zh-CN"/>
        </w:rPr>
        <w:t>29</w:t>
      </w:r>
      <w:r>
        <w:rPr>
          <w:rFonts w:hint="eastAsia" w:ascii="仿宋" w:hAnsi="仿宋" w:eastAsia="仿宋" w:cs="仿宋"/>
          <w:color w:val="555555"/>
          <w:sz w:val="30"/>
          <w:szCs w:val="30"/>
        </w:rPr>
        <w:t>人）。</w:t>
      </w:r>
      <w:r>
        <w:rPr>
          <w:rFonts w:hint="eastAsia" w:ascii="仿宋" w:hAnsi="仿宋" w:eastAsia="仿宋" w:cs="仿宋"/>
          <w:color w:val="555555"/>
          <w:sz w:val="30"/>
          <w:szCs w:val="30"/>
          <w:lang w:eastAsia="zh-CN"/>
        </w:rPr>
        <w:t>平江</w:t>
      </w:r>
      <w:r>
        <w:rPr>
          <w:rFonts w:hint="eastAsia" w:ascii="仿宋" w:hAnsi="仿宋" w:eastAsia="仿宋" w:cs="仿宋"/>
          <w:sz w:val="30"/>
          <w:szCs w:val="30"/>
        </w:rPr>
        <w:t>分局</w:t>
      </w:r>
      <w:r>
        <w:rPr>
          <w:rFonts w:hint="eastAsia" w:ascii="仿宋" w:hAnsi="仿宋" w:eastAsia="仿宋" w:cs="仿宋"/>
          <w:sz w:val="30"/>
          <w:szCs w:val="30"/>
          <w:lang w:eastAsia="zh-CN"/>
        </w:rPr>
        <w:t>“三定”设立</w:t>
      </w:r>
      <w:r>
        <w:rPr>
          <w:rFonts w:hint="eastAsia" w:ascii="仿宋" w:hAnsi="仿宋" w:eastAsia="仿宋" w:cs="仿宋"/>
          <w:sz w:val="30"/>
          <w:szCs w:val="30"/>
          <w:lang w:val="en-US" w:eastAsia="zh-CN"/>
        </w:rPr>
        <w:t>4</w:t>
      </w:r>
      <w:r>
        <w:rPr>
          <w:rFonts w:hint="eastAsia" w:ascii="仿宋" w:hAnsi="仿宋" w:eastAsia="仿宋" w:cs="仿宋"/>
          <w:sz w:val="30"/>
          <w:szCs w:val="30"/>
        </w:rPr>
        <w:t>个机构：</w:t>
      </w:r>
      <w:r>
        <w:rPr>
          <w:rFonts w:hint="eastAsia" w:ascii="仿宋" w:hAnsi="仿宋" w:eastAsia="仿宋" w:cs="仿宋"/>
          <w:color w:val="555555"/>
          <w:sz w:val="30"/>
          <w:szCs w:val="30"/>
        </w:rPr>
        <w:t>市生态环境局平江分局机关、岳阳市平江生态环境保护综合行政执法大队、岳阳市平江生态环境监测站、岳阳市平江生态环境事务中心。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firstLineChars="200"/>
        <w:jc w:val="left"/>
        <w:textAlignment w:val="center"/>
        <w:rPr>
          <w:rFonts w:hint="eastAsia" w:ascii="楷体_GB2312" w:hAnsi="楷体_GB2312" w:eastAsia="楷体_GB2312" w:cs="楷体_GB2312"/>
          <w:b/>
          <w:bCs/>
          <w:color w:val="000000" w:themeColor="text1"/>
          <w:spacing w:val="0"/>
          <w:position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position w:val="0"/>
          <w:sz w:val="32"/>
          <w:szCs w:val="32"/>
          <w:lang w:val="en-US" w:eastAsia="zh-CN"/>
          <w14:textFill>
            <w14:solidFill>
              <w14:schemeClr w14:val="tx1"/>
            </w14:solidFill>
          </w14:textFill>
        </w:rPr>
        <w:t>（三）预算单位构成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center"/>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本单位无下属单位，本次2022年部门预算公开范围仅包含本单位本级</w:t>
      </w:r>
      <w:r>
        <w:rPr>
          <w:rFonts w:hint="eastAsia" w:ascii="宋体" w:hAnsi="宋体" w:eastAsia="宋体" w:cs="宋体"/>
          <w:i w:val="0"/>
          <w:caps w:val="0"/>
          <w:color w:val="333333"/>
          <w:spacing w:val="0"/>
          <w:kern w:val="0"/>
          <w:sz w:val="32"/>
          <w:szCs w:val="32"/>
          <w:shd w:val="clear" w:fill="FFFFFF"/>
          <w:vertAlign w:val="subscript"/>
          <w:lang w:val="en-US" w:eastAsia="zh-CN" w:bidi="ar"/>
        </w:rPr>
        <w:t>。</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二、一般公共预算支出情况</w:t>
      </w:r>
    </w:p>
    <w:p>
      <w:pPr>
        <w:keepNext w:val="0"/>
        <w:keepLines w:val="0"/>
        <w:pageBreakBefore w:val="0"/>
        <w:widowControl w:val="0"/>
        <w:kinsoku/>
        <w:wordWrap/>
        <w:overflowPunct/>
        <w:topLinePunct w:val="0"/>
        <w:autoSpaceDE/>
        <w:autoSpaceDN/>
        <w:bidi w:val="0"/>
        <w:adjustRightInd/>
        <w:snapToGrid/>
        <w:ind w:left="0" w:firstLine="643" w:firstLineChars="200"/>
        <w:jc w:val="left"/>
        <w:textAlignment w:val="auto"/>
        <w:rPr>
          <w:rFonts w:hint="eastAsia" w:ascii="楷体_GB2312" w:hAnsi="楷体_GB2312" w:eastAsia="楷体_GB2312" w:cs="楷体_GB2312"/>
          <w:b/>
          <w:bCs/>
          <w:color w:val="000000" w:themeColor="text1"/>
          <w:spacing w:val="0"/>
          <w:position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position w:val="0"/>
          <w:sz w:val="32"/>
          <w:szCs w:val="32"/>
          <w:lang w:val="en-US" w:eastAsia="zh-CN"/>
          <w14:textFill>
            <w14:solidFill>
              <w14:schemeClr w14:val="tx1"/>
            </w14:solidFill>
          </w14:textFill>
        </w:rPr>
        <w:t>(一)基本支出情况</w:t>
      </w:r>
    </w:p>
    <w:p>
      <w:pPr>
        <w:ind w:firstLine="640" w:firstLineChars="200"/>
        <w:jc w:val="left"/>
        <w:rPr>
          <w:rFonts w:hint="eastAsia" w:ascii="楷体_GB2312" w:hAnsi="楷体_GB2312" w:eastAsia="楷体_GB2312" w:cs="楷体_GB2312"/>
          <w:b/>
          <w:bCs/>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2022年基本支出年初预算数为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1502.3</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决算</w:t>
      </w:r>
      <w:r>
        <w:rPr>
          <w:rFonts w:hint="eastAsia" w:ascii="仿宋_GB2312" w:hAnsi="仿宋_GB2312" w:eastAsia="仿宋_GB2312" w:cs="仿宋_GB2312"/>
          <w:color w:val="000000" w:themeColor="text1"/>
          <w:sz w:val="32"/>
          <w:szCs w:val="32"/>
          <w14:textFill>
            <w14:solidFill>
              <w14:schemeClr w14:val="tx1"/>
            </w14:solidFill>
          </w14:textFill>
        </w:rPr>
        <w:t>实际支出数为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1874.62</w:t>
      </w:r>
      <w:r>
        <w:rPr>
          <w:rFonts w:hint="eastAsia" w:ascii="仿宋_GB2312" w:hAnsi="仿宋_GB2312" w:eastAsia="仿宋_GB2312" w:cs="仿宋_GB2312"/>
          <w:color w:val="000000" w:themeColor="text1"/>
          <w:sz w:val="32"/>
          <w:szCs w:val="32"/>
          <w14:textFill>
            <w14:solidFill>
              <w14:schemeClr w14:val="tx1"/>
            </w14:solidFill>
          </w14:textFill>
        </w:rPr>
        <w:t>万元。其中：人员经费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1412.30</w:t>
      </w:r>
      <w:r>
        <w:rPr>
          <w:rFonts w:hint="eastAsia" w:ascii="仿宋_GB2312" w:hAnsi="仿宋_GB2312" w:eastAsia="仿宋_GB2312" w:cs="仿宋_GB2312"/>
          <w:color w:val="000000" w:themeColor="text1"/>
          <w:sz w:val="32"/>
          <w:szCs w:val="32"/>
          <w14:textFill>
            <w14:solidFill>
              <w14:schemeClr w14:val="tx1"/>
            </w14:solidFill>
          </w14:textFill>
        </w:rPr>
        <w:t>万元，主要包括：基本工资、津贴补贴、奖金、绩效工资、机关事业单位基本养老保险缴费、职工基本医疗保险缴费、其他社会保障缴费、住房公积金、其他工资福利支出</w:t>
      </w:r>
      <w:r>
        <w:rPr>
          <w:rFonts w:hint="eastAsia" w:ascii="仿宋_GB2312" w:hAnsi="仿宋_GB2312" w:eastAsia="仿宋_GB2312" w:cs="仿宋_GB2312"/>
          <w:color w:val="000000" w:themeColor="text1"/>
          <w:sz w:val="32"/>
          <w:szCs w:val="32"/>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14:textFill>
            <w14:solidFill>
              <w14:schemeClr w14:val="tx1"/>
            </w14:solidFill>
          </w14:textFill>
        </w:rPr>
        <w:t>；公用经费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256.68</w:t>
      </w:r>
      <w:r>
        <w:rPr>
          <w:rFonts w:hint="eastAsia" w:ascii="仿宋_GB2312" w:hAnsi="仿宋_GB2312" w:eastAsia="仿宋_GB2312" w:cs="仿宋_GB2312"/>
          <w:color w:val="000000" w:themeColor="text1"/>
          <w:sz w:val="32"/>
          <w:szCs w:val="32"/>
          <w14:textFill>
            <w14:solidFill>
              <w14:schemeClr w14:val="tx1"/>
            </w14:solidFill>
          </w14:textFill>
        </w:rPr>
        <w:t>万元，主要包括：办公费、邮电费、差旅费、培训费、工会经费、其他商品和服务支出</w:t>
      </w:r>
      <w:r>
        <w:rPr>
          <w:rFonts w:hint="eastAsia" w:ascii="仿宋_GB2312" w:hAnsi="仿宋_GB2312" w:eastAsia="仿宋_GB2312" w:cs="仿宋_GB2312"/>
          <w:color w:val="000000" w:themeColor="text1"/>
          <w:sz w:val="32"/>
          <w:szCs w:val="32"/>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ind w:left="0" w:firstLine="643" w:firstLineChars="200"/>
        <w:jc w:val="left"/>
        <w:textAlignment w:val="auto"/>
        <w:rPr>
          <w:rFonts w:hint="eastAsia" w:ascii="楷体_GB2312" w:hAnsi="楷体_GB2312" w:eastAsia="楷体_GB2312" w:cs="楷体_GB2312"/>
          <w:b/>
          <w:bCs/>
          <w:color w:val="000000" w:themeColor="text1"/>
          <w:spacing w:val="0"/>
          <w:position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position w:val="0"/>
          <w:sz w:val="32"/>
          <w:szCs w:val="32"/>
          <w:lang w:val="en-US" w:eastAsia="zh-CN"/>
          <w14:textFill>
            <w14:solidFill>
              <w14:schemeClr w14:val="tx1"/>
            </w14:solidFill>
          </w14:textFill>
        </w:rPr>
        <w:t>项目支出情况</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楷体_GB2312" w:hAnsi="楷体_GB2312" w:eastAsia="楷体_GB2312" w:cs="楷体_GB2312"/>
          <w:b/>
          <w:bCs/>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olor w:val="000000"/>
          <w:sz w:val="32"/>
        </w:rPr>
        <w:t>2022年项目支出年初预算数为167.73万元，决算实际支出数为</w:t>
      </w:r>
      <w:r>
        <w:rPr>
          <w:rFonts w:hint="eastAsia" w:ascii="仿宋_GB2312" w:hAnsi="仿宋_GB2312" w:eastAsia="仿宋_GB2312"/>
          <w:color w:val="000000"/>
          <w:sz w:val="32"/>
          <w:lang w:val="en-US" w:eastAsia="zh-CN"/>
        </w:rPr>
        <w:t>259.64</w:t>
      </w:r>
      <w:r>
        <w:rPr>
          <w:rFonts w:hint="eastAsia" w:ascii="仿宋_GB2312" w:hAnsi="仿宋_GB2312" w:eastAsia="仿宋_GB2312"/>
          <w:color w:val="000000"/>
          <w:sz w:val="32"/>
        </w:rPr>
        <w:t>万</w:t>
      </w:r>
      <w:r>
        <w:rPr>
          <w:rFonts w:hint="eastAsia" w:ascii="仿宋" w:hAnsi="仿宋" w:eastAsia="仿宋"/>
          <w:kern w:val="0"/>
          <w:sz w:val="32"/>
        </w:rPr>
        <w:t>元</w:t>
      </w:r>
      <w:r>
        <w:rPr>
          <w:rFonts w:hint="eastAsia" w:ascii="仿宋_GB2312" w:hAnsi="仿宋_GB2312" w:eastAsia="仿宋_GB2312"/>
          <w:color w:val="000000"/>
          <w:sz w:val="32"/>
        </w:rPr>
        <w:t>。主要用于</w:t>
      </w:r>
      <w:r>
        <w:rPr>
          <w:rFonts w:hint="eastAsia" w:ascii="仿宋_GB2312" w:hAnsi="仿宋_GB2312" w:eastAsia="仿宋_GB2312"/>
          <w:color w:val="000000"/>
          <w:sz w:val="32"/>
          <w:lang w:eastAsia="zh-CN"/>
        </w:rPr>
        <w:t>业务工作经费</w:t>
      </w:r>
      <w:r>
        <w:rPr>
          <w:rFonts w:hint="eastAsia" w:ascii="仿宋_GB2312" w:hAnsi="仿宋_GB2312" w:eastAsia="仿宋_GB2312"/>
          <w:color w:val="000000"/>
          <w:sz w:val="32"/>
        </w:rPr>
        <w:t>等方面。</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三、政府性基金预算支出情况</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本单位无政府性基金预算支出情况</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四、国有资本经营预算支出情况</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本单位无国有资本经营预算支出情况</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五、社会保险基金预算支出情况</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本单位无社会保险基金预算支出情况</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六、部门整体支出绩效情况</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本单位各项项目资金其主要用途是确保单位的正常运转，促进各项工作任务顺利完成。在人员经费支出、公共支出严格执行区委区政府的各项制度。在项目经费的使用上，在保证各项任务顺利完成的同时，严格落实严厉节约的原则。三公经费的使用严格控制在预算申报的范围内。</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七、存在的问题及原因分析</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存在问题</w:t>
      </w:r>
      <w:bookmarkStart w:id="0" w:name="_GoBack"/>
      <w:bookmarkEnd w:id="0"/>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个别项目资金使用方面预算与实际存在差异。问题产生的主要原因:绩效管理水平有待提高，特别是绩效指标设置的科学性、合理性有待进一步改善。</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八、下一步改进措施</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加强财务管理，严格财务审批。在费用报账支付时，按照预算规定的费用项目和用途进行资金使用、审核，列报支付，财务核算杜绝超支现象的发生。</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加强培训。建议多开展部门整体绩效评价工作的业务工作培训，组织开展部门之间、单位之间的经验交流，特别是要组织非财务部门的人员参与评价工作，切实推进绩效评价工作的开展。</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建议市财政进一步加大环境保护资金力度，保障水、气、土攻坚“三大战役”持续推进，促进本辖区环境总体质量稳步提升。</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九、部门整体支出绩效自评结果拟应用和公开情况</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本单位高度重视此项绩效自评工作，积极落实主体责任，切实加强组织领导，按照绩效评价相关制度规定，明确具体责任人，认真开展自评，撰写了此份绩效评价报告，确保绩效自评工作顺利实施，并将按照要求进行信息公开，对存在的问题积极整改。</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报告需要以下附件：</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1、部门整体支出绩效评价基础数据表</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2、部门整体支出绩效自评表</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3、项目支出绩效自评表(一个一级项目支出一张表)</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4、政府性基金预算支出情况表</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5、国有资本经营预算支出情况表</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6、社会保险基金预算支出情况表</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p>
    <w:p>
      <w:pPr>
        <w:spacing w:before="169" w:line="776" w:lineRule="exact"/>
        <w:rPr>
          <w:rFonts w:hint="eastAsia" w:ascii="宋体" w:hAnsi="宋体" w:eastAsia="宋体" w:cs="宋体"/>
          <w:b/>
          <w:bCs/>
          <w:color w:val="000000" w:themeColor="text1"/>
          <w:spacing w:val="19"/>
          <w:position w:val="17"/>
          <w:sz w:val="36"/>
          <w:szCs w:val="36"/>
          <w:lang w:eastAsia="zh-CN"/>
          <w14:textFill>
            <w14:solidFill>
              <w14:schemeClr w14:val="tx1"/>
            </w14:solidFill>
          </w14:textFill>
        </w:rPr>
        <w:sectPr>
          <w:pgSz w:w="11906" w:h="16838"/>
          <w:pgMar w:top="1701" w:right="1701" w:bottom="1701" w:left="1701"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黑体" w:hAnsi="黑体" w:eastAsia="黑体" w:cs="黑体"/>
          <w:b w:val="0"/>
          <w:bCs w:val="0"/>
          <w:color w:val="000000" w:themeColor="text1"/>
          <w:spacing w:val="1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10"/>
          <w:sz w:val="32"/>
          <w:szCs w:val="32"/>
          <w:lang w:val="en-US" w:eastAsia="zh-CN"/>
          <w14:textFill>
            <w14:solidFill>
              <w14:schemeClr w14:val="tx1"/>
            </w14:solidFill>
          </w14:textFill>
        </w:rPr>
        <w:t>附件4</w:t>
      </w:r>
    </w:p>
    <w:p>
      <w:pPr>
        <w:keepNext w:val="0"/>
        <w:keepLines w:val="0"/>
        <w:pageBreakBefore w:val="0"/>
        <w:widowControl w:val="0"/>
        <w:kinsoku/>
        <w:wordWrap/>
        <w:overflowPunct/>
        <w:topLinePunct w:val="0"/>
        <w:autoSpaceDE/>
        <w:autoSpaceDN/>
        <w:bidi w:val="0"/>
        <w:adjustRightInd/>
        <w:snapToGrid/>
        <w:spacing w:line="700" w:lineRule="exact"/>
        <w:ind w:left="0"/>
        <w:jc w:val="center"/>
        <w:textAlignment w:val="auto"/>
        <w:rPr>
          <w:rFonts w:hint="eastAsia" w:ascii="方正小标宋简体" w:hAnsi="方正小标宋简体" w:eastAsia="方正小标宋简体" w:cs="方正小标宋简体"/>
          <w:color w:val="000000" w:themeColor="text1"/>
          <w:spacing w:val="0"/>
          <w:positio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position w:val="0"/>
          <w:sz w:val="44"/>
          <w:szCs w:val="44"/>
          <w:lang w:val="en-US" w:eastAsia="zh-CN"/>
          <w14:textFill>
            <w14:solidFill>
              <w14:schemeClr w14:val="tx1"/>
            </w14:solidFill>
          </w14:textFill>
        </w:rPr>
        <w:t>2022年度项目支出绩效自评表</w:t>
      </w:r>
    </w:p>
    <w:p>
      <w:pPr>
        <w:spacing w:line="252" w:lineRule="auto"/>
        <w:rPr>
          <w:rFonts w:ascii="Arial"/>
          <w:color w:val="000000" w:themeColor="text1"/>
          <w:sz w:val="21"/>
          <w14:textFill>
            <w14:solidFill>
              <w14:schemeClr w14:val="tx1"/>
            </w14:solidFill>
          </w14:textFill>
        </w:rPr>
      </w:pPr>
    </w:p>
    <w:tbl>
      <w:tblPr>
        <w:tblStyle w:val="8"/>
        <w:tblW w:w="95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3"/>
        <w:gridCol w:w="1002"/>
        <w:gridCol w:w="1080"/>
        <w:gridCol w:w="1229"/>
        <w:gridCol w:w="1131"/>
        <w:gridCol w:w="1140"/>
        <w:gridCol w:w="685"/>
        <w:gridCol w:w="795"/>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153" w:type="dxa"/>
            <w:vAlign w:val="center"/>
          </w:tcPr>
          <w:p>
            <w:pPr>
              <w:keepNext w:val="0"/>
              <w:keepLines w:val="0"/>
              <w:pageBreakBefore w:val="0"/>
              <w:widowControl w:val="0"/>
              <w:kinsoku/>
              <w:wordWrap/>
              <w:overflowPunct/>
              <w:topLinePunct w:val="0"/>
              <w:autoSpaceDE/>
              <w:autoSpaceDN/>
              <w:bidi w:val="0"/>
              <w:adjustRightInd/>
              <w:snapToGrid/>
              <w:spacing w:line="226"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项目支出</w:t>
            </w:r>
          </w:p>
          <w:p>
            <w:pPr>
              <w:keepNext w:val="0"/>
              <w:keepLines w:val="0"/>
              <w:pageBreakBefore w:val="0"/>
              <w:widowControl w:val="0"/>
              <w:kinsoku/>
              <w:wordWrap/>
              <w:overflowPunct/>
              <w:topLinePunct w:val="0"/>
              <w:autoSpaceDE/>
              <w:autoSpaceDN/>
              <w:bidi w:val="0"/>
              <w:adjustRightInd/>
              <w:snapToGrid/>
              <w:spacing w:line="226"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名称</w:t>
            </w:r>
          </w:p>
        </w:tc>
        <w:tc>
          <w:tcPr>
            <w:tcW w:w="8427" w:type="dxa"/>
            <w:gridSpan w:val="8"/>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14:textFill>
                  <w14:solidFill>
                    <w14:schemeClr w14:val="tx1"/>
                  </w14:solidFill>
                </w14:textFill>
              </w:rPr>
              <w:t>环境监测监察运行经费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1153" w:type="dxa"/>
            <w:vAlign w:val="center"/>
          </w:tcPr>
          <w:p>
            <w:pPr>
              <w:keepNext w:val="0"/>
              <w:keepLines w:val="0"/>
              <w:pageBreakBefore w:val="0"/>
              <w:widowControl w:val="0"/>
              <w:kinsoku/>
              <w:wordWrap/>
              <w:overflowPunct/>
              <w:topLinePunct w:val="0"/>
              <w:autoSpaceDE/>
              <w:autoSpaceDN/>
              <w:bidi w:val="0"/>
              <w:adjustRightInd/>
              <w:snapToGrid/>
              <w:spacing w:line="202"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主管部门</w:t>
            </w:r>
          </w:p>
        </w:tc>
        <w:tc>
          <w:tcPr>
            <w:tcW w:w="4442" w:type="dxa"/>
            <w:gridSpan w:val="4"/>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14:textFill>
                  <w14:solidFill>
                    <w14:schemeClr w14:val="tx1"/>
                  </w14:solidFill>
                </w14:textFill>
              </w:rPr>
              <w:t>岳阳市生态环境局（机关）</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实施单位</w:t>
            </w:r>
          </w:p>
        </w:tc>
        <w:tc>
          <w:tcPr>
            <w:tcW w:w="2845" w:type="dxa"/>
            <w:gridSpan w:val="3"/>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14:textFill>
                  <w14:solidFill>
                    <w14:schemeClr w14:val="tx1"/>
                  </w14:solidFill>
                </w14:textFill>
              </w:rPr>
              <w:t>岳阳市生态环境局平江分局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153"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54" w:lineRule="auto"/>
              <w:ind w:left="0" w:right="0"/>
              <w:jc w:val="center"/>
              <w:textAlignment w:val="auto"/>
              <w:rPr>
                <w:rFonts w:ascii="Arial"/>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5" w:lineRule="auto"/>
              <w:ind w:left="0" w:right="0"/>
              <w:jc w:val="center"/>
              <w:textAlignment w:val="auto"/>
              <w:rPr>
                <w:rFonts w:ascii="Arial"/>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项目资金</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(万元)</w:t>
            </w:r>
          </w:p>
        </w:tc>
        <w:tc>
          <w:tcPr>
            <w:tcW w:w="2082"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年初</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预算数</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全年</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预算数</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全年</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执行数</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分值</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执行率</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15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2082" w:type="dxa"/>
            <w:gridSpan w:val="2"/>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年度资金总额</w:t>
            </w:r>
          </w:p>
        </w:tc>
        <w:tc>
          <w:tcPr>
            <w:tcW w:w="1229"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151.73</w:t>
            </w:r>
          </w:p>
        </w:tc>
        <w:tc>
          <w:tcPr>
            <w:tcW w:w="1131"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151.73</w:t>
            </w:r>
          </w:p>
        </w:tc>
        <w:tc>
          <w:tcPr>
            <w:tcW w:w="1140"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eastAsiaTheme="minorEastAsia"/>
                <w:color w:val="000000" w:themeColor="text1"/>
                <w:spacing w:val="0"/>
                <w:sz w:val="21"/>
                <w:szCs w:val="21"/>
                <w:lang w:val="en-US" w:eastAsia="zh-CN"/>
                <w14:textFill>
                  <w14:solidFill>
                    <w14:schemeClr w14:val="tx1"/>
                  </w14:solidFill>
                </w14:textFill>
              </w:rPr>
              <w:t>151.73</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165"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position w:val="-2"/>
                <w:sz w:val="21"/>
                <w:szCs w:val="21"/>
                <w14:textFill>
                  <w14:solidFill>
                    <w14:schemeClr w14:val="tx1"/>
                  </w14:solidFill>
                </w14:textFill>
              </w:rPr>
              <w:t>10</w:t>
            </w:r>
          </w:p>
        </w:tc>
        <w:tc>
          <w:tcPr>
            <w:tcW w:w="79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100%</w:t>
            </w:r>
          </w:p>
        </w:tc>
        <w:tc>
          <w:tcPr>
            <w:tcW w:w="136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15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2082" w:type="dxa"/>
            <w:gridSpan w:val="2"/>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其中：当年财政拨款</w:t>
            </w:r>
          </w:p>
        </w:tc>
        <w:tc>
          <w:tcPr>
            <w:tcW w:w="1229"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15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2082" w:type="dxa"/>
            <w:gridSpan w:val="2"/>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上年结转资金</w:t>
            </w:r>
          </w:p>
        </w:tc>
        <w:tc>
          <w:tcPr>
            <w:tcW w:w="1229"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15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2082"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其他资金</w:t>
            </w:r>
          </w:p>
        </w:tc>
        <w:tc>
          <w:tcPr>
            <w:tcW w:w="1229"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153"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06" w:lineRule="auto"/>
              <w:ind w:left="0" w:right="0" w:hanging="20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年度总体</w:t>
            </w:r>
          </w:p>
          <w:p>
            <w:pPr>
              <w:keepNext w:val="0"/>
              <w:keepLines w:val="0"/>
              <w:pageBreakBefore w:val="0"/>
              <w:widowControl w:val="0"/>
              <w:kinsoku/>
              <w:wordWrap/>
              <w:overflowPunct/>
              <w:topLinePunct w:val="0"/>
              <w:autoSpaceDE/>
              <w:autoSpaceDN/>
              <w:bidi w:val="0"/>
              <w:adjustRightInd/>
              <w:snapToGrid/>
              <w:spacing w:line="206" w:lineRule="auto"/>
              <w:ind w:left="0" w:right="0" w:hanging="20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目标</w:t>
            </w:r>
          </w:p>
        </w:tc>
        <w:tc>
          <w:tcPr>
            <w:tcW w:w="4442" w:type="dxa"/>
            <w:gridSpan w:val="4"/>
            <w:vAlign w:val="center"/>
          </w:tcPr>
          <w:p>
            <w:pPr>
              <w:keepNext w:val="0"/>
              <w:keepLines w:val="0"/>
              <w:pageBreakBefore w:val="0"/>
              <w:widowControl w:val="0"/>
              <w:kinsoku/>
              <w:wordWrap/>
              <w:overflowPunct/>
              <w:topLinePunct w:val="0"/>
              <w:autoSpaceDE/>
              <w:autoSpaceDN/>
              <w:bidi w:val="0"/>
              <w:adjustRightInd/>
              <w:snapToGrid/>
              <w:spacing w:line="20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预期目标</w:t>
            </w:r>
          </w:p>
        </w:tc>
        <w:tc>
          <w:tcPr>
            <w:tcW w:w="3985" w:type="dxa"/>
            <w:gridSpan w:val="4"/>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15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4442"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14:textFill>
                  <w14:solidFill>
                    <w14:schemeClr w14:val="tx1"/>
                  </w14:solidFill>
                </w14:textFill>
              </w:rPr>
              <w:t>开展辖区环境监察、监测日常工作，为辖区内经济建设、生态保护更好地服务</w:t>
            </w:r>
          </w:p>
        </w:tc>
        <w:tc>
          <w:tcPr>
            <w:tcW w:w="3985"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color w:val="000000" w:themeColor="text1"/>
                <w:spacing w:val="0"/>
                <w:sz w:val="21"/>
                <w:szCs w:val="21"/>
                <w:lang w:eastAsia="zh-CN"/>
                <w14:textFill>
                  <w14:solidFill>
                    <w14:schemeClr w14:val="tx1"/>
                  </w14:solidFill>
                </w14:textFill>
              </w:rPr>
              <w:t>完成</w:t>
            </w:r>
            <w:r>
              <w:rPr>
                <w:rFonts w:hint="eastAsia" w:ascii="Arial"/>
                <w:color w:val="000000" w:themeColor="text1"/>
                <w:spacing w:val="0"/>
                <w:sz w:val="21"/>
                <w:szCs w:val="21"/>
                <w:lang w:val="en-US" w:eastAsia="zh-CN"/>
                <w14:textFill>
                  <w14:solidFill>
                    <w14:schemeClr w14:val="tx1"/>
                  </w14:solidFill>
                </w14:textFill>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1153" w:type="dxa"/>
            <w:vMerge w:val="restart"/>
            <w:tcBorders>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17"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绩</w:t>
            </w: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效</w:t>
            </w: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指</w:t>
            </w: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标</w:t>
            </w:r>
          </w:p>
        </w:tc>
        <w:tc>
          <w:tcPr>
            <w:tcW w:w="100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一级指标</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二级指标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三级指标</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年度</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指标值</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实际</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完成值</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分值</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得分</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hanging="9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偏差原因分析 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115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02"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56" w:lineRule="auto"/>
              <w:ind w:left="0" w:right="0"/>
              <w:jc w:val="center"/>
              <w:textAlignment w:val="auto"/>
              <w:rPr>
                <w:rFonts w:ascii="Arial"/>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7" w:lineRule="auto"/>
              <w:ind w:left="0" w:right="0"/>
              <w:jc w:val="center"/>
              <w:textAlignment w:val="auto"/>
              <w:rPr>
                <w:rFonts w:ascii="Arial"/>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7" w:lineRule="auto"/>
              <w:ind w:left="0" w:right="0"/>
              <w:jc w:val="center"/>
              <w:textAlignment w:val="auto"/>
              <w:rPr>
                <w:rFonts w:ascii="Arial"/>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7" w:lineRule="auto"/>
              <w:ind w:left="0" w:right="0"/>
              <w:jc w:val="center"/>
              <w:textAlignment w:val="auto"/>
              <w:rPr>
                <w:rFonts w:ascii="Arial"/>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position w:val="22"/>
                <w:sz w:val="21"/>
                <w:szCs w:val="21"/>
                <w14:textFill>
                  <w14:solidFill>
                    <w14:schemeClr w14:val="tx1"/>
                  </w14:solidFill>
                </w14:textFill>
              </w:rPr>
              <w:t>产出指标</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(50分)</w:t>
            </w:r>
          </w:p>
        </w:tc>
        <w:tc>
          <w:tcPr>
            <w:tcW w:w="1080" w:type="dxa"/>
            <w:vMerge w:val="restart"/>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数量指标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14:textFill>
                  <w14:solidFill>
                    <w14:schemeClr w14:val="tx1"/>
                  </w14:solidFill>
                </w14:textFill>
              </w:rPr>
              <w:t>监管企业</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ascii="Arial"/>
                <w:color w:val="000000" w:themeColor="text1"/>
                <w:spacing w:val="0"/>
                <w:sz w:val="21"/>
                <w:szCs w:val="21"/>
                <w:lang w:val="en-US"/>
                <w14:textFill>
                  <w14:solidFill>
                    <w14:schemeClr w14:val="tx1"/>
                  </w14:solidFill>
                </w14:textFill>
              </w:rPr>
            </w:pPr>
            <w:r>
              <w:rPr>
                <w:rFonts w:hint="eastAsia" w:ascii="Arial"/>
                <w:color w:val="000000" w:themeColor="text1"/>
                <w:spacing w:val="0"/>
                <w:sz w:val="21"/>
                <w:szCs w:val="21"/>
                <w:lang w:val="en-US"/>
                <w14:textFill>
                  <w14:solidFill>
                    <w14:schemeClr w14:val="tx1"/>
                  </w14:solidFill>
                </w14:textFill>
              </w:rPr>
              <w:t>510家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color w:val="000000" w:themeColor="text1"/>
                <w:spacing w:val="0"/>
                <w:sz w:val="21"/>
                <w:szCs w:val="21"/>
                <w:lang w:val="en-US"/>
                <w14:textFill>
                  <w14:solidFill>
                    <w14:schemeClr w14:val="tx1"/>
                  </w14:solidFill>
                </w14:textFill>
              </w:rPr>
              <w:t>510家</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10</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19" w:lineRule="exact"/>
              <w:ind w:left="0" w:leftChars="0" w:right="0" w:rightChars="0"/>
              <w:jc w:val="center"/>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10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15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02"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14:textFill>
                  <w14:solidFill>
                    <w14:schemeClr w14:val="tx1"/>
                  </w14:solidFill>
                </w14:textFill>
              </w:rPr>
              <w:t>强力开展各项专项行动；委托第三方进行监督性监测</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eastAsiaTheme="minorEastAsia"/>
                <w:color w:val="000000" w:themeColor="text1"/>
                <w:spacing w:val="0"/>
                <w:sz w:val="21"/>
                <w:szCs w:val="21"/>
                <w:lang w:val="en-US" w:eastAsia="zh-CN"/>
                <w14:textFill>
                  <w14:solidFill>
                    <w14:schemeClr w14:val="tx1"/>
                  </w14:solidFill>
                </w14:textFill>
              </w:rPr>
              <w:t>≥10</w:t>
            </w:r>
            <w:r>
              <w:rPr>
                <w:rFonts w:hint="eastAsia" w:ascii="Arial"/>
                <w:color w:val="000000" w:themeColor="text1"/>
                <w:spacing w:val="0"/>
                <w:sz w:val="21"/>
                <w:szCs w:val="21"/>
                <w:lang w:val="en-US" w:eastAsia="zh-CN"/>
                <w14:textFill>
                  <w14:solidFill>
                    <w14:schemeClr w14:val="tx1"/>
                  </w14:solidFill>
                </w14:textFill>
              </w:rPr>
              <w:t>次</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10次</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10</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10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15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02"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质量指标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14:textFill>
                  <w14:solidFill>
                    <w14:schemeClr w14:val="tx1"/>
                  </w14:solidFill>
                </w14:textFill>
              </w:rPr>
              <w:t>全市环境质量达标</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eastAsiaTheme="minorEastAsia"/>
                <w:color w:val="000000" w:themeColor="text1"/>
                <w:spacing w:val="0"/>
                <w:sz w:val="21"/>
                <w:szCs w:val="21"/>
                <w:lang w:val="en-US" w:eastAsia="zh-CN"/>
                <w14:textFill>
                  <w14:solidFill>
                    <w14:schemeClr w14:val="tx1"/>
                  </w14:solidFill>
                </w14:textFill>
              </w:rPr>
              <w:t>≥90%</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90%</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10</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10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15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02"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时效指标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14:textFill>
                  <w14:solidFill>
                    <w14:schemeClr w14:val="tx1"/>
                  </w14:solidFill>
                </w14:textFill>
              </w:rPr>
              <w:t>按时完成各项指标任务</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2022年度</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leftChars="0" w:right="0" w:rightChars="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2022年度</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10</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leftChars="0" w:right="0" w:rightChars="0"/>
              <w:jc w:val="center"/>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10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 w:hRule="atLeast"/>
        </w:trPr>
        <w:tc>
          <w:tcPr>
            <w:tcW w:w="115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02"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成本指标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Arial" w:eastAsiaTheme="minorEastAsia"/>
                <w:color w:val="000000" w:themeColor="text1"/>
                <w:spacing w:val="0"/>
                <w:sz w:val="21"/>
                <w:szCs w:val="21"/>
                <w:lang w:eastAsia="zh-CN"/>
                <w14:textFill>
                  <w14:solidFill>
                    <w14:schemeClr w14:val="tx1"/>
                  </w14:solidFill>
                </w14:textFill>
              </w:rPr>
            </w:pPr>
            <w:r>
              <w:rPr>
                <w:rFonts w:hint="eastAsia" w:ascii="Arial" w:eastAsiaTheme="minorEastAsia"/>
                <w:color w:val="000000" w:themeColor="text1"/>
                <w:spacing w:val="0"/>
                <w:sz w:val="21"/>
                <w:szCs w:val="21"/>
                <w:lang w:eastAsia="zh-CN"/>
                <w14:textFill>
                  <w14:solidFill>
                    <w14:schemeClr w14:val="tx1"/>
                  </w14:solidFill>
                </w14:textFill>
              </w:rPr>
              <w:t>监察、监测运行成本</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eastAsiaTheme="minorEastAsia"/>
                <w:color w:val="000000" w:themeColor="text1"/>
                <w:spacing w:val="0"/>
                <w:sz w:val="21"/>
                <w:szCs w:val="21"/>
                <w:lang w:val="en-US" w:eastAsia="zh-CN"/>
                <w14:textFill>
                  <w14:solidFill>
                    <w14:schemeClr w14:val="tx1"/>
                  </w14:solidFill>
                </w14:textFill>
              </w:rPr>
              <w:t>151.73万元</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ascii="Arial"/>
                <w:color w:val="000000" w:themeColor="text1"/>
                <w:spacing w:val="0"/>
                <w:sz w:val="21"/>
                <w:szCs w:val="21"/>
                <w14:textFill>
                  <w14:solidFill>
                    <w14:schemeClr w14:val="tx1"/>
                  </w14:solidFill>
                </w14:textFill>
              </w:rPr>
            </w:pPr>
            <w:r>
              <w:rPr>
                <w:rFonts w:hint="eastAsia" w:ascii="Arial" w:eastAsiaTheme="minorEastAsia"/>
                <w:color w:val="000000" w:themeColor="text1"/>
                <w:spacing w:val="0"/>
                <w:sz w:val="21"/>
                <w:szCs w:val="21"/>
                <w:lang w:val="en-US" w:eastAsia="zh-CN"/>
                <w14:textFill>
                  <w14:solidFill>
                    <w14:schemeClr w14:val="tx1"/>
                  </w14:solidFill>
                </w14:textFill>
              </w:rPr>
              <w:t>151.73万元</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10</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10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115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02"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auto"/>
              <w:ind w:left="0" w:right="0"/>
              <w:jc w:val="center"/>
              <w:textAlignment w:val="auto"/>
              <w:rPr>
                <w:rFonts w:ascii="Arial"/>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1" w:lineRule="auto"/>
              <w:ind w:left="0" w:right="0"/>
              <w:jc w:val="center"/>
              <w:textAlignment w:val="auto"/>
              <w:rPr>
                <w:rFonts w:ascii="Arial"/>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1" w:lineRule="auto"/>
              <w:ind w:left="0" w:right="0"/>
              <w:jc w:val="center"/>
              <w:textAlignment w:val="auto"/>
              <w:rPr>
                <w:rFonts w:ascii="Arial"/>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9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position w:val="21"/>
                <w:sz w:val="21"/>
                <w:szCs w:val="21"/>
                <w14:textFill>
                  <w14:solidFill>
                    <w14:schemeClr w14:val="tx1"/>
                  </w14:solidFill>
                </w14:textFill>
              </w:rPr>
              <w:t>效益指标</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(30分)</w:t>
            </w: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position w:val="4"/>
                <w:sz w:val="21"/>
                <w:szCs w:val="21"/>
                <w14:textFill>
                  <w14:solidFill>
                    <w14:schemeClr w14:val="tx1"/>
                  </w14:solidFill>
                </w14:textFill>
              </w:rPr>
              <w:t>经济效</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益指标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14:textFill>
                  <w14:solidFill>
                    <w14:schemeClr w14:val="tx1"/>
                  </w14:solidFill>
                </w14:textFill>
              </w:rPr>
              <w:t>促进经济发展</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14:textFill>
                  <w14:solidFill>
                    <w14:schemeClr w14:val="tx1"/>
                  </w14:solidFill>
                </w14:textFill>
              </w:rPr>
              <w:t>经济平稳发展</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leftChars="0" w:right="0" w:rightChars="0"/>
              <w:jc w:val="center"/>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14:textFill>
                  <w14:solidFill>
                    <w14:schemeClr w14:val="tx1"/>
                  </w14:solidFill>
                </w14:textFill>
              </w:rPr>
              <w:t>经济平稳发展</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10</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leftChars="0" w:right="0" w:rightChars="0"/>
              <w:jc w:val="center"/>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10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15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02"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2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社会效</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益指标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14:textFill>
                  <w14:solidFill>
                    <w14:schemeClr w14:val="tx1"/>
                  </w14:solidFill>
                </w14:textFill>
              </w:rPr>
              <w:t>改善居民生产、生活环境，提升幸福生活指数</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Arial" w:eastAsiaTheme="minorEastAsia"/>
                <w:color w:val="000000" w:themeColor="text1"/>
                <w:spacing w:val="0"/>
                <w:sz w:val="21"/>
                <w:szCs w:val="21"/>
                <w:lang w:eastAsia="zh-CN"/>
                <w14:textFill>
                  <w14:solidFill>
                    <w14:schemeClr w14:val="tx1"/>
                  </w14:solidFill>
                </w14:textFill>
              </w:rPr>
            </w:pPr>
            <w:r>
              <w:rPr>
                <w:rFonts w:hint="eastAsia" w:ascii="Arial" w:eastAsiaTheme="minorEastAsia"/>
                <w:color w:val="000000" w:themeColor="text1"/>
                <w:spacing w:val="0"/>
                <w:sz w:val="21"/>
                <w:szCs w:val="21"/>
                <w:lang w:eastAsia="zh-CN"/>
                <w14:textFill>
                  <w14:solidFill>
                    <w14:schemeClr w14:val="tx1"/>
                  </w14:solidFill>
                </w14:textFill>
              </w:rPr>
              <w:t>有所改善</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ascii="Arial"/>
                <w:color w:val="000000" w:themeColor="text1"/>
                <w:spacing w:val="0"/>
                <w:sz w:val="21"/>
                <w:szCs w:val="21"/>
                <w14:textFill>
                  <w14:solidFill>
                    <w14:schemeClr w14:val="tx1"/>
                  </w14:solidFill>
                </w14:textFill>
              </w:rPr>
            </w:pPr>
            <w:r>
              <w:rPr>
                <w:rFonts w:hint="eastAsia" w:ascii="Arial" w:eastAsiaTheme="minorEastAsia"/>
                <w:color w:val="000000" w:themeColor="text1"/>
                <w:spacing w:val="0"/>
                <w:sz w:val="21"/>
                <w:szCs w:val="21"/>
                <w:lang w:eastAsia="zh-CN"/>
                <w14:textFill>
                  <w14:solidFill>
                    <w14:schemeClr w14:val="tx1"/>
                  </w14:solidFill>
                </w14:textFill>
              </w:rPr>
              <w:t>有所改善</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10</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default" w:ascii="Arial"/>
                <w:color w:val="000000" w:themeColor="text1"/>
                <w:spacing w:val="0"/>
                <w:sz w:val="21"/>
                <w:szCs w:val="21"/>
                <w:lang w:val="en-US"/>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10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15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02"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37"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生态效</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益指标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14:textFill>
                  <w14:solidFill>
                    <w14:schemeClr w14:val="tx1"/>
                  </w14:solidFill>
                </w14:textFill>
              </w:rPr>
              <w:t>改善居民生产、生活环境，提升幸福生活指数</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14:textFill>
                  <w14:solidFill>
                    <w14:schemeClr w14:val="tx1"/>
                  </w14:solidFill>
                </w14:textFill>
              </w:rPr>
              <w:t>有所改善</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color w:val="000000" w:themeColor="text1"/>
                <w:spacing w:val="0"/>
                <w:sz w:val="21"/>
                <w:szCs w:val="21"/>
                <w14:textFill>
                  <w14:solidFill>
                    <w14:schemeClr w14:val="tx1"/>
                  </w14:solidFill>
                </w14:textFill>
              </w:rPr>
              <w:t>有所改善</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10</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default" w:ascii="Arial" w:eastAsiaTheme="minorEastAsia"/>
                <w:color w:val="000000" w:themeColor="text1"/>
                <w:spacing w:val="0"/>
                <w:sz w:val="21"/>
                <w:szCs w:val="21"/>
                <w:lang w:val="en-US" w:eastAsia="zh-CN"/>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10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15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02"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16" w:lineRule="auto"/>
              <w:ind w:left="0" w:right="0" w:hanging="9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可持续</w:t>
            </w:r>
          </w:p>
          <w:p>
            <w:pPr>
              <w:keepNext w:val="0"/>
              <w:keepLines w:val="0"/>
              <w:pageBreakBefore w:val="0"/>
              <w:widowControl w:val="0"/>
              <w:kinsoku/>
              <w:wordWrap/>
              <w:overflowPunct/>
              <w:topLinePunct w:val="0"/>
              <w:autoSpaceDE/>
              <w:autoSpaceDN/>
              <w:bidi w:val="0"/>
              <w:adjustRightInd/>
              <w:snapToGrid/>
              <w:spacing w:line="216" w:lineRule="auto"/>
              <w:ind w:left="0" w:right="0" w:hanging="9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影响指标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Arial" w:eastAsiaTheme="minorEastAsia"/>
                <w:color w:val="000000" w:themeColor="text1"/>
                <w:spacing w:val="0"/>
                <w:sz w:val="21"/>
                <w:szCs w:val="21"/>
                <w:lang w:eastAsia="zh-CN"/>
                <w14:textFill>
                  <w14:solidFill>
                    <w14:schemeClr w14:val="tx1"/>
                  </w14:solidFill>
                </w14:textFill>
              </w:rPr>
            </w:pPr>
            <w:r>
              <w:rPr>
                <w:rFonts w:hint="eastAsia" w:ascii="仿宋" w:hAnsi="仿宋" w:eastAsia="仿宋" w:cs="仿宋"/>
                <w:kern w:val="0"/>
                <w:sz w:val="24"/>
                <w:szCs w:val="24"/>
              </w:rPr>
              <w:t>绿色发展稳步推进</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default" w:ascii="Arial" w:eastAsiaTheme="minorEastAsia"/>
                <w:color w:val="000000" w:themeColor="text1"/>
                <w:spacing w:val="0"/>
                <w:sz w:val="21"/>
                <w:szCs w:val="21"/>
                <w:lang w:val="en-US" w:eastAsia="zh-CN"/>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效益明显</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效益明显</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ascii="Arial"/>
                <w:color w:val="000000" w:themeColor="text1"/>
                <w:spacing w:val="0"/>
                <w:sz w:val="21"/>
                <w:szCs w:val="21"/>
                <w14:textFill>
                  <w14:solidFill>
                    <w14:schemeClr w14:val="tx1"/>
                  </w14:solidFill>
                </w14:textFill>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115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02"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满意度</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指标</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(10分)</w:t>
            </w: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服务对象</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满意度</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14:textFill>
                  <w14:solidFill>
                    <w14:schemeClr w14:val="tx1"/>
                  </w14:solidFill>
                </w14:textFill>
              </w:rPr>
              <w:t>受益对象满意度</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default" w:ascii="Arial" w:hAnsi="Arial" w:cs="Arial"/>
                <w:color w:val="000000" w:themeColor="text1"/>
                <w:spacing w:val="0"/>
                <w:sz w:val="21"/>
                <w:szCs w:val="21"/>
                <w14:textFill>
                  <w14:solidFill>
                    <w14:schemeClr w14:val="tx1"/>
                  </w14:solidFill>
                </w14:textFill>
              </w:rPr>
              <w:t>≥</w:t>
            </w:r>
            <w:r>
              <w:rPr>
                <w:rFonts w:hint="eastAsia" w:ascii="Arial"/>
                <w:color w:val="000000" w:themeColor="text1"/>
                <w:spacing w:val="0"/>
                <w:sz w:val="21"/>
                <w:szCs w:val="21"/>
                <w:lang w:val="en-US" w:eastAsia="zh-CN"/>
                <w14:textFill>
                  <w14:solidFill>
                    <w14:schemeClr w14:val="tx1"/>
                  </w14:solidFill>
                </w14:textFill>
              </w:rPr>
              <w:t>90%</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90%</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Arial" w:eastAsiaTheme="minorEastAsia"/>
                <w:color w:val="000000" w:themeColor="text1"/>
                <w:spacing w:val="0"/>
                <w:sz w:val="21"/>
                <w:szCs w:val="21"/>
                <w:lang w:val="en-US" w:eastAsia="zh-CN"/>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10</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10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6735" w:type="dxa"/>
            <w:gridSpan w:val="6"/>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3145"/>
              <w:jc w:val="center"/>
              <w:textAlignment w:val="auto"/>
              <w:rPr>
                <w:rFonts w:hint="eastAsia" w:eastAsiaTheme="minorEastAsia"/>
                <w:color w:val="000000" w:themeColor="text1"/>
                <w:spacing w:val="0"/>
                <w:sz w:val="21"/>
                <w:szCs w:val="21"/>
                <w:lang w:eastAsia="zh-CN"/>
                <w14:textFill>
                  <w14:solidFill>
                    <w14:schemeClr w14:val="tx1"/>
                  </w14:solidFill>
                </w14:textFill>
              </w:rPr>
            </w:pPr>
            <w:r>
              <w:rPr>
                <w:rFonts w:hint="eastAsia"/>
                <w:color w:val="000000" w:themeColor="text1"/>
                <w:spacing w:val="0"/>
                <w:sz w:val="21"/>
                <w:szCs w:val="21"/>
                <w:lang w:eastAsia="zh-CN"/>
                <w14:textFill>
                  <w14:solidFill>
                    <w14:schemeClr w14:val="tx1"/>
                  </w14:solidFill>
                </w14:textFill>
              </w:rPr>
              <w:t>总分</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16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100</w:t>
            </w:r>
          </w:p>
        </w:tc>
        <w:tc>
          <w:tcPr>
            <w:tcW w:w="79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Arial" w:eastAsiaTheme="minorEastAsia"/>
                <w:color w:val="000000" w:themeColor="text1"/>
                <w:spacing w:val="0"/>
                <w:sz w:val="21"/>
                <w:szCs w:val="21"/>
                <w:lang w:val="en-US" w:eastAsia="zh-CN"/>
                <w14:textFill>
                  <w14:solidFill>
                    <w14:schemeClr w14:val="tx1"/>
                  </w14:solidFill>
                </w14:textFill>
              </w:rPr>
            </w:pPr>
            <w:r>
              <w:rPr>
                <w:rFonts w:hint="eastAsia" w:ascii="Arial"/>
                <w:color w:val="000000" w:themeColor="text1"/>
                <w:spacing w:val="0"/>
                <w:sz w:val="21"/>
                <w:szCs w:val="21"/>
                <w:lang w:val="en-US" w:eastAsia="zh-CN"/>
                <w14:textFill>
                  <w14:solidFill>
                    <w14:schemeClr w14:val="tx1"/>
                  </w14:solidFill>
                </w14:textFill>
              </w:rPr>
              <w:t>100</w:t>
            </w:r>
          </w:p>
        </w:tc>
        <w:tc>
          <w:tcPr>
            <w:tcW w:w="136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000000" w:themeColor="text1"/>
          <w:spacing w:val="1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000000" w:themeColor="text1"/>
          <w:spacing w:val="1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10"/>
          <w:sz w:val="32"/>
          <w:szCs w:val="32"/>
          <w:lang w:val="en-US" w:eastAsia="zh-CN"/>
          <w14:textFill>
            <w14:solidFill>
              <w14:schemeClr w14:val="tx1"/>
            </w14:solidFill>
          </w14:textFill>
        </w:rPr>
        <w:t>附件5</w:t>
      </w:r>
    </w:p>
    <w:p>
      <w:pPr>
        <w:ind w:firstLine="1440" w:firstLineChars="400"/>
        <w:jc w:val="both"/>
        <w:rPr>
          <w:rFonts w:hint="eastAsia" w:eastAsia="方正小标宋简体"/>
          <w:sz w:val="36"/>
          <w:szCs w:val="36"/>
          <w:lang w:eastAsia="zh-CN"/>
        </w:rPr>
      </w:pPr>
    </w:p>
    <w:p>
      <w:pPr>
        <w:ind w:firstLine="1440" w:firstLineChars="400"/>
        <w:jc w:val="both"/>
        <w:rPr>
          <w:rFonts w:eastAsia="方正小标宋简体"/>
          <w:spacing w:val="-6"/>
          <w:sz w:val="36"/>
          <w:szCs w:val="36"/>
        </w:rPr>
      </w:pPr>
      <w:r>
        <w:rPr>
          <w:rFonts w:hint="eastAsia" w:eastAsia="方正小标宋简体"/>
          <w:sz w:val="36"/>
          <w:szCs w:val="36"/>
          <w:lang w:eastAsia="zh-CN"/>
        </w:rPr>
        <w:t>区级</w:t>
      </w:r>
      <w:r>
        <w:rPr>
          <w:rFonts w:eastAsia="方正小标宋简体"/>
          <w:sz w:val="36"/>
          <w:szCs w:val="36"/>
        </w:rPr>
        <w:t>预算</w:t>
      </w:r>
      <w:r>
        <w:rPr>
          <w:rFonts w:hint="eastAsia" w:eastAsia="方正小标宋简体"/>
          <w:sz w:val="36"/>
          <w:szCs w:val="36"/>
          <w:lang w:eastAsia="zh-CN"/>
        </w:rPr>
        <w:t>单位</w:t>
      </w:r>
      <w:r>
        <w:rPr>
          <w:rFonts w:eastAsia="方正小标宋简体"/>
          <w:spacing w:val="-6"/>
          <w:sz w:val="36"/>
          <w:szCs w:val="36"/>
        </w:rPr>
        <w:t>绩效自评工作考核评分表</w:t>
      </w:r>
    </w:p>
    <w:tbl>
      <w:tblPr>
        <w:tblStyle w:val="5"/>
        <w:tblW w:w="9510" w:type="dxa"/>
        <w:jc w:val="center"/>
        <w:tblLayout w:type="fixed"/>
        <w:tblCellMar>
          <w:top w:w="0" w:type="dxa"/>
          <w:left w:w="108" w:type="dxa"/>
          <w:bottom w:w="0" w:type="dxa"/>
          <w:right w:w="108" w:type="dxa"/>
        </w:tblCellMar>
      </w:tblPr>
      <w:tblGrid>
        <w:gridCol w:w="774"/>
        <w:gridCol w:w="1501"/>
        <w:gridCol w:w="6482"/>
        <w:gridCol w:w="753"/>
      </w:tblGrid>
      <w:tr>
        <w:tblPrEx>
          <w:tblCellMar>
            <w:top w:w="0" w:type="dxa"/>
            <w:left w:w="108" w:type="dxa"/>
            <w:bottom w:w="0" w:type="dxa"/>
            <w:right w:w="108" w:type="dxa"/>
          </w:tblCellMar>
        </w:tblPrEx>
        <w:trPr>
          <w:trHeight w:val="630" w:hRule="atLeast"/>
          <w:tblHeader/>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szCs w:val="21"/>
              </w:rPr>
            </w:pPr>
            <w:r>
              <w:rPr>
                <w:rFonts w:eastAsia="黑体"/>
                <w:szCs w:val="21"/>
              </w:rPr>
              <w:t>一级指标</w:t>
            </w:r>
          </w:p>
        </w:tc>
        <w:tc>
          <w:tcPr>
            <w:tcW w:w="1501" w:type="dxa"/>
            <w:tcBorders>
              <w:top w:val="single" w:color="auto" w:sz="4" w:space="0"/>
              <w:left w:val="nil"/>
              <w:bottom w:val="single" w:color="auto" w:sz="4" w:space="0"/>
              <w:right w:val="single" w:color="auto" w:sz="4" w:space="0"/>
            </w:tcBorders>
            <w:vAlign w:val="center"/>
          </w:tcPr>
          <w:p>
            <w:pPr>
              <w:spacing w:line="240" w:lineRule="exact"/>
              <w:jc w:val="center"/>
              <w:rPr>
                <w:rFonts w:eastAsia="黑体"/>
                <w:szCs w:val="21"/>
              </w:rPr>
            </w:pPr>
            <w:r>
              <w:rPr>
                <w:rFonts w:eastAsia="黑体"/>
                <w:szCs w:val="21"/>
              </w:rPr>
              <w:t>二级指标</w:t>
            </w:r>
          </w:p>
        </w:tc>
        <w:tc>
          <w:tcPr>
            <w:tcW w:w="6482" w:type="dxa"/>
            <w:tcBorders>
              <w:top w:val="single" w:color="auto" w:sz="4" w:space="0"/>
              <w:left w:val="nil"/>
              <w:bottom w:val="single" w:color="auto" w:sz="4" w:space="0"/>
              <w:right w:val="single" w:color="auto" w:sz="4" w:space="0"/>
            </w:tcBorders>
            <w:vAlign w:val="center"/>
          </w:tcPr>
          <w:p>
            <w:pPr>
              <w:spacing w:line="240" w:lineRule="exact"/>
              <w:jc w:val="center"/>
              <w:rPr>
                <w:rFonts w:eastAsia="黑体"/>
                <w:szCs w:val="21"/>
              </w:rPr>
            </w:pPr>
            <w:r>
              <w:rPr>
                <w:rFonts w:eastAsia="黑体"/>
                <w:szCs w:val="21"/>
              </w:rPr>
              <w:t>评分标准</w:t>
            </w:r>
          </w:p>
        </w:tc>
        <w:tc>
          <w:tcPr>
            <w:tcW w:w="753" w:type="dxa"/>
            <w:tcBorders>
              <w:top w:val="single" w:color="auto" w:sz="4" w:space="0"/>
              <w:left w:val="nil"/>
              <w:bottom w:val="single" w:color="auto" w:sz="4" w:space="0"/>
              <w:right w:val="single" w:color="auto" w:sz="4" w:space="0"/>
            </w:tcBorders>
            <w:vAlign w:val="center"/>
          </w:tcPr>
          <w:p>
            <w:pPr>
              <w:spacing w:line="240" w:lineRule="exact"/>
              <w:jc w:val="center"/>
              <w:rPr>
                <w:rFonts w:eastAsia="黑体"/>
                <w:szCs w:val="21"/>
              </w:rPr>
            </w:pPr>
            <w:r>
              <w:rPr>
                <w:rFonts w:eastAsia="黑体"/>
                <w:szCs w:val="21"/>
              </w:rPr>
              <w:t>评分</w:t>
            </w:r>
          </w:p>
        </w:tc>
      </w:tr>
      <w:tr>
        <w:tblPrEx>
          <w:tblCellMar>
            <w:top w:w="0" w:type="dxa"/>
            <w:left w:w="108" w:type="dxa"/>
            <w:bottom w:w="0" w:type="dxa"/>
            <w:right w:w="108" w:type="dxa"/>
          </w:tblCellMar>
        </w:tblPrEx>
        <w:trPr>
          <w:trHeight w:val="1234" w:hRule="atLeast"/>
          <w:jc w:val="center"/>
        </w:trPr>
        <w:tc>
          <w:tcPr>
            <w:tcW w:w="774"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实施评价</w:t>
            </w:r>
          </w:p>
          <w:p>
            <w:pPr>
              <w:spacing w:line="320" w:lineRule="exact"/>
              <w:jc w:val="center"/>
              <w:rPr>
                <w:rFonts w:hint="eastAsia" w:asciiTheme="majorEastAsia" w:hAnsiTheme="majorEastAsia" w:eastAsiaTheme="majorEastAsia" w:cstheme="majorEastAsia"/>
                <w:szCs w:val="21"/>
              </w:rPr>
            </w:pPr>
          </w:p>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30分</w:t>
            </w:r>
          </w:p>
        </w:tc>
        <w:tc>
          <w:tcPr>
            <w:tcW w:w="1501"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单位自查</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（20分）</w:t>
            </w:r>
          </w:p>
        </w:tc>
        <w:tc>
          <w:tcPr>
            <w:tcW w:w="6482" w:type="dxa"/>
            <w:tcBorders>
              <w:top w:val="single" w:color="auto" w:sz="4" w:space="0"/>
              <w:left w:val="nil"/>
              <w:bottom w:val="single" w:color="auto" w:sz="4" w:space="0"/>
              <w:right w:val="single" w:color="auto" w:sz="4" w:space="0"/>
            </w:tcBorders>
            <w:vAlign w:val="center"/>
          </w:tcPr>
          <w:p>
            <w:pPr>
              <w:spacing w:line="240" w:lineRule="exact"/>
              <w:ind w:firstLine="210"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区</w:t>
            </w:r>
            <w:r>
              <w:rPr>
                <w:rFonts w:hint="eastAsia" w:asciiTheme="majorEastAsia" w:hAnsiTheme="majorEastAsia" w:eastAsiaTheme="majorEastAsia" w:cstheme="majorEastAsia"/>
                <w:sz w:val="21"/>
                <w:szCs w:val="21"/>
              </w:rPr>
              <w:t>级预算单位都要开展绩效自查，转移支付项目单位都要开展绩效自查，区级主管部门都要汇总本区域转移支付情况；以上各项每发现一个单位没有做相应工作的，扣1分，最多扣20分。</w:t>
            </w:r>
          </w:p>
        </w:tc>
        <w:tc>
          <w:tcPr>
            <w:tcW w:w="753" w:type="dxa"/>
            <w:tcBorders>
              <w:top w:val="single" w:color="auto" w:sz="4" w:space="0"/>
              <w:left w:val="nil"/>
              <w:bottom w:val="single" w:color="auto" w:sz="4" w:space="0"/>
              <w:right w:val="single" w:color="auto" w:sz="4" w:space="0"/>
            </w:tcBorders>
            <w:vAlign w:val="center"/>
          </w:tcPr>
          <w:p>
            <w:pPr>
              <w:spacing w:line="240" w:lineRule="exact"/>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20</w:t>
            </w:r>
          </w:p>
        </w:tc>
      </w:tr>
      <w:tr>
        <w:tblPrEx>
          <w:tblCellMar>
            <w:top w:w="0" w:type="dxa"/>
            <w:left w:w="108" w:type="dxa"/>
            <w:bottom w:w="0" w:type="dxa"/>
            <w:right w:w="108" w:type="dxa"/>
          </w:tblCellMar>
        </w:tblPrEx>
        <w:trPr>
          <w:trHeight w:val="682" w:hRule="atLeast"/>
          <w:jc w:val="center"/>
        </w:trPr>
        <w:tc>
          <w:tcPr>
            <w:tcW w:w="7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szCs w:val="21"/>
              </w:rPr>
            </w:pPr>
          </w:p>
        </w:tc>
        <w:tc>
          <w:tcPr>
            <w:tcW w:w="1501" w:type="dxa"/>
            <w:tcBorders>
              <w:top w:val="nil"/>
              <w:left w:val="nil"/>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提交报告</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（10分）</w:t>
            </w:r>
          </w:p>
        </w:tc>
        <w:tc>
          <w:tcPr>
            <w:tcW w:w="6482" w:type="dxa"/>
            <w:tcBorders>
              <w:top w:val="nil"/>
              <w:left w:val="nil"/>
              <w:bottom w:val="single" w:color="auto" w:sz="4" w:space="0"/>
              <w:right w:val="single" w:color="auto" w:sz="4" w:space="0"/>
            </w:tcBorders>
            <w:vAlign w:val="center"/>
          </w:tcPr>
          <w:p>
            <w:pPr>
              <w:spacing w:line="240" w:lineRule="exact"/>
              <w:ind w:firstLine="210"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按时向</w:t>
            </w:r>
            <w:r>
              <w:rPr>
                <w:rFonts w:hint="eastAsia" w:asciiTheme="majorEastAsia" w:hAnsiTheme="majorEastAsia" w:eastAsiaTheme="majorEastAsia" w:cstheme="majorEastAsia"/>
                <w:sz w:val="21"/>
                <w:szCs w:val="21"/>
                <w:lang w:eastAsia="zh-CN"/>
              </w:rPr>
              <w:t>区</w:t>
            </w:r>
            <w:r>
              <w:rPr>
                <w:rFonts w:hint="eastAsia" w:asciiTheme="majorEastAsia" w:hAnsiTheme="majorEastAsia" w:eastAsiaTheme="majorEastAsia" w:cstheme="majorEastAsia"/>
                <w:sz w:val="21"/>
                <w:szCs w:val="21"/>
              </w:rPr>
              <w:t>财政局报送报告的得10分；每推迟一天报送报告的扣1分，最多扣10分。</w:t>
            </w:r>
          </w:p>
        </w:tc>
        <w:tc>
          <w:tcPr>
            <w:tcW w:w="753" w:type="dxa"/>
            <w:tcBorders>
              <w:top w:val="nil"/>
              <w:left w:val="nil"/>
              <w:bottom w:val="single" w:color="auto" w:sz="4" w:space="0"/>
              <w:right w:val="single" w:color="auto" w:sz="4" w:space="0"/>
            </w:tcBorders>
            <w:vAlign w:val="center"/>
          </w:tcPr>
          <w:p>
            <w:pPr>
              <w:spacing w:line="240" w:lineRule="exact"/>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10</w:t>
            </w:r>
          </w:p>
        </w:tc>
      </w:tr>
      <w:tr>
        <w:tblPrEx>
          <w:tblCellMar>
            <w:top w:w="0" w:type="dxa"/>
            <w:left w:w="108" w:type="dxa"/>
            <w:bottom w:w="0" w:type="dxa"/>
            <w:right w:w="108" w:type="dxa"/>
          </w:tblCellMar>
        </w:tblPrEx>
        <w:trPr>
          <w:trHeight w:val="1143" w:hRule="atLeast"/>
          <w:jc w:val="center"/>
        </w:trPr>
        <w:tc>
          <w:tcPr>
            <w:tcW w:w="7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自评报告</w:t>
            </w:r>
          </w:p>
          <w:p>
            <w:pPr>
              <w:spacing w:line="240" w:lineRule="exact"/>
              <w:jc w:val="center"/>
              <w:rPr>
                <w:rFonts w:hint="eastAsia" w:asciiTheme="majorEastAsia" w:hAnsiTheme="majorEastAsia" w:eastAsiaTheme="majorEastAsia" w:cstheme="majorEastAsia"/>
                <w:szCs w:val="21"/>
              </w:rPr>
            </w:pPr>
          </w:p>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lang w:val="en-US" w:eastAsia="zh-CN"/>
              </w:rPr>
              <w:t>70</w:t>
            </w:r>
            <w:r>
              <w:rPr>
                <w:rFonts w:hint="eastAsia" w:asciiTheme="majorEastAsia" w:hAnsiTheme="majorEastAsia" w:eastAsiaTheme="majorEastAsia" w:cstheme="majorEastAsia"/>
                <w:szCs w:val="21"/>
              </w:rPr>
              <w:t>分</w:t>
            </w:r>
          </w:p>
        </w:tc>
        <w:tc>
          <w:tcPr>
            <w:tcW w:w="1501"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自评报告</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的完整性</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（15分）</w:t>
            </w:r>
          </w:p>
        </w:tc>
        <w:tc>
          <w:tcPr>
            <w:tcW w:w="6482" w:type="dxa"/>
            <w:tcBorders>
              <w:top w:val="single" w:color="auto" w:sz="4" w:space="0"/>
              <w:left w:val="nil"/>
              <w:bottom w:val="single" w:color="auto" w:sz="4" w:space="0"/>
              <w:right w:val="single" w:color="auto" w:sz="4" w:space="0"/>
            </w:tcBorders>
            <w:vAlign w:val="center"/>
          </w:tcPr>
          <w:p>
            <w:pPr>
              <w:spacing w:line="240" w:lineRule="exact"/>
              <w:ind w:firstLine="210"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1.绩效自评报告正文部分内容齐全的，得8分；否则每少一个部分扣2分，最多扣8分。</w:t>
            </w:r>
          </w:p>
          <w:p>
            <w:pPr>
              <w:spacing w:line="240" w:lineRule="exact"/>
              <w:ind w:firstLine="210"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2.绩效自评报告附件部分内容齐全的，得7分；否则每少一个部分扣2分，最多扣7分。</w:t>
            </w:r>
          </w:p>
        </w:tc>
        <w:tc>
          <w:tcPr>
            <w:tcW w:w="753"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15</w:t>
            </w:r>
          </w:p>
        </w:tc>
      </w:tr>
      <w:tr>
        <w:tblPrEx>
          <w:tblCellMar>
            <w:top w:w="0" w:type="dxa"/>
            <w:left w:w="108" w:type="dxa"/>
            <w:bottom w:w="0" w:type="dxa"/>
            <w:right w:w="108" w:type="dxa"/>
          </w:tblCellMar>
        </w:tblPrEx>
        <w:trPr>
          <w:trHeight w:val="2925" w:hRule="atLeast"/>
          <w:jc w:val="center"/>
        </w:trPr>
        <w:tc>
          <w:tcPr>
            <w:tcW w:w="7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szCs w:val="21"/>
              </w:rPr>
            </w:pPr>
          </w:p>
        </w:tc>
        <w:tc>
          <w:tcPr>
            <w:tcW w:w="1501" w:type="dxa"/>
            <w:tcBorders>
              <w:top w:val="single" w:color="auto" w:sz="4" w:space="0"/>
              <w:left w:val="nil"/>
              <w:bottom w:val="nil"/>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绩效自评表</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lang w:val="en-US" w:eastAsia="zh-CN"/>
              </w:rPr>
              <w:t>20</w:t>
            </w:r>
            <w:r>
              <w:rPr>
                <w:rFonts w:hint="eastAsia" w:asciiTheme="majorEastAsia" w:hAnsiTheme="majorEastAsia" w:eastAsiaTheme="majorEastAsia" w:cstheme="majorEastAsia"/>
                <w:sz w:val="21"/>
                <w:szCs w:val="21"/>
              </w:rPr>
              <w:t>分）</w:t>
            </w:r>
          </w:p>
        </w:tc>
        <w:tc>
          <w:tcPr>
            <w:tcW w:w="64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1.部门整体支出和项目支出绩效指标反映产出、效益、服务对象满意度方面的指标和预算执行率的权重符合</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岳阳市市级预算部门绩效自评操作规程</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的，得</w:t>
            </w:r>
            <w:r>
              <w:rPr>
                <w:rFonts w:hint="eastAsia" w:asciiTheme="majorEastAsia" w:hAnsiTheme="majorEastAsia" w:eastAsiaTheme="majorEastAsia" w:cstheme="majorEastAsia"/>
                <w:sz w:val="21"/>
                <w:szCs w:val="21"/>
                <w:lang w:val="en-US" w:eastAsia="zh-CN"/>
              </w:rPr>
              <w:t>5</w:t>
            </w:r>
            <w:r>
              <w:rPr>
                <w:rFonts w:hint="eastAsia" w:asciiTheme="majorEastAsia" w:hAnsiTheme="majorEastAsia" w:eastAsiaTheme="majorEastAsia" w:cstheme="majorEastAsia"/>
                <w:sz w:val="21"/>
                <w:szCs w:val="21"/>
              </w:rPr>
              <w:t>分，否则按比例扣除相应的分数。</w:t>
            </w:r>
          </w:p>
          <w:p>
            <w:pPr>
              <w:keepNext w:val="0"/>
              <w:keepLines w:val="0"/>
              <w:pageBreakBefore w:val="0"/>
              <w:widowControl w:val="0"/>
              <w:kinsoku/>
              <w:wordWrap/>
              <w:overflowPunct/>
              <w:topLinePunct w:val="0"/>
              <w:autoSpaceDE/>
              <w:autoSpaceDN/>
              <w:bidi w:val="0"/>
              <w:spacing w:line="240" w:lineRule="auto"/>
              <w:ind w:firstLine="420" w:firstLineChars="20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2.部门整体支出和项目支出绩效指标全部细化到三级指标的，得</w:t>
            </w:r>
            <w:r>
              <w:rPr>
                <w:rFonts w:hint="eastAsia" w:asciiTheme="majorEastAsia" w:hAnsiTheme="majorEastAsia" w:eastAsiaTheme="majorEastAsia" w:cstheme="majorEastAsia"/>
                <w:sz w:val="21"/>
                <w:szCs w:val="21"/>
                <w:lang w:val="en-US" w:eastAsia="zh-CN"/>
              </w:rPr>
              <w:t>5</w:t>
            </w:r>
            <w:r>
              <w:rPr>
                <w:rFonts w:hint="eastAsia" w:asciiTheme="majorEastAsia" w:hAnsiTheme="majorEastAsia" w:eastAsiaTheme="majorEastAsia" w:cstheme="majorEastAsia"/>
                <w:sz w:val="21"/>
                <w:szCs w:val="21"/>
              </w:rPr>
              <w:t>分；部分细化的，酌情扣分；没有细化的，不得分。</w:t>
            </w:r>
          </w:p>
          <w:p>
            <w:pPr>
              <w:keepNext w:val="0"/>
              <w:keepLines w:val="0"/>
              <w:pageBreakBefore w:val="0"/>
              <w:widowControl w:val="0"/>
              <w:kinsoku/>
              <w:wordWrap/>
              <w:overflowPunct/>
              <w:topLinePunct w:val="0"/>
              <w:autoSpaceDE/>
              <w:autoSpaceDN/>
              <w:bidi w:val="0"/>
              <w:spacing w:line="240" w:lineRule="auto"/>
              <w:ind w:firstLine="420" w:firstLineChars="20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部门整体支出和项目支出三级绩效指标内涵明确、具体、可衡量的得5分；突出核心指标，精简实用的得3分；指标与部门整体支出和项目支出密切相关，全面反映产出和效益的得2分；否则每项酌情扣分，最多扣10分。</w:t>
            </w:r>
          </w:p>
        </w:tc>
        <w:tc>
          <w:tcPr>
            <w:tcW w:w="753"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20</w:t>
            </w:r>
          </w:p>
        </w:tc>
      </w:tr>
      <w:tr>
        <w:tblPrEx>
          <w:tblCellMar>
            <w:top w:w="0" w:type="dxa"/>
            <w:left w:w="108" w:type="dxa"/>
            <w:bottom w:w="0" w:type="dxa"/>
            <w:right w:w="108" w:type="dxa"/>
          </w:tblCellMar>
        </w:tblPrEx>
        <w:trPr>
          <w:trHeight w:val="1640" w:hRule="atLeast"/>
          <w:jc w:val="center"/>
        </w:trPr>
        <w:tc>
          <w:tcPr>
            <w:tcW w:w="7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szCs w:val="21"/>
              </w:rPr>
            </w:pPr>
          </w:p>
        </w:tc>
        <w:tc>
          <w:tcPr>
            <w:tcW w:w="1501"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绩效评价</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报告反映</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问题情况</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lang w:val="en-US" w:eastAsia="zh-CN"/>
              </w:rPr>
              <w:t>20</w:t>
            </w:r>
            <w:r>
              <w:rPr>
                <w:rFonts w:hint="eastAsia" w:asciiTheme="majorEastAsia" w:hAnsiTheme="majorEastAsia" w:eastAsiaTheme="majorEastAsia" w:cstheme="majorEastAsia"/>
                <w:sz w:val="21"/>
                <w:szCs w:val="21"/>
              </w:rPr>
              <w:t>分）</w:t>
            </w:r>
          </w:p>
        </w:tc>
        <w:tc>
          <w:tcPr>
            <w:tcW w:w="6482" w:type="dxa"/>
            <w:tcBorders>
              <w:top w:val="single" w:color="auto" w:sz="4" w:space="0"/>
              <w:left w:val="nil"/>
              <w:bottom w:val="single" w:color="auto" w:sz="4" w:space="0"/>
              <w:right w:val="single" w:color="auto" w:sz="4" w:space="0"/>
            </w:tcBorders>
            <w:vAlign w:val="center"/>
          </w:tcPr>
          <w:p>
            <w:pPr>
              <w:spacing w:line="240" w:lineRule="exact"/>
              <w:ind w:firstLine="230"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10"/>
                <w:sz w:val="21"/>
                <w:szCs w:val="21"/>
              </w:rPr>
              <w:t>从预算和预算绩效管理，部门履职效能，资金分</w:t>
            </w:r>
            <w:r>
              <w:rPr>
                <w:rFonts w:hint="eastAsia" w:asciiTheme="majorEastAsia" w:hAnsiTheme="majorEastAsia" w:eastAsiaTheme="majorEastAsia" w:cstheme="majorEastAsia"/>
                <w:spacing w:val="9"/>
                <w:sz w:val="21"/>
                <w:szCs w:val="21"/>
              </w:rPr>
              <w:t>配、使用和管理，资产和财务管理，政府</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pacing w:val="7"/>
                <w:sz w:val="21"/>
                <w:szCs w:val="21"/>
              </w:rPr>
              <w:t>采购等方面归纳问题、分析原因全面的，得20分；反映问题、分析原因较</w:t>
            </w:r>
            <w:r>
              <w:rPr>
                <w:rFonts w:hint="eastAsia" w:asciiTheme="majorEastAsia" w:hAnsiTheme="majorEastAsia" w:eastAsiaTheme="majorEastAsia" w:cstheme="majorEastAsia"/>
                <w:spacing w:val="6"/>
                <w:sz w:val="21"/>
                <w:szCs w:val="21"/>
              </w:rPr>
              <w:t>全面的，得16—</w:t>
            </w:r>
            <w:r>
              <w:rPr>
                <w:rFonts w:hint="eastAsia" w:asciiTheme="majorEastAsia" w:hAnsiTheme="majorEastAsia" w:eastAsiaTheme="majorEastAsia" w:cstheme="majorEastAsia"/>
                <w:spacing w:val="-73"/>
                <w:sz w:val="21"/>
                <w:szCs w:val="21"/>
              </w:rPr>
              <w:t xml:space="preserve"> </w:t>
            </w:r>
            <w:r>
              <w:rPr>
                <w:rFonts w:hint="eastAsia" w:asciiTheme="majorEastAsia" w:hAnsiTheme="majorEastAsia" w:eastAsiaTheme="majorEastAsia" w:cstheme="majorEastAsia"/>
                <w:spacing w:val="6"/>
                <w:sz w:val="21"/>
                <w:szCs w:val="21"/>
              </w:rPr>
              <w:t>18</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pacing w:val="12"/>
                <w:sz w:val="21"/>
                <w:szCs w:val="21"/>
              </w:rPr>
              <w:t>分；反映问题、分析原因不全面的，得13—</w:t>
            </w:r>
            <w:r>
              <w:rPr>
                <w:rFonts w:hint="eastAsia" w:asciiTheme="majorEastAsia" w:hAnsiTheme="majorEastAsia" w:eastAsiaTheme="majorEastAsia" w:cstheme="majorEastAsia"/>
                <w:spacing w:val="-68"/>
                <w:sz w:val="21"/>
                <w:szCs w:val="21"/>
              </w:rPr>
              <w:t xml:space="preserve"> </w:t>
            </w:r>
            <w:r>
              <w:rPr>
                <w:rFonts w:hint="eastAsia" w:asciiTheme="majorEastAsia" w:hAnsiTheme="majorEastAsia" w:eastAsiaTheme="majorEastAsia" w:cstheme="majorEastAsia"/>
                <w:spacing w:val="12"/>
                <w:sz w:val="21"/>
                <w:szCs w:val="21"/>
              </w:rPr>
              <w:t>15分；问题未归纳</w:t>
            </w:r>
            <w:r>
              <w:rPr>
                <w:rFonts w:hint="eastAsia" w:asciiTheme="majorEastAsia" w:hAnsiTheme="majorEastAsia" w:eastAsiaTheme="majorEastAsia" w:cstheme="majorEastAsia"/>
                <w:spacing w:val="11"/>
                <w:sz w:val="21"/>
                <w:szCs w:val="21"/>
              </w:rPr>
              <w:t>且过于简单的，得10—</w:t>
            </w:r>
            <w:r>
              <w:rPr>
                <w:rFonts w:hint="eastAsia" w:asciiTheme="majorEastAsia" w:hAnsiTheme="majorEastAsia" w:eastAsiaTheme="majorEastAsia" w:cstheme="majorEastAsia"/>
                <w:spacing w:val="-68"/>
                <w:sz w:val="21"/>
                <w:szCs w:val="21"/>
              </w:rPr>
              <w:t xml:space="preserve"> </w:t>
            </w:r>
            <w:r>
              <w:rPr>
                <w:rFonts w:hint="eastAsia" w:asciiTheme="majorEastAsia" w:hAnsiTheme="majorEastAsia" w:eastAsiaTheme="majorEastAsia" w:cstheme="majorEastAsia"/>
                <w:spacing w:val="11"/>
                <w:sz w:val="21"/>
                <w:szCs w:val="21"/>
              </w:rPr>
              <w:t>12</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pacing w:val="13"/>
                <w:sz w:val="21"/>
                <w:szCs w:val="21"/>
              </w:rPr>
              <w:t>分；只提出资金不足问题的不得分；其他情况酌情扣分，</w:t>
            </w:r>
          </w:p>
        </w:tc>
        <w:tc>
          <w:tcPr>
            <w:tcW w:w="753" w:type="dxa"/>
            <w:tcBorders>
              <w:top w:val="single" w:color="auto" w:sz="4" w:space="0"/>
              <w:left w:val="nil"/>
              <w:bottom w:val="single" w:color="auto" w:sz="4" w:space="0"/>
              <w:right w:val="single" w:color="auto" w:sz="4" w:space="0"/>
            </w:tcBorders>
            <w:vAlign w:val="center"/>
          </w:tcPr>
          <w:p>
            <w:pPr>
              <w:spacing w:line="240" w:lineRule="exact"/>
              <w:jc w:val="both"/>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20</w:t>
            </w:r>
          </w:p>
        </w:tc>
      </w:tr>
      <w:tr>
        <w:tblPrEx>
          <w:tblCellMar>
            <w:top w:w="0" w:type="dxa"/>
            <w:left w:w="108" w:type="dxa"/>
            <w:bottom w:w="0" w:type="dxa"/>
            <w:right w:w="108" w:type="dxa"/>
          </w:tblCellMar>
        </w:tblPrEx>
        <w:trPr>
          <w:trHeight w:val="1313" w:hRule="atLeast"/>
          <w:jc w:val="center"/>
        </w:trPr>
        <w:tc>
          <w:tcPr>
            <w:tcW w:w="7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szCs w:val="21"/>
              </w:rPr>
            </w:pPr>
          </w:p>
        </w:tc>
        <w:tc>
          <w:tcPr>
            <w:tcW w:w="1501"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针对问题</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提出可行性建议的情况</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（15分）</w:t>
            </w:r>
          </w:p>
        </w:tc>
        <w:tc>
          <w:tcPr>
            <w:tcW w:w="6482" w:type="dxa"/>
            <w:tcBorders>
              <w:top w:val="single" w:color="auto" w:sz="4" w:space="0"/>
              <w:left w:val="nil"/>
              <w:bottom w:val="single" w:color="auto" w:sz="4" w:space="0"/>
              <w:right w:val="single" w:color="auto" w:sz="4" w:space="0"/>
            </w:tcBorders>
            <w:vAlign w:val="center"/>
          </w:tcPr>
          <w:p>
            <w:pPr>
              <w:spacing w:line="240" w:lineRule="exact"/>
              <w:ind w:firstLine="216"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sz w:val="21"/>
                <w:szCs w:val="21"/>
              </w:rPr>
              <w:t>建议与问题对应且全面的得15分，建议比较全面的得12—</w:t>
            </w:r>
            <w:r>
              <w:rPr>
                <w:rFonts w:hint="eastAsia" w:asciiTheme="majorEastAsia" w:hAnsiTheme="majorEastAsia" w:eastAsiaTheme="majorEastAsia" w:cstheme="majorEastAsia"/>
                <w:spacing w:val="-55"/>
                <w:sz w:val="21"/>
                <w:szCs w:val="21"/>
              </w:rPr>
              <w:t xml:space="preserve"> </w:t>
            </w:r>
            <w:r>
              <w:rPr>
                <w:rFonts w:hint="eastAsia" w:asciiTheme="majorEastAsia" w:hAnsiTheme="majorEastAsia" w:eastAsiaTheme="majorEastAsia" w:cstheme="majorEastAsia"/>
                <w:spacing w:val="3"/>
                <w:sz w:val="21"/>
                <w:szCs w:val="21"/>
              </w:rPr>
              <w:t>14分，建议不全面的得9—</w:t>
            </w:r>
            <w:r>
              <w:rPr>
                <w:rFonts w:hint="eastAsia" w:asciiTheme="majorEastAsia" w:hAnsiTheme="majorEastAsia" w:eastAsiaTheme="majorEastAsia" w:cstheme="majorEastAsia"/>
                <w:spacing w:val="-72"/>
                <w:sz w:val="21"/>
                <w:szCs w:val="21"/>
              </w:rPr>
              <w:t xml:space="preserve"> </w:t>
            </w:r>
            <w:r>
              <w:rPr>
                <w:rFonts w:hint="eastAsia" w:asciiTheme="majorEastAsia" w:hAnsiTheme="majorEastAsia" w:eastAsiaTheme="majorEastAsia" w:cstheme="majorEastAsia"/>
                <w:spacing w:val="3"/>
                <w:sz w:val="21"/>
                <w:szCs w:val="21"/>
              </w:rPr>
              <w:t>11</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pacing w:val="2"/>
                <w:sz w:val="21"/>
                <w:szCs w:val="21"/>
              </w:rPr>
              <w:t>分，建议过于简单的得6—8分，只提出加大资金投入建议的不得分；其他情况酌情扣分</w:t>
            </w:r>
          </w:p>
        </w:tc>
        <w:tc>
          <w:tcPr>
            <w:tcW w:w="753" w:type="dxa"/>
            <w:tcBorders>
              <w:top w:val="single" w:color="auto" w:sz="4" w:space="0"/>
              <w:left w:val="nil"/>
              <w:bottom w:val="single" w:color="auto" w:sz="4" w:space="0"/>
              <w:right w:val="single" w:color="auto" w:sz="4" w:space="0"/>
            </w:tcBorders>
            <w:vAlign w:val="center"/>
          </w:tcPr>
          <w:p>
            <w:pPr>
              <w:spacing w:line="240" w:lineRule="exact"/>
              <w:jc w:val="both"/>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15</w:t>
            </w:r>
          </w:p>
        </w:tc>
      </w:tr>
      <w:tr>
        <w:tblPrEx>
          <w:tblCellMar>
            <w:top w:w="0" w:type="dxa"/>
            <w:left w:w="108" w:type="dxa"/>
            <w:bottom w:w="0" w:type="dxa"/>
            <w:right w:w="108" w:type="dxa"/>
          </w:tblCellMar>
        </w:tblPrEx>
        <w:trPr>
          <w:trHeight w:val="540"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合计</w:t>
            </w:r>
          </w:p>
        </w:tc>
        <w:tc>
          <w:tcPr>
            <w:tcW w:w="15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100分</w:t>
            </w:r>
          </w:p>
        </w:tc>
        <w:tc>
          <w:tcPr>
            <w:tcW w:w="6482"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ajorEastAsia" w:hAnsiTheme="majorEastAsia" w:eastAsiaTheme="majorEastAsia" w:cstheme="majorEastAsia"/>
                <w:sz w:val="21"/>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100</w:t>
            </w:r>
          </w:p>
        </w:tc>
      </w:tr>
    </w:tbl>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p>
    <w:sectPr>
      <w:pgSz w:w="11906" w:h="16838"/>
      <w:pgMar w:top="1701" w:right="1701" w:bottom="1701"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600000000000000"/>
    <w:charset w:val="86"/>
    <w:family w:val="auto"/>
    <w:pitch w:val="default"/>
    <w:sig w:usb0="00000000" w:usb1="00000000" w:usb2="00000012" w:usb3="00000000" w:csb0="00160001" w:csb1="1203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ADD18F"/>
    <w:multiLevelType w:val="singleLevel"/>
    <w:tmpl w:val="FAADD18F"/>
    <w:lvl w:ilvl="0" w:tentative="0">
      <w:start w:val="1"/>
      <w:numFmt w:val="chineseCounting"/>
      <w:suff w:val="nothing"/>
      <w:lvlText w:val="%1、"/>
      <w:lvlJc w:val="left"/>
      <w:rPr>
        <w:rFonts w:hint="eastAsia"/>
      </w:rPr>
    </w:lvl>
  </w:abstractNum>
  <w:abstractNum w:abstractNumId="1">
    <w:nsid w:val="569A4398"/>
    <w:multiLevelType w:val="singleLevel"/>
    <w:tmpl w:val="569A4398"/>
    <w:lvl w:ilvl="0" w:tentative="0">
      <w:start w:val="2"/>
      <w:numFmt w:val="chineseCounting"/>
      <w:lvlText w:val="(%1)"/>
      <w:lvlJc w:val="left"/>
      <w:pPr>
        <w:tabs>
          <w:tab w:val="left" w:pos="312"/>
        </w:tabs>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1M2FiYzAxZjY0NmU0NTNlOTNhMWI1MDJmMThmOGQifQ=="/>
  </w:docVars>
  <w:rsids>
    <w:rsidRoot w:val="00172A27"/>
    <w:rsid w:val="000A3765"/>
    <w:rsid w:val="001D7282"/>
    <w:rsid w:val="0039081D"/>
    <w:rsid w:val="005E6ECB"/>
    <w:rsid w:val="00744EA1"/>
    <w:rsid w:val="009419CA"/>
    <w:rsid w:val="00955854"/>
    <w:rsid w:val="009C7330"/>
    <w:rsid w:val="00A00FBB"/>
    <w:rsid w:val="00BF0721"/>
    <w:rsid w:val="00C03795"/>
    <w:rsid w:val="00CE3756"/>
    <w:rsid w:val="00D27A74"/>
    <w:rsid w:val="00E831C8"/>
    <w:rsid w:val="00EF287A"/>
    <w:rsid w:val="01057CDE"/>
    <w:rsid w:val="010B4A82"/>
    <w:rsid w:val="01192786"/>
    <w:rsid w:val="01201E6A"/>
    <w:rsid w:val="012D57C0"/>
    <w:rsid w:val="01457029"/>
    <w:rsid w:val="014900E3"/>
    <w:rsid w:val="014F5749"/>
    <w:rsid w:val="01521E95"/>
    <w:rsid w:val="01727F7E"/>
    <w:rsid w:val="01764DBE"/>
    <w:rsid w:val="01806F8C"/>
    <w:rsid w:val="0182483A"/>
    <w:rsid w:val="01863406"/>
    <w:rsid w:val="018D011E"/>
    <w:rsid w:val="019614B0"/>
    <w:rsid w:val="019C71AC"/>
    <w:rsid w:val="01BF03AA"/>
    <w:rsid w:val="01C33E74"/>
    <w:rsid w:val="01DF3C26"/>
    <w:rsid w:val="01EE0A2C"/>
    <w:rsid w:val="0200044D"/>
    <w:rsid w:val="020654E4"/>
    <w:rsid w:val="020C72F8"/>
    <w:rsid w:val="02121B7C"/>
    <w:rsid w:val="021813DE"/>
    <w:rsid w:val="021B6B30"/>
    <w:rsid w:val="02363BD8"/>
    <w:rsid w:val="023809F7"/>
    <w:rsid w:val="02431066"/>
    <w:rsid w:val="02595CF1"/>
    <w:rsid w:val="025C47D6"/>
    <w:rsid w:val="0263675C"/>
    <w:rsid w:val="02656E75"/>
    <w:rsid w:val="027431E5"/>
    <w:rsid w:val="02B544DB"/>
    <w:rsid w:val="02CB5D99"/>
    <w:rsid w:val="02F61D91"/>
    <w:rsid w:val="02FC4679"/>
    <w:rsid w:val="02FE5E0A"/>
    <w:rsid w:val="0347190C"/>
    <w:rsid w:val="034760CE"/>
    <w:rsid w:val="03487959"/>
    <w:rsid w:val="03505BE1"/>
    <w:rsid w:val="036D41A2"/>
    <w:rsid w:val="037F229C"/>
    <w:rsid w:val="03911277"/>
    <w:rsid w:val="039A540B"/>
    <w:rsid w:val="03BD010E"/>
    <w:rsid w:val="03E2685C"/>
    <w:rsid w:val="03E66326"/>
    <w:rsid w:val="03FF6E0F"/>
    <w:rsid w:val="0404259A"/>
    <w:rsid w:val="04051601"/>
    <w:rsid w:val="04150B3B"/>
    <w:rsid w:val="04327F62"/>
    <w:rsid w:val="04344800"/>
    <w:rsid w:val="045F666C"/>
    <w:rsid w:val="0460075C"/>
    <w:rsid w:val="04613BEE"/>
    <w:rsid w:val="0462054D"/>
    <w:rsid w:val="04675C34"/>
    <w:rsid w:val="046C0B29"/>
    <w:rsid w:val="04816E5C"/>
    <w:rsid w:val="048924DD"/>
    <w:rsid w:val="04914D95"/>
    <w:rsid w:val="0495144B"/>
    <w:rsid w:val="04AC07A1"/>
    <w:rsid w:val="04C63115"/>
    <w:rsid w:val="04CF5236"/>
    <w:rsid w:val="04CF5AF0"/>
    <w:rsid w:val="04D24FF1"/>
    <w:rsid w:val="04DE1BAB"/>
    <w:rsid w:val="04E411E4"/>
    <w:rsid w:val="04F37BBA"/>
    <w:rsid w:val="05085366"/>
    <w:rsid w:val="05145F64"/>
    <w:rsid w:val="054037EF"/>
    <w:rsid w:val="054E7FFF"/>
    <w:rsid w:val="05621117"/>
    <w:rsid w:val="058C5045"/>
    <w:rsid w:val="059C7C89"/>
    <w:rsid w:val="05A50C70"/>
    <w:rsid w:val="05B525CA"/>
    <w:rsid w:val="05C4448F"/>
    <w:rsid w:val="05E616EC"/>
    <w:rsid w:val="06146BAF"/>
    <w:rsid w:val="06286BB6"/>
    <w:rsid w:val="06405E9C"/>
    <w:rsid w:val="064D5380"/>
    <w:rsid w:val="064E0F6B"/>
    <w:rsid w:val="06617309"/>
    <w:rsid w:val="06650E6A"/>
    <w:rsid w:val="06854A05"/>
    <w:rsid w:val="068B5259"/>
    <w:rsid w:val="06986D10"/>
    <w:rsid w:val="06A14716"/>
    <w:rsid w:val="06C90184"/>
    <w:rsid w:val="06C9437B"/>
    <w:rsid w:val="06ED564C"/>
    <w:rsid w:val="06F22A7B"/>
    <w:rsid w:val="07023424"/>
    <w:rsid w:val="07043735"/>
    <w:rsid w:val="0725074E"/>
    <w:rsid w:val="07313C60"/>
    <w:rsid w:val="07331F0A"/>
    <w:rsid w:val="076971BD"/>
    <w:rsid w:val="076D43AE"/>
    <w:rsid w:val="077323CA"/>
    <w:rsid w:val="0775145F"/>
    <w:rsid w:val="07967DE0"/>
    <w:rsid w:val="07970994"/>
    <w:rsid w:val="07B913B4"/>
    <w:rsid w:val="07BA1C6A"/>
    <w:rsid w:val="07BD44A3"/>
    <w:rsid w:val="07CE6155"/>
    <w:rsid w:val="07E11DA2"/>
    <w:rsid w:val="07E40515"/>
    <w:rsid w:val="07EE6091"/>
    <w:rsid w:val="08017E70"/>
    <w:rsid w:val="0805190B"/>
    <w:rsid w:val="082A5F7E"/>
    <w:rsid w:val="08391F38"/>
    <w:rsid w:val="083A18D9"/>
    <w:rsid w:val="0848472A"/>
    <w:rsid w:val="084D20E7"/>
    <w:rsid w:val="08674899"/>
    <w:rsid w:val="08754155"/>
    <w:rsid w:val="087B77E7"/>
    <w:rsid w:val="087D3D34"/>
    <w:rsid w:val="0889236C"/>
    <w:rsid w:val="088E051E"/>
    <w:rsid w:val="08935A7B"/>
    <w:rsid w:val="08A91E6C"/>
    <w:rsid w:val="08BA1B19"/>
    <w:rsid w:val="08D059DD"/>
    <w:rsid w:val="08DC08E7"/>
    <w:rsid w:val="092D1C9E"/>
    <w:rsid w:val="09377E5E"/>
    <w:rsid w:val="09383E9F"/>
    <w:rsid w:val="0939426E"/>
    <w:rsid w:val="09504F8C"/>
    <w:rsid w:val="09616470"/>
    <w:rsid w:val="096C1F5A"/>
    <w:rsid w:val="096C76C1"/>
    <w:rsid w:val="09906B28"/>
    <w:rsid w:val="09912E95"/>
    <w:rsid w:val="099C1A23"/>
    <w:rsid w:val="09A948AF"/>
    <w:rsid w:val="09AC2A76"/>
    <w:rsid w:val="09B04837"/>
    <w:rsid w:val="09C95891"/>
    <w:rsid w:val="09D8005F"/>
    <w:rsid w:val="0A002E0D"/>
    <w:rsid w:val="0A140987"/>
    <w:rsid w:val="0A241A5C"/>
    <w:rsid w:val="0A2E3566"/>
    <w:rsid w:val="0A393280"/>
    <w:rsid w:val="0A5F2F6C"/>
    <w:rsid w:val="0A670B4E"/>
    <w:rsid w:val="0A851E03"/>
    <w:rsid w:val="0A985A6F"/>
    <w:rsid w:val="0AA808AF"/>
    <w:rsid w:val="0ABD142C"/>
    <w:rsid w:val="0AC644AE"/>
    <w:rsid w:val="0ACB61B4"/>
    <w:rsid w:val="0ACD4157"/>
    <w:rsid w:val="0AE964B0"/>
    <w:rsid w:val="0B163034"/>
    <w:rsid w:val="0B1F5B6D"/>
    <w:rsid w:val="0B2F4AF7"/>
    <w:rsid w:val="0B3312B6"/>
    <w:rsid w:val="0B4064B3"/>
    <w:rsid w:val="0B6E529C"/>
    <w:rsid w:val="0B701D27"/>
    <w:rsid w:val="0B7245CE"/>
    <w:rsid w:val="0B943886"/>
    <w:rsid w:val="0B9C3CD1"/>
    <w:rsid w:val="0BB324D8"/>
    <w:rsid w:val="0BB672C7"/>
    <w:rsid w:val="0BC07BBF"/>
    <w:rsid w:val="0BC429EF"/>
    <w:rsid w:val="0BCE65D1"/>
    <w:rsid w:val="0BD60937"/>
    <w:rsid w:val="0BD912A4"/>
    <w:rsid w:val="0BE135FA"/>
    <w:rsid w:val="0BEE4F6B"/>
    <w:rsid w:val="0C03261E"/>
    <w:rsid w:val="0C0439FA"/>
    <w:rsid w:val="0C0B17DF"/>
    <w:rsid w:val="0C0F382B"/>
    <w:rsid w:val="0C160980"/>
    <w:rsid w:val="0C1B4EF7"/>
    <w:rsid w:val="0C1C297E"/>
    <w:rsid w:val="0C1D4988"/>
    <w:rsid w:val="0C297E69"/>
    <w:rsid w:val="0C55038F"/>
    <w:rsid w:val="0C6B7DF9"/>
    <w:rsid w:val="0C6E2A56"/>
    <w:rsid w:val="0C7A708D"/>
    <w:rsid w:val="0CCA7495"/>
    <w:rsid w:val="0CD16BA2"/>
    <w:rsid w:val="0CD745A0"/>
    <w:rsid w:val="0CDE4E30"/>
    <w:rsid w:val="0D012A51"/>
    <w:rsid w:val="0D094F84"/>
    <w:rsid w:val="0D280615"/>
    <w:rsid w:val="0D2C07EB"/>
    <w:rsid w:val="0D2F57DE"/>
    <w:rsid w:val="0D353632"/>
    <w:rsid w:val="0D392C4E"/>
    <w:rsid w:val="0D482FA9"/>
    <w:rsid w:val="0D4A4299"/>
    <w:rsid w:val="0D5F1E28"/>
    <w:rsid w:val="0D671080"/>
    <w:rsid w:val="0D783B34"/>
    <w:rsid w:val="0D81754C"/>
    <w:rsid w:val="0DBE6AB7"/>
    <w:rsid w:val="0DBF116A"/>
    <w:rsid w:val="0DC00E38"/>
    <w:rsid w:val="0DC8400B"/>
    <w:rsid w:val="0DD34552"/>
    <w:rsid w:val="0DE03EAA"/>
    <w:rsid w:val="0DE12394"/>
    <w:rsid w:val="0DF36262"/>
    <w:rsid w:val="0E1E619E"/>
    <w:rsid w:val="0E267F81"/>
    <w:rsid w:val="0E365DE9"/>
    <w:rsid w:val="0E4822EE"/>
    <w:rsid w:val="0E4E185D"/>
    <w:rsid w:val="0E522FBE"/>
    <w:rsid w:val="0E5D141B"/>
    <w:rsid w:val="0E8648D6"/>
    <w:rsid w:val="0E8C08DC"/>
    <w:rsid w:val="0E8E43C0"/>
    <w:rsid w:val="0E964CBE"/>
    <w:rsid w:val="0EB05323"/>
    <w:rsid w:val="0EBE40CB"/>
    <w:rsid w:val="0EC36A56"/>
    <w:rsid w:val="0EC62499"/>
    <w:rsid w:val="0ECE4E6F"/>
    <w:rsid w:val="0EDA5C56"/>
    <w:rsid w:val="0EFE4287"/>
    <w:rsid w:val="0F0D525E"/>
    <w:rsid w:val="0F2A2A37"/>
    <w:rsid w:val="0F2E6C95"/>
    <w:rsid w:val="0F4675CA"/>
    <w:rsid w:val="0F471A79"/>
    <w:rsid w:val="0F500384"/>
    <w:rsid w:val="0F5B4015"/>
    <w:rsid w:val="0F6071C8"/>
    <w:rsid w:val="0F7B0394"/>
    <w:rsid w:val="0FA00CB6"/>
    <w:rsid w:val="0FA434D3"/>
    <w:rsid w:val="0FB471F7"/>
    <w:rsid w:val="0FC95C51"/>
    <w:rsid w:val="0FC965F5"/>
    <w:rsid w:val="0FCD6B4B"/>
    <w:rsid w:val="0FCF7138"/>
    <w:rsid w:val="0FD35AB6"/>
    <w:rsid w:val="0FE017B9"/>
    <w:rsid w:val="0FE04B17"/>
    <w:rsid w:val="0FEC2891"/>
    <w:rsid w:val="0FF71EB7"/>
    <w:rsid w:val="10225AB2"/>
    <w:rsid w:val="102D74F0"/>
    <w:rsid w:val="103C47DA"/>
    <w:rsid w:val="103D5CB0"/>
    <w:rsid w:val="1043497A"/>
    <w:rsid w:val="104B6B58"/>
    <w:rsid w:val="105552F6"/>
    <w:rsid w:val="108449FF"/>
    <w:rsid w:val="108B34B0"/>
    <w:rsid w:val="109E2943"/>
    <w:rsid w:val="10C8346E"/>
    <w:rsid w:val="10FE6AB1"/>
    <w:rsid w:val="1112624E"/>
    <w:rsid w:val="11153798"/>
    <w:rsid w:val="11297158"/>
    <w:rsid w:val="114B2C9B"/>
    <w:rsid w:val="115D78BB"/>
    <w:rsid w:val="116001E2"/>
    <w:rsid w:val="11793618"/>
    <w:rsid w:val="11813452"/>
    <w:rsid w:val="11913DD4"/>
    <w:rsid w:val="11961E43"/>
    <w:rsid w:val="11987ED2"/>
    <w:rsid w:val="119969A0"/>
    <w:rsid w:val="11A91B68"/>
    <w:rsid w:val="11B76464"/>
    <w:rsid w:val="11BC2DF3"/>
    <w:rsid w:val="11C43676"/>
    <w:rsid w:val="11EA3CA0"/>
    <w:rsid w:val="11F403BB"/>
    <w:rsid w:val="11FA6A1C"/>
    <w:rsid w:val="120B6973"/>
    <w:rsid w:val="12155876"/>
    <w:rsid w:val="12183A1B"/>
    <w:rsid w:val="122A11A6"/>
    <w:rsid w:val="123D1BD2"/>
    <w:rsid w:val="123E6D4D"/>
    <w:rsid w:val="12445622"/>
    <w:rsid w:val="125613C2"/>
    <w:rsid w:val="125D4EF7"/>
    <w:rsid w:val="12637C4E"/>
    <w:rsid w:val="127030C8"/>
    <w:rsid w:val="12B310FA"/>
    <w:rsid w:val="12B7582D"/>
    <w:rsid w:val="12C621E8"/>
    <w:rsid w:val="12CF0716"/>
    <w:rsid w:val="12D95227"/>
    <w:rsid w:val="12E33197"/>
    <w:rsid w:val="12EE1C9C"/>
    <w:rsid w:val="12F863E6"/>
    <w:rsid w:val="13094CA6"/>
    <w:rsid w:val="132156D8"/>
    <w:rsid w:val="132911E2"/>
    <w:rsid w:val="133868AE"/>
    <w:rsid w:val="135133AE"/>
    <w:rsid w:val="13914897"/>
    <w:rsid w:val="13A55CD5"/>
    <w:rsid w:val="13B654E3"/>
    <w:rsid w:val="13B819E6"/>
    <w:rsid w:val="13BC4189"/>
    <w:rsid w:val="13C169EC"/>
    <w:rsid w:val="13CA717D"/>
    <w:rsid w:val="13CE022A"/>
    <w:rsid w:val="13DF25B8"/>
    <w:rsid w:val="13E2403C"/>
    <w:rsid w:val="14047D3B"/>
    <w:rsid w:val="141A00EA"/>
    <w:rsid w:val="143A1FCF"/>
    <w:rsid w:val="14430D66"/>
    <w:rsid w:val="14477E65"/>
    <w:rsid w:val="14710CBF"/>
    <w:rsid w:val="14791934"/>
    <w:rsid w:val="147D213D"/>
    <w:rsid w:val="14A04833"/>
    <w:rsid w:val="14B12779"/>
    <w:rsid w:val="14B37576"/>
    <w:rsid w:val="14F4219E"/>
    <w:rsid w:val="150135C1"/>
    <w:rsid w:val="151C632A"/>
    <w:rsid w:val="152E4EB1"/>
    <w:rsid w:val="153E3566"/>
    <w:rsid w:val="154034C3"/>
    <w:rsid w:val="156B6CDB"/>
    <w:rsid w:val="15726626"/>
    <w:rsid w:val="15820278"/>
    <w:rsid w:val="15914EE6"/>
    <w:rsid w:val="15A42FA4"/>
    <w:rsid w:val="15A6418F"/>
    <w:rsid w:val="15AA091B"/>
    <w:rsid w:val="15BC6BD3"/>
    <w:rsid w:val="15CF095E"/>
    <w:rsid w:val="15DA784E"/>
    <w:rsid w:val="15DB017B"/>
    <w:rsid w:val="15E6370B"/>
    <w:rsid w:val="15E835FB"/>
    <w:rsid w:val="15E84717"/>
    <w:rsid w:val="160F0091"/>
    <w:rsid w:val="16144614"/>
    <w:rsid w:val="163E3AB2"/>
    <w:rsid w:val="165E3F72"/>
    <w:rsid w:val="166D0110"/>
    <w:rsid w:val="167050F1"/>
    <w:rsid w:val="16713DA7"/>
    <w:rsid w:val="16797776"/>
    <w:rsid w:val="16952546"/>
    <w:rsid w:val="16AB3FBF"/>
    <w:rsid w:val="16AC1654"/>
    <w:rsid w:val="16B12C6E"/>
    <w:rsid w:val="16BF0789"/>
    <w:rsid w:val="16CD5BA2"/>
    <w:rsid w:val="16D42F73"/>
    <w:rsid w:val="16DA34D2"/>
    <w:rsid w:val="16DA4E41"/>
    <w:rsid w:val="16F042AC"/>
    <w:rsid w:val="16F626B5"/>
    <w:rsid w:val="16FB005D"/>
    <w:rsid w:val="16FC4F3B"/>
    <w:rsid w:val="171630EB"/>
    <w:rsid w:val="17435DB3"/>
    <w:rsid w:val="174849B3"/>
    <w:rsid w:val="175075E0"/>
    <w:rsid w:val="175D3461"/>
    <w:rsid w:val="175F4C67"/>
    <w:rsid w:val="175F580B"/>
    <w:rsid w:val="17665207"/>
    <w:rsid w:val="17794395"/>
    <w:rsid w:val="178D50A9"/>
    <w:rsid w:val="178F0FE3"/>
    <w:rsid w:val="17B85018"/>
    <w:rsid w:val="17E339CC"/>
    <w:rsid w:val="17F33C57"/>
    <w:rsid w:val="181764D2"/>
    <w:rsid w:val="181B6E25"/>
    <w:rsid w:val="181D4FAC"/>
    <w:rsid w:val="182B38C1"/>
    <w:rsid w:val="18351597"/>
    <w:rsid w:val="18353961"/>
    <w:rsid w:val="18474510"/>
    <w:rsid w:val="184F1D16"/>
    <w:rsid w:val="1852374B"/>
    <w:rsid w:val="185629F1"/>
    <w:rsid w:val="18685D91"/>
    <w:rsid w:val="188F0DAB"/>
    <w:rsid w:val="18905464"/>
    <w:rsid w:val="18910B5C"/>
    <w:rsid w:val="18A62960"/>
    <w:rsid w:val="18BD3DC4"/>
    <w:rsid w:val="18C149F3"/>
    <w:rsid w:val="18D233DB"/>
    <w:rsid w:val="18DC433F"/>
    <w:rsid w:val="18DD0C18"/>
    <w:rsid w:val="18DE4BF6"/>
    <w:rsid w:val="18EC1CA5"/>
    <w:rsid w:val="18F23C9D"/>
    <w:rsid w:val="18F554AB"/>
    <w:rsid w:val="18FE49D5"/>
    <w:rsid w:val="190F3527"/>
    <w:rsid w:val="19100497"/>
    <w:rsid w:val="19183CAC"/>
    <w:rsid w:val="193964B7"/>
    <w:rsid w:val="19521C94"/>
    <w:rsid w:val="195657BB"/>
    <w:rsid w:val="196B19EB"/>
    <w:rsid w:val="19717C66"/>
    <w:rsid w:val="198E7C2B"/>
    <w:rsid w:val="199945D5"/>
    <w:rsid w:val="199B5065"/>
    <w:rsid w:val="19D37D58"/>
    <w:rsid w:val="19DD0438"/>
    <w:rsid w:val="1A0A04E6"/>
    <w:rsid w:val="1A187AC0"/>
    <w:rsid w:val="1A213466"/>
    <w:rsid w:val="1A3F3F76"/>
    <w:rsid w:val="1A4B4BAE"/>
    <w:rsid w:val="1A5F35C0"/>
    <w:rsid w:val="1A8006B2"/>
    <w:rsid w:val="1A8D640E"/>
    <w:rsid w:val="1A974192"/>
    <w:rsid w:val="1ACA62AD"/>
    <w:rsid w:val="1ADA675E"/>
    <w:rsid w:val="1AE11CDA"/>
    <w:rsid w:val="1AF74E04"/>
    <w:rsid w:val="1B113A6D"/>
    <w:rsid w:val="1B144B8D"/>
    <w:rsid w:val="1B17013D"/>
    <w:rsid w:val="1B1B14D3"/>
    <w:rsid w:val="1B1F6AF1"/>
    <w:rsid w:val="1B250DAE"/>
    <w:rsid w:val="1B2A34EB"/>
    <w:rsid w:val="1B2B0F4C"/>
    <w:rsid w:val="1B2D2734"/>
    <w:rsid w:val="1B3860E1"/>
    <w:rsid w:val="1B3F36F6"/>
    <w:rsid w:val="1B422830"/>
    <w:rsid w:val="1B4B369E"/>
    <w:rsid w:val="1B5271D4"/>
    <w:rsid w:val="1B6D7C0D"/>
    <w:rsid w:val="1B84594F"/>
    <w:rsid w:val="1B884364"/>
    <w:rsid w:val="1BA912AB"/>
    <w:rsid w:val="1BC74329"/>
    <w:rsid w:val="1BC90A36"/>
    <w:rsid w:val="1BD0347B"/>
    <w:rsid w:val="1BD40AF3"/>
    <w:rsid w:val="1BD802A4"/>
    <w:rsid w:val="1BDF236A"/>
    <w:rsid w:val="1C0435DD"/>
    <w:rsid w:val="1C044A22"/>
    <w:rsid w:val="1C0500B1"/>
    <w:rsid w:val="1C165874"/>
    <w:rsid w:val="1C1D4C3D"/>
    <w:rsid w:val="1C212C7F"/>
    <w:rsid w:val="1C4C28F3"/>
    <w:rsid w:val="1C71314E"/>
    <w:rsid w:val="1C82672C"/>
    <w:rsid w:val="1C89138D"/>
    <w:rsid w:val="1C8E76D2"/>
    <w:rsid w:val="1C937172"/>
    <w:rsid w:val="1C975C4B"/>
    <w:rsid w:val="1CA27BB1"/>
    <w:rsid w:val="1CAF7DCF"/>
    <w:rsid w:val="1CB07D7A"/>
    <w:rsid w:val="1CDA4D56"/>
    <w:rsid w:val="1CF810AC"/>
    <w:rsid w:val="1D0B3755"/>
    <w:rsid w:val="1D124C24"/>
    <w:rsid w:val="1D2C6C65"/>
    <w:rsid w:val="1D402518"/>
    <w:rsid w:val="1D4E7169"/>
    <w:rsid w:val="1D554265"/>
    <w:rsid w:val="1D69344A"/>
    <w:rsid w:val="1D6B31E8"/>
    <w:rsid w:val="1D6B7F83"/>
    <w:rsid w:val="1D776C3D"/>
    <w:rsid w:val="1D95321A"/>
    <w:rsid w:val="1DB85E5C"/>
    <w:rsid w:val="1DC46662"/>
    <w:rsid w:val="1DCA5E3A"/>
    <w:rsid w:val="1DCF5405"/>
    <w:rsid w:val="1DD75183"/>
    <w:rsid w:val="1DDE2626"/>
    <w:rsid w:val="1DFD7C50"/>
    <w:rsid w:val="1E080AB5"/>
    <w:rsid w:val="1E0E0D58"/>
    <w:rsid w:val="1E2A197B"/>
    <w:rsid w:val="1E35255F"/>
    <w:rsid w:val="1E3C5A5F"/>
    <w:rsid w:val="1E475D36"/>
    <w:rsid w:val="1E4E24A0"/>
    <w:rsid w:val="1E502588"/>
    <w:rsid w:val="1E53413D"/>
    <w:rsid w:val="1E550992"/>
    <w:rsid w:val="1E5A7A32"/>
    <w:rsid w:val="1E671817"/>
    <w:rsid w:val="1E6C3B44"/>
    <w:rsid w:val="1E7A4122"/>
    <w:rsid w:val="1E8879EE"/>
    <w:rsid w:val="1EB95D76"/>
    <w:rsid w:val="1EC54236"/>
    <w:rsid w:val="1ED464CA"/>
    <w:rsid w:val="1EDA5DF7"/>
    <w:rsid w:val="1EED4A44"/>
    <w:rsid w:val="1EFA39EA"/>
    <w:rsid w:val="1F00206F"/>
    <w:rsid w:val="1F0177DA"/>
    <w:rsid w:val="1F18467A"/>
    <w:rsid w:val="1F232A42"/>
    <w:rsid w:val="1F2645A8"/>
    <w:rsid w:val="1F4B71B8"/>
    <w:rsid w:val="1F4C39A9"/>
    <w:rsid w:val="1F5665AD"/>
    <w:rsid w:val="1F692382"/>
    <w:rsid w:val="1F8815CD"/>
    <w:rsid w:val="1F8D1995"/>
    <w:rsid w:val="1F935BDD"/>
    <w:rsid w:val="1F9730E6"/>
    <w:rsid w:val="1FDE0273"/>
    <w:rsid w:val="1FEF73C9"/>
    <w:rsid w:val="20020491"/>
    <w:rsid w:val="203C7C11"/>
    <w:rsid w:val="20421AEB"/>
    <w:rsid w:val="20471AED"/>
    <w:rsid w:val="20487E48"/>
    <w:rsid w:val="20666EBF"/>
    <w:rsid w:val="206F239E"/>
    <w:rsid w:val="2086258B"/>
    <w:rsid w:val="20A45C99"/>
    <w:rsid w:val="20AD18F5"/>
    <w:rsid w:val="20B77D0F"/>
    <w:rsid w:val="20BB288C"/>
    <w:rsid w:val="20D06EB4"/>
    <w:rsid w:val="20E40557"/>
    <w:rsid w:val="20EF04D3"/>
    <w:rsid w:val="210C69CF"/>
    <w:rsid w:val="21107C1A"/>
    <w:rsid w:val="213018E1"/>
    <w:rsid w:val="21392BC1"/>
    <w:rsid w:val="21431802"/>
    <w:rsid w:val="21463D2C"/>
    <w:rsid w:val="2151198F"/>
    <w:rsid w:val="2172070D"/>
    <w:rsid w:val="217B2C80"/>
    <w:rsid w:val="217D2EA2"/>
    <w:rsid w:val="21851E83"/>
    <w:rsid w:val="21861507"/>
    <w:rsid w:val="219020E3"/>
    <w:rsid w:val="21916EE8"/>
    <w:rsid w:val="219A308D"/>
    <w:rsid w:val="219F5834"/>
    <w:rsid w:val="21A35D48"/>
    <w:rsid w:val="21C12688"/>
    <w:rsid w:val="21CC4855"/>
    <w:rsid w:val="21E233A3"/>
    <w:rsid w:val="21E23F6C"/>
    <w:rsid w:val="21E345FD"/>
    <w:rsid w:val="22171E1E"/>
    <w:rsid w:val="22383B4D"/>
    <w:rsid w:val="22466CD3"/>
    <w:rsid w:val="225D1D49"/>
    <w:rsid w:val="225D33C8"/>
    <w:rsid w:val="226239FE"/>
    <w:rsid w:val="22626562"/>
    <w:rsid w:val="226A76AE"/>
    <w:rsid w:val="22733EB6"/>
    <w:rsid w:val="22906578"/>
    <w:rsid w:val="22973E77"/>
    <w:rsid w:val="22AB58F3"/>
    <w:rsid w:val="22C13FD4"/>
    <w:rsid w:val="22C24771"/>
    <w:rsid w:val="22CB0895"/>
    <w:rsid w:val="231527D7"/>
    <w:rsid w:val="23185AD8"/>
    <w:rsid w:val="23336451"/>
    <w:rsid w:val="23474320"/>
    <w:rsid w:val="23492735"/>
    <w:rsid w:val="235B5F37"/>
    <w:rsid w:val="235C3EA6"/>
    <w:rsid w:val="23604810"/>
    <w:rsid w:val="237A7609"/>
    <w:rsid w:val="23BE4330"/>
    <w:rsid w:val="23BF0A62"/>
    <w:rsid w:val="23C263BB"/>
    <w:rsid w:val="23D04F68"/>
    <w:rsid w:val="23D50A64"/>
    <w:rsid w:val="23FC0268"/>
    <w:rsid w:val="240B4621"/>
    <w:rsid w:val="241061D3"/>
    <w:rsid w:val="24114322"/>
    <w:rsid w:val="24122F3C"/>
    <w:rsid w:val="24181A61"/>
    <w:rsid w:val="241A4D23"/>
    <w:rsid w:val="244328F6"/>
    <w:rsid w:val="244A0C81"/>
    <w:rsid w:val="245032E9"/>
    <w:rsid w:val="24536196"/>
    <w:rsid w:val="24626203"/>
    <w:rsid w:val="247573F6"/>
    <w:rsid w:val="247A4BE7"/>
    <w:rsid w:val="24806762"/>
    <w:rsid w:val="24814D5C"/>
    <w:rsid w:val="24831C33"/>
    <w:rsid w:val="248601CB"/>
    <w:rsid w:val="24917BA8"/>
    <w:rsid w:val="24981483"/>
    <w:rsid w:val="249B0370"/>
    <w:rsid w:val="24A24AC6"/>
    <w:rsid w:val="24B93055"/>
    <w:rsid w:val="24C252E5"/>
    <w:rsid w:val="24C93BB5"/>
    <w:rsid w:val="24D02E03"/>
    <w:rsid w:val="24F86BC7"/>
    <w:rsid w:val="250F44FD"/>
    <w:rsid w:val="2514288A"/>
    <w:rsid w:val="256609A5"/>
    <w:rsid w:val="25781237"/>
    <w:rsid w:val="257A6914"/>
    <w:rsid w:val="2588530F"/>
    <w:rsid w:val="25963C8A"/>
    <w:rsid w:val="25AB3731"/>
    <w:rsid w:val="25B464A2"/>
    <w:rsid w:val="25BA0209"/>
    <w:rsid w:val="25BB4BF0"/>
    <w:rsid w:val="25E62DA9"/>
    <w:rsid w:val="25F465E7"/>
    <w:rsid w:val="25F6641C"/>
    <w:rsid w:val="25F74FA1"/>
    <w:rsid w:val="25FC3091"/>
    <w:rsid w:val="25FD11FA"/>
    <w:rsid w:val="25FF3210"/>
    <w:rsid w:val="2611098A"/>
    <w:rsid w:val="264221C6"/>
    <w:rsid w:val="265D3370"/>
    <w:rsid w:val="26666555"/>
    <w:rsid w:val="268B7C99"/>
    <w:rsid w:val="268C4A4A"/>
    <w:rsid w:val="269A7501"/>
    <w:rsid w:val="26A3584F"/>
    <w:rsid w:val="26A66B0A"/>
    <w:rsid w:val="26A73989"/>
    <w:rsid w:val="26A86D42"/>
    <w:rsid w:val="26C30557"/>
    <w:rsid w:val="26CB2EBC"/>
    <w:rsid w:val="26CB4B73"/>
    <w:rsid w:val="26E34A7B"/>
    <w:rsid w:val="26E9756C"/>
    <w:rsid w:val="26FA4570"/>
    <w:rsid w:val="27217FF0"/>
    <w:rsid w:val="27242893"/>
    <w:rsid w:val="273612F4"/>
    <w:rsid w:val="27445146"/>
    <w:rsid w:val="277602F5"/>
    <w:rsid w:val="278038CA"/>
    <w:rsid w:val="27C33BB0"/>
    <w:rsid w:val="27C55F98"/>
    <w:rsid w:val="27CC0CD0"/>
    <w:rsid w:val="27D071BC"/>
    <w:rsid w:val="27D13F89"/>
    <w:rsid w:val="27D4538F"/>
    <w:rsid w:val="27DE15AE"/>
    <w:rsid w:val="27E03A2F"/>
    <w:rsid w:val="280D297A"/>
    <w:rsid w:val="28276A98"/>
    <w:rsid w:val="285710C8"/>
    <w:rsid w:val="285C4BAF"/>
    <w:rsid w:val="285D0F42"/>
    <w:rsid w:val="28703320"/>
    <w:rsid w:val="289539A5"/>
    <w:rsid w:val="289F019A"/>
    <w:rsid w:val="28CC6ED5"/>
    <w:rsid w:val="28F010D9"/>
    <w:rsid w:val="28F05C88"/>
    <w:rsid w:val="29082E70"/>
    <w:rsid w:val="291343EF"/>
    <w:rsid w:val="29166F16"/>
    <w:rsid w:val="294D5371"/>
    <w:rsid w:val="295A5964"/>
    <w:rsid w:val="29626133"/>
    <w:rsid w:val="29702C6A"/>
    <w:rsid w:val="298756CC"/>
    <w:rsid w:val="29A81FA5"/>
    <w:rsid w:val="29AB297C"/>
    <w:rsid w:val="29C535D7"/>
    <w:rsid w:val="29C65905"/>
    <w:rsid w:val="29DA5777"/>
    <w:rsid w:val="29DF2425"/>
    <w:rsid w:val="2A0E6FDD"/>
    <w:rsid w:val="2A142C99"/>
    <w:rsid w:val="2A1E4871"/>
    <w:rsid w:val="2A214539"/>
    <w:rsid w:val="2A367BB2"/>
    <w:rsid w:val="2A3D54FD"/>
    <w:rsid w:val="2A410FE5"/>
    <w:rsid w:val="2A4173A1"/>
    <w:rsid w:val="2A596631"/>
    <w:rsid w:val="2A5A05BF"/>
    <w:rsid w:val="2A5F2983"/>
    <w:rsid w:val="2A601F6F"/>
    <w:rsid w:val="2A7A07C0"/>
    <w:rsid w:val="2AB17620"/>
    <w:rsid w:val="2AB30FEA"/>
    <w:rsid w:val="2AB657B1"/>
    <w:rsid w:val="2AE07913"/>
    <w:rsid w:val="2AEA3FC0"/>
    <w:rsid w:val="2AEA4AC4"/>
    <w:rsid w:val="2B0E64B5"/>
    <w:rsid w:val="2B166BF6"/>
    <w:rsid w:val="2B2B0DE1"/>
    <w:rsid w:val="2B3E1E16"/>
    <w:rsid w:val="2B5D0E3B"/>
    <w:rsid w:val="2B5E2134"/>
    <w:rsid w:val="2B6F3EEE"/>
    <w:rsid w:val="2B70774D"/>
    <w:rsid w:val="2B7D446F"/>
    <w:rsid w:val="2B8C5314"/>
    <w:rsid w:val="2B8D4A3E"/>
    <w:rsid w:val="2BCC1BD6"/>
    <w:rsid w:val="2BDF0CFB"/>
    <w:rsid w:val="2BE234F2"/>
    <w:rsid w:val="2BE33AA6"/>
    <w:rsid w:val="2BE40B44"/>
    <w:rsid w:val="2BEF68A7"/>
    <w:rsid w:val="2BF22DBE"/>
    <w:rsid w:val="2BF73785"/>
    <w:rsid w:val="2C0F30B3"/>
    <w:rsid w:val="2C1235EB"/>
    <w:rsid w:val="2C162BEC"/>
    <w:rsid w:val="2C2F0BC4"/>
    <w:rsid w:val="2C391765"/>
    <w:rsid w:val="2C3D18DD"/>
    <w:rsid w:val="2C3D5EB9"/>
    <w:rsid w:val="2C4C0F0A"/>
    <w:rsid w:val="2C5254C3"/>
    <w:rsid w:val="2C532EF2"/>
    <w:rsid w:val="2C5C500F"/>
    <w:rsid w:val="2C6E3526"/>
    <w:rsid w:val="2C6F1E54"/>
    <w:rsid w:val="2C993631"/>
    <w:rsid w:val="2C9B7E11"/>
    <w:rsid w:val="2CAF1058"/>
    <w:rsid w:val="2CB32C99"/>
    <w:rsid w:val="2CBC36F5"/>
    <w:rsid w:val="2CC907F0"/>
    <w:rsid w:val="2CCC5126"/>
    <w:rsid w:val="2CF756B7"/>
    <w:rsid w:val="2CF9252D"/>
    <w:rsid w:val="2CF97782"/>
    <w:rsid w:val="2D107154"/>
    <w:rsid w:val="2D143281"/>
    <w:rsid w:val="2D1C79F8"/>
    <w:rsid w:val="2D324177"/>
    <w:rsid w:val="2D5A7835"/>
    <w:rsid w:val="2D6578A0"/>
    <w:rsid w:val="2D7343C9"/>
    <w:rsid w:val="2DE44256"/>
    <w:rsid w:val="2DE557EB"/>
    <w:rsid w:val="2E0E6D42"/>
    <w:rsid w:val="2E0F4249"/>
    <w:rsid w:val="2E2F0A58"/>
    <w:rsid w:val="2E447583"/>
    <w:rsid w:val="2E4B4467"/>
    <w:rsid w:val="2E5520B9"/>
    <w:rsid w:val="2E63548C"/>
    <w:rsid w:val="2E640C1C"/>
    <w:rsid w:val="2E6B523D"/>
    <w:rsid w:val="2E7A08F9"/>
    <w:rsid w:val="2E7B33BD"/>
    <w:rsid w:val="2E836803"/>
    <w:rsid w:val="2E96363C"/>
    <w:rsid w:val="2EB86707"/>
    <w:rsid w:val="2EC92184"/>
    <w:rsid w:val="2ECD27F6"/>
    <w:rsid w:val="2F0E1C14"/>
    <w:rsid w:val="2F366FC1"/>
    <w:rsid w:val="2F5034C7"/>
    <w:rsid w:val="2F866106"/>
    <w:rsid w:val="2FA3249D"/>
    <w:rsid w:val="2FC05B92"/>
    <w:rsid w:val="2FDE3BE4"/>
    <w:rsid w:val="2FEC1413"/>
    <w:rsid w:val="2FEF5C51"/>
    <w:rsid w:val="301F1E0F"/>
    <w:rsid w:val="302E6295"/>
    <w:rsid w:val="303329F0"/>
    <w:rsid w:val="303818E5"/>
    <w:rsid w:val="303F1851"/>
    <w:rsid w:val="303F79AD"/>
    <w:rsid w:val="30492212"/>
    <w:rsid w:val="304C3A2B"/>
    <w:rsid w:val="30596318"/>
    <w:rsid w:val="306F339C"/>
    <w:rsid w:val="30762710"/>
    <w:rsid w:val="30814CF1"/>
    <w:rsid w:val="308E4163"/>
    <w:rsid w:val="30C20BA4"/>
    <w:rsid w:val="30C478ED"/>
    <w:rsid w:val="30EC01FB"/>
    <w:rsid w:val="30F54D00"/>
    <w:rsid w:val="31026564"/>
    <w:rsid w:val="310A5122"/>
    <w:rsid w:val="312107CD"/>
    <w:rsid w:val="31210CA8"/>
    <w:rsid w:val="31215285"/>
    <w:rsid w:val="312D0344"/>
    <w:rsid w:val="31346C1B"/>
    <w:rsid w:val="314A407E"/>
    <w:rsid w:val="317038BB"/>
    <w:rsid w:val="317958D0"/>
    <w:rsid w:val="318D218C"/>
    <w:rsid w:val="31964319"/>
    <w:rsid w:val="319A32FE"/>
    <w:rsid w:val="31A53AB7"/>
    <w:rsid w:val="31A801F9"/>
    <w:rsid w:val="31C57FB2"/>
    <w:rsid w:val="31C932E2"/>
    <w:rsid w:val="31F61F62"/>
    <w:rsid w:val="320358D0"/>
    <w:rsid w:val="32052FE4"/>
    <w:rsid w:val="320B77FD"/>
    <w:rsid w:val="321976B1"/>
    <w:rsid w:val="321D6876"/>
    <w:rsid w:val="3220390C"/>
    <w:rsid w:val="322B51BC"/>
    <w:rsid w:val="322F26BF"/>
    <w:rsid w:val="32313F22"/>
    <w:rsid w:val="32643522"/>
    <w:rsid w:val="326470BA"/>
    <w:rsid w:val="32744A8B"/>
    <w:rsid w:val="32753DA5"/>
    <w:rsid w:val="32886DB3"/>
    <w:rsid w:val="32895C45"/>
    <w:rsid w:val="32A43D99"/>
    <w:rsid w:val="32B141E0"/>
    <w:rsid w:val="32B44D2D"/>
    <w:rsid w:val="32C90A49"/>
    <w:rsid w:val="32FA2D7F"/>
    <w:rsid w:val="32FC6C4E"/>
    <w:rsid w:val="33085CC5"/>
    <w:rsid w:val="33262CBA"/>
    <w:rsid w:val="332B323C"/>
    <w:rsid w:val="332E3189"/>
    <w:rsid w:val="335B62EC"/>
    <w:rsid w:val="335E79BA"/>
    <w:rsid w:val="3360061D"/>
    <w:rsid w:val="336549AB"/>
    <w:rsid w:val="336618CB"/>
    <w:rsid w:val="33782709"/>
    <w:rsid w:val="3392025F"/>
    <w:rsid w:val="33A8285D"/>
    <w:rsid w:val="33AC1E29"/>
    <w:rsid w:val="33B17041"/>
    <w:rsid w:val="33B202F3"/>
    <w:rsid w:val="33B20F64"/>
    <w:rsid w:val="33CF3538"/>
    <w:rsid w:val="33EE53FA"/>
    <w:rsid w:val="33FD7485"/>
    <w:rsid w:val="34012F1B"/>
    <w:rsid w:val="34467089"/>
    <w:rsid w:val="34523AB5"/>
    <w:rsid w:val="34614B32"/>
    <w:rsid w:val="346B4B47"/>
    <w:rsid w:val="346E4F77"/>
    <w:rsid w:val="34762AAC"/>
    <w:rsid w:val="348402A8"/>
    <w:rsid w:val="34B510BB"/>
    <w:rsid w:val="34BB2714"/>
    <w:rsid w:val="34C25EF7"/>
    <w:rsid w:val="34D20F28"/>
    <w:rsid w:val="34E22DC0"/>
    <w:rsid w:val="350233D4"/>
    <w:rsid w:val="35195F01"/>
    <w:rsid w:val="35313A72"/>
    <w:rsid w:val="35493C91"/>
    <w:rsid w:val="355C0228"/>
    <w:rsid w:val="357800DF"/>
    <w:rsid w:val="358527FB"/>
    <w:rsid w:val="358B5BCF"/>
    <w:rsid w:val="359A77E8"/>
    <w:rsid w:val="35A1790B"/>
    <w:rsid w:val="35A45B99"/>
    <w:rsid w:val="35B01090"/>
    <w:rsid w:val="35DD2073"/>
    <w:rsid w:val="35DF75FB"/>
    <w:rsid w:val="35EB21A5"/>
    <w:rsid w:val="35F52D00"/>
    <w:rsid w:val="35FF153A"/>
    <w:rsid w:val="3606622C"/>
    <w:rsid w:val="36077316"/>
    <w:rsid w:val="3613278E"/>
    <w:rsid w:val="36356D4F"/>
    <w:rsid w:val="36405687"/>
    <w:rsid w:val="36414112"/>
    <w:rsid w:val="365F3D60"/>
    <w:rsid w:val="36645530"/>
    <w:rsid w:val="367851C1"/>
    <w:rsid w:val="369510BC"/>
    <w:rsid w:val="36973632"/>
    <w:rsid w:val="36A30194"/>
    <w:rsid w:val="36D21A02"/>
    <w:rsid w:val="37104DEB"/>
    <w:rsid w:val="372D0977"/>
    <w:rsid w:val="37337382"/>
    <w:rsid w:val="374D5647"/>
    <w:rsid w:val="374F42A7"/>
    <w:rsid w:val="37506DBE"/>
    <w:rsid w:val="3759338C"/>
    <w:rsid w:val="37654002"/>
    <w:rsid w:val="378E3E66"/>
    <w:rsid w:val="37C244FC"/>
    <w:rsid w:val="37D95C79"/>
    <w:rsid w:val="37E81F7B"/>
    <w:rsid w:val="38026A1B"/>
    <w:rsid w:val="38197832"/>
    <w:rsid w:val="383903C6"/>
    <w:rsid w:val="383C423B"/>
    <w:rsid w:val="38415136"/>
    <w:rsid w:val="386C1D38"/>
    <w:rsid w:val="387A25A5"/>
    <w:rsid w:val="38963295"/>
    <w:rsid w:val="389D2F53"/>
    <w:rsid w:val="38A945B7"/>
    <w:rsid w:val="38CC2A09"/>
    <w:rsid w:val="38D677A2"/>
    <w:rsid w:val="38D770AE"/>
    <w:rsid w:val="38F70050"/>
    <w:rsid w:val="38FC33FC"/>
    <w:rsid w:val="38FD0E84"/>
    <w:rsid w:val="38FF1B5B"/>
    <w:rsid w:val="390273B1"/>
    <w:rsid w:val="39153767"/>
    <w:rsid w:val="39225CA9"/>
    <w:rsid w:val="3923070B"/>
    <w:rsid w:val="392C49BB"/>
    <w:rsid w:val="39381E2B"/>
    <w:rsid w:val="3942282F"/>
    <w:rsid w:val="3953338B"/>
    <w:rsid w:val="396B7002"/>
    <w:rsid w:val="396C2A15"/>
    <w:rsid w:val="39AC01F9"/>
    <w:rsid w:val="39B73BAC"/>
    <w:rsid w:val="39B7517F"/>
    <w:rsid w:val="39BA3B51"/>
    <w:rsid w:val="39C20795"/>
    <w:rsid w:val="39E90E2B"/>
    <w:rsid w:val="39E94D86"/>
    <w:rsid w:val="39F1638E"/>
    <w:rsid w:val="3A001C79"/>
    <w:rsid w:val="3A1513BA"/>
    <w:rsid w:val="3A2E618D"/>
    <w:rsid w:val="3A4109A1"/>
    <w:rsid w:val="3A742C8C"/>
    <w:rsid w:val="3A7B2702"/>
    <w:rsid w:val="3A896EEE"/>
    <w:rsid w:val="3AAA2893"/>
    <w:rsid w:val="3ABB15C7"/>
    <w:rsid w:val="3AD8279E"/>
    <w:rsid w:val="3AE73EDB"/>
    <w:rsid w:val="3B08641D"/>
    <w:rsid w:val="3B1C7A19"/>
    <w:rsid w:val="3B2B5582"/>
    <w:rsid w:val="3B4234D4"/>
    <w:rsid w:val="3B7622BA"/>
    <w:rsid w:val="3B7C1C88"/>
    <w:rsid w:val="3B8107C8"/>
    <w:rsid w:val="3B8972AA"/>
    <w:rsid w:val="3BA219B8"/>
    <w:rsid w:val="3BA96003"/>
    <w:rsid w:val="3BC61A51"/>
    <w:rsid w:val="3BE14893"/>
    <w:rsid w:val="3BE8265C"/>
    <w:rsid w:val="3BE92A35"/>
    <w:rsid w:val="3BEB460F"/>
    <w:rsid w:val="3BEF1DA2"/>
    <w:rsid w:val="3BF64635"/>
    <w:rsid w:val="3BF956C3"/>
    <w:rsid w:val="3C0E5CDB"/>
    <w:rsid w:val="3C4D3B02"/>
    <w:rsid w:val="3C5B1D89"/>
    <w:rsid w:val="3C85498F"/>
    <w:rsid w:val="3C8946A5"/>
    <w:rsid w:val="3CA372A1"/>
    <w:rsid w:val="3CA600E0"/>
    <w:rsid w:val="3CB765A9"/>
    <w:rsid w:val="3CBA4326"/>
    <w:rsid w:val="3CBC0BE3"/>
    <w:rsid w:val="3CC614DA"/>
    <w:rsid w:val="3CD01DA9"/>
    <w:rsid w:val="3CDA38F5"/>
    <w:rsid w:val="3CDD517D"/>
    <w:rsid w:val="3CE33FC3"/>
    <w:rsid w:val="3CEA3B31"/>
    <w:rsid w:val="3CF9401E"/>
    <w:rsid w:val="3CFC6325"/>
    <w:rsid w:val="3D093C71"/>
    <w:rsid w:val="3D1A22C0"/>
    <w:rsid w:val="3D294B1B"/>
    <w:rsid w:val="3D2B034D"/>
    <w:rsid w:val="3D5A60CA"/>
    <w:rsid w:val="3D9F4364"/>
    <w:rsid w:val="3DA702BF"/>
    <w:rsid w:val="3DB92106"/>
    <w:rsid w:val="3DCF457D"/>
    <w:rsid w:val="3DF169A7"/>
    <w:rsid w:val="3DF2399F"/>
    <w:rsid w:val="3DF40FE4"/>
    <w:rsid w:val="3E0519AD"/>
    <w:rsid w:val="3E4A1D40"/>
    <w:rsid w:val="3E4C287B"/>
    <w:rsid w:val="3E633FD2"/>
    <w:rsid w:val="3E6F32D2"/>
    <w:rsid w:val="3E742C66"/>
    <w:rsid w:val="3E7E19E7"/>
    <w:rsid w:val="3E8572BF"/>
    <w:rsid w:val="3E917B82"/>
    <w:rsid w:val="3E9656A5"/>
    <w:rsid w:val="3E997463"/>
    <w:rsid w:val="3E9F7600"/>
    <w:rsid w:val="3ECD5479"/>
    <w:rsid w:val="3ED62B90"/>
    <w:rsid w:val="3EE34DD3"/>
    <w:rsid w:val="3EF434CC"/>
    <w:rsid w:val="3EFB6FF7"/>
    <w:rsid w:val="3EFF0A75"/>
    <w:rsid w:val="3F1054CE"/>
    <w:rsid w:val="3F2534F3"/>
    <w:rsid w:val="3F3A1B65"/>
    <w:rsid w:val="3F3A5EB9"/>
    <w:rsid w:val="3F522210"/>
    <w:rsid w:val="3F544AF6"/>
    <w:rsid w:val="3F5C361D"/>
    <w:rsid w:val="3F5E64F5"/>
    <w:rsid w:val="3F656E2C"/>
    <w:rsid w:val="3F6D5029"/>
    <w:rsid w:val="3F92376D"/>
    <w:rsid w:val="3F9C1CD6"/>
    <w:rsid w:val="3FB035B9"/>
    <w:rsid w:val="3FC45A80"/>
    <w:rsid w:val="3FDE13B9"/>
    <w:rsid w:val="3FE029F1"/>
    <w:rsid w:val="3FE457AE"/>
    <w:rsid w:val="3FE57701"/>
    <w:rsid w:val="400C4E03"/>
    <w:rsid w:val="40126EBB"/>
    <w:rsid w:val="401A4D54"/>
    <w:rsid w:val="40262C07"/>
    <w:rsid w:val="404209E3"/>
    <w:rsid w:val="40451C67"/>
    <w:rsid w:val="404A1B2B"/>
    <w:rsid w:val="404A601E"/>
    <w:rsid w:val="404C52F4"/>
    <w:rsid w:val="405C0FC1"/>
    <w:rsid w:val="40733CBA"/>
    <w:rsid w:val="407A4DF7"/>
    <w:rsid w:val="40B16CC2"/>
    <w:rsid w:val="40B81BAD"/>
    <w:rsid w:val="40BB2365"/>
    <w:rsid w:val="40D23962"/>
    <w:rsid w:val="40D61BC8"/>
    <w:rsid w:val="40DC4F1D"/>
    <w:rsid w:val="40DF2097"/>
    <w:rsid w:val="40E71ABD"/>
    <w:rsid w:val="413C11C7"/>
    <w:rsid w:val="41447F0E"/>
    <w:rsid w:val="414733E0"/>
    <w:rsid w:val="41566753"/>
    <w:rsid w:val="416A21FA"/>
    <w:rsid w:val="416B09D7"/>
    <w:rsid w:val="417D1E08"/>
    <w:rsid w:val="417D5552"/>
    <w:rsid w:val="4188208C"/>
    <w:rsid w:val="419B51EE"/>
    <w:rsid w:val="41B11897"/>
    <w:rsid w:val="41C57D35"/>
    <w:rsid w:val="41F34606"/>
    <w:rsid w:val="4200399D"/>
    <w:rsid w:val="420E20BD"/>
    <w:rsid w:val="421647B9"/>
    <w:rsid w:val="42263E3B"/>
    <w:rsid w:val="422C70F1"/>
    <w:rsid w:val="423C6CFA"/>
    <w:rsid w:val="42442693"/>
    <w:rsid w:val="428D1B97"/>
    <w:rsid w:val="42B608A5"/>
    <w:rsid w:val="42BC6C8F"/>
    <w:rsid w:val="42C5446D"/>
    <w:rsid w:val="42E94337"/>
    <w:rsid w:val="43031943"/>
    <w:rsid w:val="431327F1"/>
    <w:rsid w:val="43182DB2"/>
    <w:rsid w:val="4368794F"/>
    <w:rsid w:val="436D0FB5"/>
    <w:rsid w:val="437518D1"/>
    <w:rsid w:val="438D1E49"/>
    <w:rsid w:val="43B23B98"/>
    <w:rsid w:val="43C80076"/>
    <w:rsid w:val="43D8550E"/>
    <w:rsid w:val="43DC0C7D"/>
    <w:rsid w:val="43EA69D8"/>
    <w:rsid w:val="44356D2F"/>
    <w:rsid w:val="44390E25"/>
    <w:rsid w:val="44433468"/>
    <w:rsid w:val="44437F9F"/>
    <w:rsid w:val="444F5C68"/>
    <w:rsid w:val="44613E6E"/>
    <w:rsid w:val="446A5324"/>
    <w:rsid w:val="447E7804"/>
    <w:rsid w:val="44943661"/>
    <w:rsid w:val="44A05C5C"/>
    <w:rsid w:val="44AC7417"/>
    <w:rsid w:val="44B16853"/>
    <w:rsid w:val="450D5FAD"/>
    <w:rsid w:val="45172F07"/>
    <w:rsid w:val="451D5184"/>
    <w:rsid w:val="452F3716"/>
    <w:rsid w:val="453C65FD"/>
    <w:rsid w:val="454B256E"/>
    <w:rsid w:val="455D76E4"/>
    <w:rsid w:val="45646F33"/>
    <w:rsid w:val="45671007"/>
    <w:rsid w:val="456C331B"/>
    <w:rsid w:val="45A26739"/>
    <w:rsid w:val="45B07140"/>
    <w:rsid w:val="45C43431"/>
    <w:rsid w:val="45EE3358"/>
    <w:rsid w:val="46066722"/>
    <w:rsid w:val="461976C3"/>
    <w:rsid w:val="461C0664"/>
    <w:rsid w:val="463D42BA"/>
    <w:rsid w:val="463E6C46"/>
    <w:rsid w:val="46521A41"/>
    <w:rsid w:val="465D50F1"/>
    <w:rsid w:val="46771C91"/>
    <w:rsid w:val="467F06A4"/>
    <w:rsid w:val="4694259D"/>
    <w:rsid w:val="46A64B43"/>
    <w:rsid w:val="46AA5A85"/>
    <w:rsid w:val="46AC6264"/>
    <w:rsid w:val="46C01696"/>
    <w:rsid w:val="46C52BE0"/>
    <w:rsid w:val="46D118AB"/>
    <w:rsid w:val="46F30AEE"/>
    <w:rsid w:val="47123940"/>
    <w:rsid w:val="47204C1C"/>
    <w:rsid w:val="4726595C"/>
    <w:rsid w:val="47600773"/>
    <w:rsid w:val="47661F26"/>
    <w:rsid w:val="476E25F3"/>
    <w:rsid w:val="47783B12"/>
    <w:rsid w:val="477D5156"/>
    <w:rsid w:val="477F2265"/>
    <w:rsid w:val="47890AD6"/>
    <w:rsid w:val="478D2FF6"/>
    <w:rsid w:val="478F6037"/>
    <w:rsid w:val="4798720D"/>
    <w:rsid w:val="47BF7C9C"/>
    <w:rsid w:val="47C2246C"/>
    <w:rsid w:val="47CA5F05"/>
    <w:rsid w:val="47DA1720"/>
    <w:rsid w:val="47E11737"/>
    <w:rsid w:val="47E77D53"/>
    <w:rsid w:val="47EE48C0"/>
    <w:rsid w:val="47F35E3E"/>
    <w:rsid w:val="47FB766F"/>
    <w:rsid w:val="48064E6E"/>
    <w:rsid w:val="4808575C"/>
    <w:rsid w:val="480B439D"/>
    <w:rsid w:val="482F10F4"/>
    <w:rsid w:val="48606A0B"/>
    <w:rsid w:val="486D78BB"/>
    <w:rsid w:val="48915636"/>
    <w:rsid w:val="48985F31"/>
    <w:rsid w:val="48AC6E35"/>
    <w:rsid w:val="48BD43A0"/>
    <w:rsid w:val="48C96968"/>
    <w:rsid w:val="48F6442E"/>
    <w:rsid w:val="48F84416"/>
    <w:rsid w:val="490874C4"/>
    <w:rsid w:val="491A6A98"/>
    <w:rsid w:val="491D4AAF"/>
    <w:rsid w:val="4926292B"/>
    <w:rsid w:val="49371235"/>
    <w:rsid w:val="494324F6"/>
    <w:rsid w:val="49455D20"/>
    <w:rsid w:val="497B341F"/>
    <w:rsid w:val="49B415EE"/>
    <w:rsid w:val="49B63FD6"/>
    <w:rsid w:val="49BF4D00"/>
    <w:rsid w:val="49D1562B"/>
    <w:rsid w:val="49DE1EF5"/>
    <w:rsid w:val="49E579C4"/>
    <w:rsid w:val="49EA2381"/>
    <w:rsid w:val="49F43753"/>
    <w:rsid w:val="49F54A10"/>
    <w:rsid w:val="49F94CE9"/>
    <w:rsid w:val="49FE0E45"/>
    <w:rsid w:val="4A040938"/>
    <w:rsid w:val="4A11169A"/>
    <w:rsid w:val="4A212635"/>
    <w:rsid w:val="4A2175B6"/>
    <w:rsid w:val="4A4260CB"/>
    <w:rsid w:val="4A611E1A"/>
    <w:rsid w:val="4A7055A6"/>
    <w:rsid w:val="4A9C47ED"/>
    <w:rsid w:val="4AA71D5E"/>
    <w:rsid w:val="4AAA6CA9"/>
    <w:rsid w:val="4AE008D2"/>
    <w:rsid w:val="4B0B3617"/>
    <w:rsid w:val="4B2815DF"/>
    <w:rsid w:val="4B473F5E"/>
    <w:rsid w:val="4B49191E"/>
    <w:rsid w:val="4B507FB2"/>
    <w:rsid w:val="4B647620"/>
    <w:rsid w:val="4B695935"/>
    <w:rsid w:val="4B7A55E6"/>
    <w:rsid w:val="4B82653E"/>
    <w:rsid w:val="4B894031"/>
    <w:rsid w:val="4B8C1A83"/>
    <w:rsid w:val="4B946154"/>
    <w:rsid w:val="4BB12731"/>
    <w:rsid w:val="4BE10A59"/>
    <w:rsid w:val="4BE123D1"/>
    <w:rsid w:val="4C0A534C"/>
    <w:rsid w:val="4C0F01F9"/>
    <w:rsid w:val="4C270B31"/>
    <w:rsid w:val="4C3202E6"/>
    <w:rsid w:val="4C5D5DCE"/>
    <w:rsid w:val="4C6370A1"/>
    <w:rsid w:val="4C736886"/>
    <w:rsid w:val="4C7F7CEF"/>
    <w:rsid w:val="4C821AA7"/>
    <w:rsid w:val="4CA43125"/>
    <w:rsid w:val="4CAC2A11"/>
    <w:rsid w:val="4CB01CB9"/>
    <w:rsid w:val="4CCD33EA"/>
    <w:rsid w:val="4CCF426B"/>
    <w:rsid w:val="4CFE069C"/>
    <w:rsid w:val="4D033F9C"/>
    <w:rsid w:val="4D055E23"/>
    <w:rsid w:val="4D2433AC"/>
    <w:rsid w:val="4D4A4A28"/>
    <w:rsid w:val="4D5D7D7F"/>
    <w:rsid w:val="4D625C01"/>
    <w:rsid w:val="4D8F350E"/>
    <w:rsid w:val="4D924E46"/>
    <w:rsid w:val="4D9877E4"/>
    <w:rsid w:val="4DBD22E7"/>
    <w:rsid w:val="4DC73507"/>
    <w:rsid w:val="4DDA6A5F"/>
    <w:rsid w:val="4DDB7205"/>
    <w:rsid w:val="4DDF772B"/>
    <w:rsid w:val="4DEB15AD"/>
    <w:rsid w:val="4DF87443"/>
    <w:rsid w:val="4E370600"/>
    <w:rsid w:val="4E435024"/>
    <w:rsid w:val="4E4E7E80"/>
    <w:rsid w:val="4E534A5B"/>
    <w:rsid w:val="4E5C5562"/>
    <w:rsid w:val="4E5F69A8"/>
    <w:rsid w:val="4E655726"/>
    <w:rsid w:val="4E754A02"/>
    <w:rsid w:val="4E95725E"/>
    <w:rsid w:val="4E9A6CF9"/>
    <w:rsid w:val="4EA65FD0"/>
    <w:rsid w:val="4ED33DCB"/>
    <w:rsid w:val="4EE34782"/>
    <w:rsid w:val="4EE63F4F"/>
    <w:rsid w:val="4F007E65"/>
    <w:rsid w:val="4F0A1AF8"/>
    <w:rsid w:val="4F203D73"/>
    <w:rsid w:val="4F27252E"/>
    <w:rsid w:val="4F323E26"/>
    <w:rsid w:val="4F3913E8"/>
    <w:rsid w:val="4F42646A"/>
    <w:rsid w:val="4F501419"/>
    <w:rsid w:val="4F594DAC"/>
    <w:rsid w:val="4F6C3F07"/>
    <w:rsid w:val="4F830574"/>
    <w:rsid w:val="4F8D5FB6"/>
    <w:rsid w:val="4F9753D7"/>
    <w:rsid w:val="4FA54804"/>
    <w:rsid w:val="4FBF34BA"/>
    <w:rsid w:val="4FCA2B98"/>
    <w:rsid w:val="4FCB218A"/>
    <w:rsid w:val="4FCE7BAE"/>
    <w:rsid w:val="4FFE4A87"/>
    <w:rsid w:val="500344EA"/>
    <w:rsid w:val="500B7B4C"/>
    <w:rsid w:val="503C3296"/>
    <w:rsid w:val="504B0F0D"/>
    <w:rsid w:val="50527689"/>
    <w:rsid w:val="506633AA"/>
    <w:rsid w:val="507237E3"/>
    <w:rsid w:val="50911DB8"/>
    <w:rsid w:val="50943033"/>
    <w:rsid w:val="509D389C"/>
    <w:rsid w:val="50A642FD"/>
    <w:rsid w:val="50AF647F"/>
    <w:rsid w:val="50BB317D"/>
    <w:rsid w:val="50D06E68"/>
    <w:rsid w:val="50D37C72"/>
    <w:rsid w:val="50E466DC"/>
    <w:rsid w:val="50EA1869"/>
    <w:rsid w:val="50FD00F4"/>
    <w:rsid w:val="50FF056E"/>
    <w:rsid w:val="510F2A7F"/>
    <w:rsid w:val="512746EF"/>
    <w:rsid w:val="51283E4C"/>
    <w:rsid w:val="51291D35"/>
    <w:rsid w:val="512B3A7F"/>
    <w:rsid w:val="51414399"/>
    <w:rsid w:val="51422751"/>
    <w:rsid w:val="515D5FD6"/>
    <w:rsid w:val="516A7012"/>
    <w:rsid w:val="51721A38"/>
    <w:rsid w:val="517D016D"/>
    <w:rsid w:val="51A45867"/>
    <w:rsid w:val="51AD7250"/>
    <w:rsid w:val="51CF1465"/>
    <w:rsid w:val="51D1247D"/>
    <w:rsid w:val="51EC4955"/>
    <w:rsid w:val="51F067B7"/>
    <w:rsid w:val="52077D46"/>
    <w:rsid w:val="52187D0D"/>
    <w:rsid w:val="52361B9C"/>
    <w:rsid w:val="52362A26"/>
    <w:rsid w:val="523B0BAD"/>
    <w:rsid w:val="524B7169"/>
    <w:rsid w:val="5250515D"/>
    <w:rsid w:val="526921DD"/>
    <w:rsid w:val="52801322"/>
    <w:rsid w:val="5297132B"/>
    <w:rsid w:val="529F28D8"/>
    <w:rsid w:val="529F6FBB"/>
    <w:rsid w:val="52C076EC"/>
    <w:rsid w:val="52C25708"/>
    <w:rsid w:val="52C315CC"/>
    <w:rsid w:val="52CD10CA"/>
    <w:rsid w:val="52EB6F11"/>
    <w:rsid w:val="52F0249E"/>
    <w:rsid w:val="5353575F"/>
    <w:rsid w:val="535B2E70"/>
    <w:rsid w:val="535C4E8B"/>
    <w:rsid w:val="536278AA"/>
    <w:rsid w:val="53673357"/>
    <w:rsid w:val="53676B5F"/>
    <w:rsid w:val="536E21FF"/>
    <w:rsid w:val="5385006E"/>
    <w:rsid w:val="538A4A6D"/>
    <w:rsid w:val="53B45677"/>
    <w:rsid w:val="53DD2466"/>
    <w:rsid w:val="53E34323"/>
    <w:rsid w:val="53FC3987"/>
    <w:rsid w:val="5427381E"/>
    <w:rsid w:val="543B788E"/>
    <w:rsid w:val="54447CBB"/>
    <w:rsid w:val="545062A7"/>
    <w:rsid w:val="545C3555"/>
    <w:rsid w:val="54617320"/>
    <w:rsid w:val="547A28DC"/>
    <w:rsid w:val="54827775"/>
    <w:rsid w:val="54AC5134"/>
    <w:rsid w:val="54DE6078"/>
    <w:rsid w:val="54E86EBD"/>
    <w:rsid w:val="54F2526E"/>
    <w:rsid w:val="55075D9B"/>
    <w:rsid w:val="55184BBF"/>
    <w:rsid w:val="551874CA"/>
    <w:rsid w:val="551E6A56"/>
    <w:rsid w:val="552006D3"/>
    <w:rsid w:val="55301CB3"/>
    <w:rsid w:val="55327054"/>
    <w:rsid w:val="553A26BA"/>
    <w:rsid w:val="5556054C"/>
    <w:rsid w:val="55862A42"/>
    <w:rsid w:val="55990578"/>
    <w:rsid w:val="55A56891"/>
    <w:rsid w:val="55AC66CB"/>
    <w:rsid w:val="55C33131"/>
    <w:rsid w:val="55CD7903"/>
    <w:rsid w:val="55E172A0"/>
    <w:rsid w:val="55E24605"/>
    <w:rsid w:val="55F81C60"/>
    <w:rsid w:val="55FA0F14"/>
    <w:rsid w:val="56097F90"/>
    <w:rsid w:val="56133E90"/>
    <w:rsid w:val="56474D43"/>
    <w:rsid w:val="564C1D1D"/>
    <w:rsid w:val="565F1E2E"/>
    <w:rsid w:val="56670F45"/>
    <w:rsid w:val="566F1BE2"/>
    <w:rsid w:val="567B004B"/>
    <w:rsid w:val="56825178"/>
    <w:rsid w:val="568F784B"/>
    <w:rsid w:val="569C0124"/>
    <w:rsid w:val="56A17AE8"/>
    <w:rsid w:val="56C9634D"/>
    <w:rsid w:val="56D41BE8"/>
    <w:rsid w:val="56EC7A5D"/>
    <w:rsid w:val="56F4599D"/>
    <w:rsid w:val="570D0322"/>
    <w:rsid w:val="57180ACE"/>
    <w:rsid w:val="571B61B6"/>
    <w:rsid w:val="57213E7D"/>
    <w:rsid w:val="5723561B"/>
    <w:rsid w:val="572362C9"/>
    <w:rsid w:val="572F37C6"/>
    <w:rsid w:val="5736629C"/>
    <w:rsid w:val="57540996"/>
    <w:rsid w:val="57802A35"/>
    <w:rsid w:val="578C3658"/>
    <w:rsid w:val="57B66918"/>
    <w:rsid w:val="57BD6FCE"/>
    <w:rsid w:val="57D214D2"/>
    <w:rsid w:val="57DA1A42"/>
    <w:rsid w:val="58002D08"/>
    <w:rsid w:val="58057728"/>
    <w:rsid w:val="581D1F94"/>
    <w:rsid w:val="582872BA"/>
    <w:rsid w:val="5829318A"/>
    <w:rsid w:val="582D7EE9"/>
    <w:rsid w:val="583343BB"/>
    <w:rsid w:val="583439B3"/>
    <w:rsid w:val="583B5787"/>
    <w:rsid w:val="586759C7"/>
    <w:rsid w:val="58C07CA9"/>
    <w:rsid w:val="58DE5A38"/>
    <w:rsid w:val="58FA7B16"/>
    <w:rsid w:val="58FB22A6"/>
    <w:rsid w:val="59003437"/>
    <w:rsid w:val="59182EE7"/>
    <w:rsid w:val="5921212C"/>
    <w:rsid w:val="59395687"/>
    <w:rsid w:val="596F472F"/>
    <w:rsid w:val="5974345D"/>
    <w:rsid w:val="597534AA"/>
    <w:rsid w:val="59951C91"/>
    <w:rsid w:val="59982867"/>
    <w:rsid w:val="59A11ED6"/>
    <w:rsid w:val="59AB0DFC"/>
    <w:rsid w:val="59C1557F"/>
    <w:rsid w:val="59C8615E"/>
    <w:rsid w:val="59E771C2"/>
    <w:rsid w:val="59E84659"/>
    <w:rsid w:val="59FF2575"/>
    <w:rsid w:val="5A344FB0"/>
    <w:rsid w:val="5A360707"/>
    <w:rsid w:val="5A482568"/>
    <w:rsid w:val="5A5755C9"/>
    <w:rsid w:val="5A5A13C0"/>
    <w:rsid w:val="5A772EA3"/>
    <w:rsid w:val="5A7D29E6"/>
    <w:rsid w:val="5A821401"/>
    <w:rsid w:val="5A8A2B4B"/>
    <w:rsid w:val="5A9F5080"/>
    <w:rsid w:val="5AAB6618"/>
    <w:rsid w:val="5AC52E1B"/>
    <w:rsid w:val="5AE91049"/>
    <w:rsid w:val="5AEF582B"/>
    <w:rsid w:val="5B0B5334"/>
    <w:rsid w:val="5B1B7ACD"/>
    <w:rsid w:val="5B247C71"/>
    <w:rsid w:val="5B2A406A"/>
    <w:rsid w:val="5B2B06FA"/>
    <w:rsid w:val="5B392BD6"/>
    <w:rsid w:val="5B561D67"/>
    <w:rsid w:val="5B774FD6"/>
    <w:rsid w:val="5B814790"/>
    <w:rsid w:val="5B82237F"/>
    <w:rsid w:val="5B824855"/>
    <w:rsid w:val="5B856A19"/>
    <w:rsid w:val="5B88245B"/>
    <w:rsid w:val="5B8A0D7A"/>
    <w:rsid w:val="5B8B0F7C"/>
    <w:rsid w:val="5B9E05AD"/>
    <w:rsid w:val="5BBB1AC4"/>
    <w:rsid w:val="5BE11C63"/>
    <w:rsid w:val="5BF24E07"/>
    <w:rsid w:val="5BFB55EA"/>
    <w:rsid w:val="5C15792E"/>
    <w:rsid w:val="5C1A5869"/>
    <w:rsid w:val="5C2404DB"/>
    <w:rsid w:val="5C290BF2"/>
    <w:rsid w:val="5C4E1E1E"/>
    <w:rsid w:val="5C4F343B"/>
    <w:rsid w:val="5C6A79EB"/>
    <w:rsid w:val="5C912690"/>
    <w:rsid w:val="5C970365"/>
    <w:rsid w:val="5C9F632F"/>
    <w:rsid w:val="5CCB04A2"/>
    <w:rsid w:val="5CCD7E04"/>
    <w:rsid w:val="5CD51F6A"/>
    <w:rsid w:val="5CD6026B"/>
    <w:rsid w:val="5CE319F6"/>
    <w:rsid w:val="5CE42846"/>
    <w:rsid w:val="5CE9406B"/>
    <w:rsid w:val="5D0656E1"/>
    <w:rsid w:val="5D566DF5"/>
    <w:rsid w:val="5D5736EC"/>
    <w:rsid w:val="5D592213"/>
    <w:rsid w:val="5D7067ED"/>
    <w:rsid w:val="5D77660D"/>
    <w:rsid w:val="5D7A7C97"/>
    <w:rsid w:val="5D8A240A"/>
    <w:rsid w:val="5D8A4019"/>
    <w:rsid w:val="5D9907FA"/>
    <w:rsid w:val="5DCD4FAD"/>
    <w:rsid w:val="5DD45E20"/>
    <w:rsid w:val="5DD77F01"/>
    <w:rsid w:val="5DF376B4"/>
    <w:rsid w:val="5DF974C4"/>
    <w:rsid w:val="5E150E16"/>
    <w:rsid w:val="5E156702"/>
    <w:rsid w:val="5E2C3CE8"/>
    <w:rsid w:val="5E480DBB"/>
    <w:rsid w:val="5E532C32"/>
    <w:rsid w:val="5E580D73"/>
    <w:rsid w:val="5E6B78B9"/>
    <w:rsid w:val="5E72530D"/>
    <w:rsid w:val="5E7B3471"/>
    <w:rsid w:val="5E811840"/>
    <w:rsid w:val="5E881FD3"/>
    <w:rsid w:val="5EAC620C"/>
    <w:rsid w:val="5EB56E43"/>
    <w:rsid w:val="5EDB6E5E"/>
    <w:rsid w:val="5F050603"/>
    <w:rsid w:val="5F0F5BF5"/>
    <w:rsid w:val="5F1070E5"/>
    <w:rsid w:val="5F137093"/>
    <w:rsid w:val="5F475DFB"/>
    <w:rsid w:val="5F4A6912"/>
    <w:rsid w:val="5FA342D5"/>
    <w:rsid w:val="5FA40581"/>
    <w:rsid w:val="5FBF418B"/>
    <w:rsid w:val="5FC03F1C"/>
    <w:rsid w:val="5FC128D4"/>
    <w:rsid w:val="5FC577B3"/>
    <w:rsid w:val="5FFB751D"/>
    <w:rsid w:val="5FFC1DCE"/>
    <w:rsid w:val="600D050F"/>
    <w:rsid w:val="602423C7"/>
    <w:rsid w:val="603F2394"/>
    <w:rsid w:val="604407B5"/>
    <w:rsid w:val="60487E62"/>
    <w:rsid w:val="605A5C34"/>
    <w:rsid w:val="60630B92"/>
    <w:rsid w:val="606E4C0D"/>
    <w:rsid w:val="60935B47"/>
    <w:rsid w:val="60C76F62"/>
    <w:rsid w:val="60CE1254"/>
    <w:rsid w:val="60D321CB"/>
    <w:rsid w:val="60D467A9"/>
    <w:rsid w:val="60EA12BA"/>
    <w:rsid w:val="60EB3CE8"/>
    <w:rsid w:val="61034470"/>
    <w:rsid w:val="61041400"/>
    <w:rsid w:val="6108421E"/>
    <w:rsid w:val="610C08D6"/>
    <w:rsid w:val="611504BF"/>
    <w:rsid w:val="61233B56"/>
    <w:rsid w:val="6129287D"/>
    <w:rsid w:val="6132559A"/>
    <w:rsid w:val="61535DEE"/>
    <w:rsid w:val="6166167A"/>
    <w:rsid w:val="617020C2"/>
    <w:rsid w:val="61755B39"/>
    <w:rsid w:val="617A0C46"/>
    <w:rsid w:val="618B1EF3"/>
    <w:rsid w:val="61A33787"/>
    <w:rsid w:val="61A66AB4"/>
    <w:rsid w:val="61BC38FA"/>
    <w:rsid w:val="61BE0E4F"/>
    <w:rsid w:val="61C85E7F"/>
    <w:rsid w:val="61CD78CF"/>
    <w:rsid w:val="61DA14FE"/>
    <w:rsid w:val="61E53D34"/>
    <w:rsid w:val="61E73697"/>
    <w:rsid w:val="61EE3162"/>
    <w:rsid w:val="61F62056"/>
    <w:rsid w:val="620208E6"/>
    <w:rsid w:val="620E46C5"/>
    <w:rsid w:val="620F37AC"/>
    <w:rsid w:val="621536B2"/>
    <w:rsid w:val="621C707C"/>
    <w:rsid w:val="621E0130"/>
    <w:rsid w:val="62271A32"/>
    <w:rsid w:val="6245212D"/>
    <w:rsid w:val="624B2E9D"/>
    <w:rsid w:val="62504ABA"/>
    <w:rsid w:val="62510C1A"/>
    <w:rsid w:val="62607DE0"/>
    <w:rsid w:val="62757089"/>
    <w:rsid w:val="62AE05DB"/>
    <w:rsid w:val="62B60A29"/>
    <w:rsid w:val="62BA5EE7"/>
    <w:rsid w:val="62F04E93"/>
    <w:rsid w:val="62F14EED"/>
    <w:rsid w:val="62FF3767"/>
    <w:rsid w:val="63074094"/>
    <w:rsid w:val="63256E52"/>
    <w:rsid w:val="6337684E"/>
    <w:rsid w:val="63403C73"/>
    <w:rsid w:val="6351410B"/>
    <w:rsid w:val="635D4427"/>
    <w:rsid w:val="635F082F"/>
    <w:rsid w:val="63710CD7"/>
    <w:rsid w:val="639A0C81"/>
    <w:rsid w:val="63A00543"/>
    <w:rsid w:val="63A854F9"/>
    <w:rsid w:val="63BE2991"/>
    <w:rsid w:val="63D672A4"/>
    <w:rsid w:val="63E900E8"/>
    <w:rsid w:val="63F105D2"/>
    <w:rsid w:val="64003000"/>
    <w:rsid w:val="64020FD8"/>
    <w:rsid w:val="640B49C1"/>
    <w:rsid w:val="64156CD8"/>
    <w:rsid w:val="64413D22"/>
    <w:rsid w:val="64470699"/>
    <w:rsid w:val="644B6CD5"/>
    <w:rsid w:val="646253D3"/>
    <w:rsid w:val="64627D01"/>
    <w:rsid w:val="6473435B"/>
    <w:rsid w:val="64864D44"/>
    <w:rsid w:val="64A01013"/>
    <w:rsid w:val="64C76164"/>
    <w:rsid w:val="64D3186F"/>
    <w:rsid w:val="64EF2266"/>
    <w:rsid w:val="64F33559"/>
    <w:rsid w:val="64FD2EEA"/>
    <w:rsid w:val="64FF1ABC"/>
    <w:rsid w:val="650E3520"/>
    <w:rsid w:val="654069DE"/>
    <w:rsid w:val="65413B3E"/>
    <w:rsid w:val="654B3E81"/>
    <w:rsid w:val="655555A6"/>
    <w:rsid w:val="655F14F0"/>
    <w:rsid w:val="65660277"/>
    <w:rsid w:val="656E6D13"/>
    <w:rsid w:val="65990AED"/>
    <w:rsid w:val="65A63707"/>
    <w:rsid w:val="65A80F59"/>
    <w:rsid w:val="65AA319F"/>
    <w:rsid w:val="65AC5539"/>
    <w:rsid w:val="65BB595A"/>
    <w:rsid w:val="65F22562"/>
    <w:rsid w:val="65F65692"/>
    <w:rsid w:val="660C7338"/>
    <w:rsid w:val="66407FD5"/>
    <w:rsid w:val="665346CA"/>
    <w:rsid w:val="6661498D"/>
    <w:rsid w:val="666B3926"/>
    <w:rsid w:val="668C5B9C"/>
    <w:rsid w:val="66A421AD"/>
    <w:rsid w:val="66C77BCC"/>
    <w:rsid w:val="66CF58C8"/>
    <w:rsid w:val="66D00FF0"/>
    <w:rsid w:val="66E50A5C"/>
    <w:rsid w:val="66E5305A"/>
    <w:rsid w:val="66FA0A76"/>
    <w:rsid w:val="670314C2"/>
    <w:rsid w:val="670A28DD"/>
    <w:rsid w:val="671F2137"/>
    <w:rsid w:val="67256725"/>
    <w:rsid w:val="672C3BD3"/>
    <w:rsid w:val="67441F0C"/>
    <w:rsid w:val="674465E9"/>
    <w:rsid w:val="67594618"/>
    <w:rsid w:val="675B3954"/>
    <w:rsid w:val="676B6466"/>
    <w:rsid w:val="67954429"/>
    <w:rsid w:val="67C47F84"/>
    <w:rsid w:val="67D85572"/>
    <w:rsid w:val="67DD10E7"/>
    <w:rsid w:val="67E51A4F"/>
    <w:rsid w:val="67E81C89"/>
    <w:rsid w:val="67F16AAB"/>
    <w:rsid w:val="67FC2A34"/>
    <w:rsid w:val="68022928"/>
    <w:rsid w:val="68163291"/>
    <w:rsid w:val="68244FDF"/>
    <w:rsid w:val="682634A6"/>
    <w:rsid w:val="68335612"/>
    <w:rsid w:val="683D75EE"/>
    <w:rsid w:val="683F6341"/>
    <w:rsid w:val="68413BF7"/>
    <w:rsid w:val="684A3899"/>
    <w:rsid w:val="68516552"/>
    <w:rsid w:val="685D249D"/>
    <w:rsid w:val="68600066"/>
    <w:rsid w:val="6861776A"/>
    <w:rsid w:val="687222C2"/>
    <w:rsid w:val="6879445C"/>
    <w:rsid w:val="687A5897"/>
    <w:rsid w:val="687D194E"/>
    <w:rsid w:val="68945561"/>
    <w:rsid w:val="689D6C87"/>
    <w:rsid w:val="68A05E34"/>
    <w:rsid w:val="68A4599C"/>
    <w:rsid w:val="68AD0074"/>
    <w:rsid w:val="68D4182F"/>
    <w:rsid w:val="68DA458B"/>
    <w:rsid w:val="68E565D8"/>
    <w:rsid w:val="68ED4DA7"/>
    <w:rsid w:val="68FC5EBD"/>
    <w:rsid w:val="69122538"/>
    <w:rsid w:val="69194FE8"/>
    <w:rsid w:val="691F4315"/>
    <w:rsid w:val="69544350"/>
    <w:rsid w:val="69703FA0"/>
    <w:rsid w:val="69997B9C"/>
    <w:rsid w:val="69A84304"/>
    <w:rsid w:val="69B52A42"/>
    <w:rsid w:val="69B67148"/>
    <w:rsid w:val="69BE4DB3"/>
    <w:rsid w:val="69CF0E91"/>
    <w:rsid w:val="69CF0ED8"/>
    <w:rsid w:val="69D52B56"/>
    <w:rsid w:val="69D54DDD"/>
    <w:rsid w:val="69E028D2"/>
    <w:rsid w:val="69E874BD"/>
    <w:rsid w:val="69F54308"/>
    <w:rsid w:val="6A0A7A54"/>
    <w:rsid w:val="6A2622A1"/>
    <w:rsid w:val="6A35577F"/>
    <w:rsid w:val="6A3A22EA"/>
    <w:rsid w:val="6A3F2D1D"/>
    <w:rsid w:val="6A592054"/>
    <w:rsid w:val="6A777087"/>
    <w:rsid w:val="6A820574"/>
    <w:rsid w:val="6A99048F"/>
    <w:rsid w:val="6AA077DB"/>
    <w:rsid w:val="6AA47C92"/>
    <w:rsid w:val="6AB909BB"/>
    <w:rsid w:val="6ABA0C51"/>
    <w:rsid w:val="6ABD020C"/>
    <w:rsid w:val="6ADD6D64"/>
    <w:rsid w:val="6B0F06C2"/>
    <w:rsid w:val="6B2B6878"/>
    <w:rsid w:val="6B633F4F"/>
    <w:rsid w:val="6B70680D"/>
    <w:rsid w:val="6B816F14"/>
    <w:rsid w:val="6B8A298B"/>
    <w:rsid w:val="6B8A779B"/>
    <w:rsid w:val="6BAD6C20"/>
    <w:rsid w:val="6BB456BB"/>
    <w:rsid w:val="6BB62A44"/>
    <w:rsid w:val="6BD81D0A"/>
    <w:rsid w:val="6BE052CE"/>
    <w:rsid w:val="6BF2692A"/>
    <w:rsid w:val="6BF358A4"/>
    <w:rsid w:val="6C051F4E"/>
    <w:rsid w:val="6C096C12"/>
    <w:rsid w:val="6C1A5960"/>
    <w:rsid w:val="6C417EB8"/>
    <w:rsid w:val="6C613F45"/>
    <w:rsid w:val="6C756221"/>
    <w:rsid w:val="6C7B08BB"/>
    <w:rsid w:val="6C816AF9"/>
    <w:rsid w:val="6C846694"/>
    <w:rsid w:val="6CA841D2"/>
    <w:rsid w:val="6CB10385"/>
    <w:rsid w:val="6CDF0F3A"/>
    <w:rsid w:val="6CE47854"/>
    <w:rsid w:val="6D0D25B8"/>
    <w:rsid w:val="6D490A6B"/>
    <w:rsid w:val="6D582A6D"/>
    <w:rsid w:val="6D604FD1"/>
    <w:rsid w:val="6D635FBA"/>
    <w:rsid w:val="6D6534EB"/>
    <w:rsid w:val="6D6C0EA8"/>
    <w:rsid w:val="6D732F9C"/>
    <w:rsid w:val="6D9239A2"/>
    <w:rsid w:val="6DB664EE"/>
    <w:rsid w:val="6DBC6250"/>
    <w:rsid w:val="6DC64BAC"/>
    <w:rsid w:val="6E037AD7"/>
    <w:rsid w:val="6E056523"/>
    <w:rsid w:val="6E074EC9"/>
    <w:rsid w:val="6E160E52"/>
    <w:rsid w:val="6E2E569B"/>
    <w:rsid w:val="6E4064F1"/>
    <w:rsid w:val="6E4E39FC"/>
    <w:rsid w:val="6E5545BD"/>
    <w:rsid w:val="6E5D1964"/>
    <w:rsid w:val="6E614B19"/>
    <w:rsid w:val="6E616F13"/>
    <w:rsid w:val="6E7369B5"/>
    <w:rsid w:val="6E7B5CAB"/>
    <w:rsid w:val="6EAA56FE"/>
    <w:rsid w:val="6EB37B5B"/>
    <w:rsid w:val="6EBE6FBB"/>
    <w:rsid w:val="6ED70BA2"/>
    <w:rsid w:val="6EDB7671"/>
    <w:rsid w:val="6EF77260"/>
    <w:rsid w:val="6F2302E3"/>
    <w:rsid w:val="6F314C13"/>
    <w:rsid w:val="6F382FA6"/>
    <w:rsid w:val="6F391F60"/>
    <w:rsid w:val="6F694006"/>
    <w:rsid w:val="6F6C5490"/>
    <w:rsid w:val="6F761900"/>
    <w:rsid w:val="6FA71AD5"/>
    <w:rsid w:val="6FAF2607"/>
    <w:rsid w:val="6FD47D24"/>
    <w:rsid w:val="6FE17D06"/>
    <w:rsid w:val="6FF536DD"/>
    <w:rsid w:val="6FFD71B3"/>
    <w:rsid w:val="700D2412"/>
    <w:rsid w:val="70112883"/>
    <w:rsid w:val="70243856"/>
    <w:rsid w:val="703F2471"/>
    <w:rsid w:val="704B4131"/>
    <w:rsid w:val="70531ED5"/>
    <w:rsid w:val="705A528C"/>
    <w:rsid w:val="7068062C"/>
    <w:rsid w:val="707F47B3"/>
    <w:rsid w:val="70954F53"/>
    <w:rsid w:val="70A94A40"/>
    <w:rsid w:val="70D80F32"/>
    <w:rsid w:val="70D97C76"/>
    <w:rsid w:val="70F76E40"/>
    <w:rsid w:val="711337D0"/>
    <w:rsid w:val="713173E8"/>
    <w:rsid w:val="71420658"/>
    <w:rsid w:val="7143472C"/>
    <w:rsid w:val="71440341"/>
    <w:rsid w:val="71531561"/>
    <w:rsid w:val="71597148"/>
    <w:rsid w:val="716D089C"/>
    <w:rsid w:val="71715206"/>
    <w:rsid w:val="71743A1D"/>
    <w:rsid w:val="71774D56"/>
    <w:rsid w:val="71901CEF"/>
    <w:rsid w:val="719438F4"/>
    <w:rsid w:val="719D7F3F"/>
    <w:rsid w:val="71B55DFD"/>
    <w:rsid w:val="71B834E8"/>
    <w:rsid w:val="71D0750E"/>
    <w:rsid w:val="71D803D1"/>
    <w:rsid w:val="71E501C6"/>
    <w:rsid w:val="71F40A44"/>
    <w:rsid w:val="7202163F"/>
    <w:rsid w:val="723B04C8"/>
    <w:rsid w:val="724E6817"/>
    <w:rsid w:val="72600D68"/>
    <w:rsid w:val="72604620"/>
    <w:rsid w:val="726B02C1"/>
    <w:rsid w:val="726D2C67"/>
    <w:rsid w:val="729A0F74"/>
    <w:rsid w:val="72F03574"/>
    <w:rsid w:val="72F77CB6"/>
    <w:rsid w:val="731438BD"/>
    <w:rsid w:val="733155C8"/>
    <w:rsid w:val="73422D3C"/>
    <w:rsid w:val="73625723"/>
    <w:rsid w:val="737007D9"/>
    <w:rsid w:val="738B5B50"/>
    <w:rsid w:val="73AA53A0"/>
    <w:rsid w:val="73B04F6B"/>
    <w:rsid w:val="73D20D1A"/>
    <w:rsid w:val="73E168D2"/>
    <w:rsid w:val="73E873C4"/>
    <w:rsid w:val="73F07AA4"/>
    <w:rsid w:val="74010DBC"/>
    <w:rsid w:val="74054701"/>
    <w:rsid w:val="740D2C3F"/>
    <w:rsid w:val="74135925"/>
    <w:rsid w:val="742827DB"/>
    <w:rsid w:val="742D6CA9"/>
    <w:rsid w:val="742E58A2"/>
    <w:rsid w:val="74525628"/>
    <w:rsid w:val="745F06BF"/>
    <w:rsid w:val="746C713B"/>
    <w:rsid w:val="748D2368"/>
    <w:rsid w:val="749217E0"/>
    <w:rsid w:val="74B22D8C"/>
    <w:rsid w:val="74C26B38"/>
    <w:rsid w:val="74C55FC1"/>
    <w:rsid w:val="74CC7EC1"/>
    <w:rsid w:val="74DA7552"/>
    <w:rsid w:val="74E41FDD"/>
    <w:rsid w:val="74EF6361"/>
    <w:rsid w:val="74F347DF"/>
    <w:rsid w:val="74FA7FE6"/>
    <w:rsid w:val="74FD4A9B"/>
    <w:rsid w:val="751D43A6"/>
    <w:rsid w:val="75453AE1"/>
    <w:rsid w:val="75573AC9"/>
    <w:rsid w:val="75595449"/>
    <w:rsid w:val="758B283A"/>
    <w:rsid w:val="75BD313A"/>
    <w:rsid w:val="75BF6D3D"/>
    <w:rsid w:val="75DC1EF4"/>
    <w:rsid w:val="75E50837"/>
    <w:rsid w:val="75EF5520"/>
    <w:rsid w:val="75F63713"/>
    <w:rsid w:val="76143A54"/>
    <w:rsid w:val="7637074A"/>
    <w:rsid w:val="763B63B0"/>
    <w:rsid w:val="764772A3"/>
    <w:rsid w:val="767B7960"/>
    <w:rsid w:val="769A6195"/>
    <w:rsid w:val="76A44430"/>
    <w:rsid w:val="76A71FBB"/>
    <w:rsid w:val="76AA5D81"/>
    <w:rsid w:val="76AB50DC"/>
    <w:rsid w:val="76BB3C83"/>
    <w:rsid w:val="76C80EC7"/>
    <w:rsid w:val="76F73D47"/>
    <w:rsid w:val="77006E1F"/>
    <w:rsid w:val="77032A24"/>
    <w:rsid w:val="771670C1"/>
    <w:rsid w:val="772C16E9"/>
    <w:rsid w:val="77683E14"/>
    <w:rsid w:val="776911B8"/>
    <w:rsid w:val="77734EA5"/>
    <w:rsid w:val="77A06542"/>
    <w:rsid w:val="77A922C9"/>
    <w:rsid w:val="77AC049C"/>
    <w:rsid w:val="77B23714"/>
    <w:rsid w:val="77BB772D"/>
    <w:rsid w:val="77D43FD2"/>
    <w:rsid w:val="77FA155A"/>
    <w:rsid w:val="781137AD"/>
    <w:rsid w:val="781D13FA"/>
    <w:rsid w:val="782817E9"/>
    <w:rsid w:val="78555C26"/>
    <w:rsid w:val="78640057"/>
    <w:rsid w:val="78810787"/>
    <w:rsid w:val="78826969"/>
    <w:rsid w:val="788E3AAC"/>
    <w:rsid w:val="78B515B5"/>
    <w:rsid w:val="78C21620"/>
    <w:rsid w:val="78CE2D76"/>
    <w:rsid w:val="78EE2375"/>
    <w:rsid w:val="78FA244C"/>
    <w:rsid w:val="78FE1B78"/>
    <w:rsid w:val="79024116"/>
    <w:rsid w:val="790B5E4F"/>
    <w:rsid w:val="790D572F"/>
    <w:rsid w:val="79233654"/>
    <w:rsid w:val="79455569"/>
    <w:rsid w:val="79470AE2"/>
    <w:rsid w:val="795123A8"/>
    <w:rsid w:val="79535AC3"/>
    <w:rsid w:val="79620961"/>
    <w:rsid w:val="79987ED2"/>
    <w:rsid w:val="79AE1AE3"/>
    <w:rsid w:val="79AE77FB"/>
    <w:rsid w:val="79B85AA8"/>
    <w:rsid w:val="79C342A8"/>
    <w:rsid w:val="79C34F9F"/>
    <w:rsid w:val="79C81B6A"/>
    <w:rsid w:val="79E83652"/>
    <w:rsid w:val="79EF6059"/>
    <w:rsid w:val="7A074D7D"/>
    <w:rsid w:val="7A1053E1"/>
    <w:rsid w:val="7A17618B"/>
    <w:rsid w:val="7A1E05C7"/>
    <w:rsid w:val="7A3F1ABF"/>
    <w:rsid w:val="7A413A99"/>
    <w:rsid w:val="7A4642A9"/>
    <w:rsid w:val="7A4B6B30"/>
    <w:rsid w:val="7A5D3D51"/>
    <w:rsid w:val="7A5F0CF7"/>
    <w:rsid w:val="7A675EA5"/>
    <w:rsid w:val="7A6B3865"/>
    <w:rsid w:val="7A7041ED"/>
    <w:rsid w:val="7A832390"/>
    <w:rsid w:val="7A92679C"/>
    <w:rsid w:val="7A955810"/>
    <w:rsid w:val="7A985E92"/>
    <w:rsid w:val="7A9C2E47"/>
    <w:rsid w:val="7A9E009C"/>
    <w:rsid w:val="7AC019FF"/>
    <w:rsid w:val="7ACA6FB9"/>
    <w:rsid w:val="7AF46C5F"/>
    <w:rsid w:val="7AF91BCC"/>
    <w:rsid w:val="7B0C5BAE"/>
    <w:rsid w:val="7B2374FE"/>
    <w:rsid w:val="7B34342A"/>
    <w:rsid w:val="7B3873CB"/>
    <w:rsid w:val="7B496993"/>
    <w:rsid w:val="7B783675"/>
    <w:rsid w:val="7B796807"/>
    <w:rsid w:val="7BAC2D3A"/>
    <w:rsid w:val="7BAE3C97"/>
    <w:rsid w:val="7BB16076"/>
    <w:rsid w:val="7BB46DB9"/>
    <w:rsid w:val="7BC02341"/>
    <w:rsid w:val="7BD74454"/>
    <w:rsid w:val="7BE96DEC"/>
    <w:rsid w:val="7C021A51"/>
    <w:rsid w:val="7C033C13"/>
    <w:rsid w:val="7C041A0F"/>
    <w:rsid w:val="7C110306"/>
    <w:rsid w:val="7C212B8A"/>
    <w:rsid w:val="7C8464A1"/>
    <w:rsid w:val="7C9D2D7B"/>
    <w:rsid w:val="7CA26867"/>
    <w:rsid w:val="7CB43A8E"/>
    <w:rsid w:val="7CC106AB"/>
    <w:rsid w:val="7CDF4250"/>
    <w:rsid w:val="7D09113D"/>
    <w:rsid w:val="7D157A0E"/>
    <w:rsid w:val="7D1658AD"/>
    <w:rsid w:val="7D1D4159"/>
    <w:rsid w:val="7D243099"/>
    <w:rsid w:val="7D4B3993"/>
    <w:rsid w:val="7D5F5E30"/>
    <w:rsid w:val="7D6C208F"/>
    <w:rsid w:val="7D897D56"/>
    <w:rsid w:val="7D9B14E5"/>
    <w:rsid w:val="7DAA42B2"/>
    <w:rsid w:val="7DAA569A"/>
    <w:rsid w:val="7DB1501E"/>
    <w:rsid w:val="7DB676D9"/>
    <w:rsid w:val="7DBE16CF"/>
    <w:rsid w:val="7DC37DE3"/>
    <w:rsid w:val="7DD45912"/>
    <w:rsid w:val="7E0D4E8F"/>
    <w:rsid w:val="7E107D04"/>
    <w:rsid w:val="7E202441"/>
    <w:rsid w:val="7E4B691E"/>
    <w:rsid w:val="7E616C7B"/>
    <w:rsid w:val="7E733A70"/>
    <w:rsid w:val="7E8A0780"/>
    <w:rsid w:val="7EA574A2"/>
    <w:rsid w:val="7EBB0DC0"/>
    <w:rsid w:val="7EC42E15"/>
    <w:rsid w:val="7EC50C54"/>
    <w:rsid w:val="7ED11A3C"/>
    <w:rsid w:val="7ED91C72"/>
    <w:rsid w:val="7EEB5BB3"/>
    <w:rsid w:val="7F1568D7"/>
    <w:rsid w:val="7F2E0D24"/>
    <w:rsid w:val="7F312E91"/>
    <w:rsid w:val="7F33645C"/>
    <w:rsid w:val="7F4E4DC2"/>
    <w:rsid w:val="7F66205C"/>
    <w:rsid w:val="7FA8327A"/>
    <w:rsid w:val="7FB32EED"/>
    <w:rsid w:val="7FB6358D"/>
    <w:rsid w:val="7FE07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4213</Words>
  <Characters>4715</Characters>
  <Lines>0</Lines>
  <Paragraphs>0</Paragraphs>
  <TotalTime>101</TotalTime>
  <ScaleCrop>false</ScaleCrop>
  <LinksUpToDate>false</LinksUpToDate>
  <CharactersWithSpaces>4926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2023-04-23T08:56:00Z</dcterms:created>
  <dc:creator>新一天</dc:creator>
  <cp:lastModifiedBy>许香平</cp:lastModifiedBy>
  <cp:lastPrinted>2023-07-04T04:40:03Z</cp:lastPrinted>
  <dcterms:modified xsi:type="dcterms:W3CDTF">2023-07-04T08:20:24Z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50306CC149C84F98BF850919EA3E5AFB_13</vt:lpwstr>
  </property>
</Properties>
</file>