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114300" distR="114300">
            <wp:extent cx="5270500" cy="7433945"/>
            <wp:effectExtent l="0" t="0" r="6350" b="146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5270500" cy="7433945"/>
                    </a:xfrm>
                    <a:prstGeom prst="rect">
                      <a:avLst/>
                    </a:prstGeom>
                    <a:noFill/>
                    <a:ln w="9525">
                      <a:noFill/>
                    </a:ln>
                  </pic:spPr>
                </pic:pic>
              </a:graphicData>
            </a:graphic>
          </wp:inline>
        </w:drawing>
      </w:r>
      <w:r>
        <w:drawing>
          <wp:inline distT="0" distB="0" distL="114300" distR="114300">
            <wp:extent cx="5142865" cy="6981190"/>
            <wp:effectExtent l="0" t="0" r="635" b="1016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7"/>
                    <a:stretch>
                      <a:fillRect/>
                    </a:stretch>
                  </pic:blipFill>
                  <pic:spPr>
                    <a:xfrm>
                      <a:off x="0" y="0"/>
                      <a:ext cx="5142865" cy="6981190"/>
                    </a:xfrm>
                    <a:prstGeom prst="rect">
                      <a:avLst/>
                    </a:prstGeom>
                    <a:noFill/>
                    <a:ln w="9525">
                      <a:noFill/>
                    </a:ln>
                  </pic:spPr>
                </pic:pic>
              </a:graphicData>
            </a:graphic>
          </wp:inline>
        </w:drawing>
      </w:r>
      <w:r>
        <w:drawing>
          <wp:inline distT="0" distB="0" distL="114300" distR="114300">
            <wp:extent cx="5273040" cy="6472555"/>
            <wp:effectExtent l="0" t="0" r="3810" b="444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5273040" cy="6472555"/>
                    </a:xfrm>
                    <a:prstGeom prst="rect">
                      <a:avLst/>
                    </a:prstGeom>
                    <a:noFill/>
                    <a:ln w="9525">
                      <a:noFill/>
                    </a:ln>
                  </pic:spPr>
                </pic:pic>
              </a:graphicData>
            </a:graphic>
          </wp:inline>
        </w:drawing>
      </w:r>
      <w:r>
        <w:drawing>
          <wp:inline distT="0" distB="0" distL="114300" distR="114300">
            <wp:extent cx="5238115" cy="8266430"/>
            <wp:effectExtent l="0" t="0" r="635" b="127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9"/>
                    <a:stretch>
                      <a:fillRect/>
                    </a:stretch>
                  </pic:blipFill>
                  <pic:spPr>
                    <a:xfrm>
                      <a:off x="0" y="0"/>
                      <a:ext cx="5238115" cy="8266430"/>
                    </a:xfrm>
                    <a:prstGeom prst="rect">
                      <a:avLst/>
                    </a:prstGeom>
                    <a:noFill/>
                    <a:ln w="9525">
                      <a:noFill/>
                    </a:ln>
                  </pic:spPr>
                </pic:pic>
              </a:graphicData>
            </a:graphic>
          </wp:inline>
        </w:drawing>
      </w:r>
    </w:p>
    <w:p>
      <w:pPr>
        <w:jc w:val="center"/>
        <w:rPr>
          <w:rFonts w:hint="eastAsia"/>
          <w:color w:val="auto"/>
          <w:sz w:val="28"/>
        </w:rPr>
      </w:pPr>
    </w:p>
    <w:p>
      <w:pPr>
        <w:jc w:val="center"/>
        <w:rPr>
          <w:color w:val="auto"/>
          <w:sz w:val="28"/>
        </w:rPr>
      </w:pPr>
      <w:bookmarkStart w:id="0" w:name="_GoBack"/>
      <w:bookmarkEnd w:id="0"/>
      <w:r>
        <w:rPr>
          <w:rFonts w:hint="eastAsia"/>
          <w:color w:val="auto"/>
          <w:sz w:val="28"/>
        </w:rPr>
        <w:t>平江县湘艺牡丹花生态园</w:t>
      </w:r>
    </w:p>
    <w:p>
      <w:pPr>
        <w:jc w:val="center"/>
        <w:rPr>
          <w:color w:val="auto"/>
          <w:sz w:val="28"/>
        </w:rPr>
      </w:pPr>
      <w:r>
        <w:rPr>
          <w:color w:val="auto"/>
          <w:sz w:val="28"/>
        </w:rPr>
        <w:t>570</w:t>
      </w:r>
      <w:r>
        <w:rPr>
          <w:rFonts w:hint="eastAsia"/>
          <w:color w:val="auto"/>
          <w:sz w:val="28"/>
        </w:rPr>
        <w:t>亩牡丹花生态园建设项目</w:t>
      </w:r>
    </w:p>
    <w:p>
      <w:pPr>
        <w:jc w:val="center"/>
        <w:rPr>
          <w:color w:val="auto"/>
          <w:sz w:val="28"/>
        </w:rPr>
      </w:pPr>
      <w:r>
        <w:rPr>
          <w:rFonts w:hint="eastAsia"/>
          <w:color w:val="auto"/>
          <w:sz w:val="28"/>
        </w:rPr>
        <w:t>审查意见修改说明</w:t>
      </w:r>
    </w:p>
    <w:p>
      <w:pPr>
        <w:rPr>
          <w:color w:val="auto"/>
        </w:rPr>
      </w:pPr>
      <w:r>
        <w:rPr>
          <w:rFonts w:hint="eastAsia"/>
          <w:color w:val="auto"/>
        </w:rPr>
        <w:t>1、补充570亩牡丹花生态园建设项目原有土地的使用情况，原有农作物耕作情况，原有农灌系统的使用情况，列出项目内容清单，对综合利用农田、山林（是否有基本农田，天然林、生态公益林等重点敏感目标，明确是否和生态红线相冲突，明确和相关规划的相符性，并提供相关主管部门的意见）、荒地的情况进行详细调查说明。</w:t>
      </w:r>
    </w:p>
    <w:p>
      <w:pPr>
        <w:rPr>
          <w:b/>
          <w:color w:val="auto"/>
        </w:rPr>
      </w:pPr>
      <w:r>
        <w:rPr>
          <w:rFonts w:hint="eastAsia"/>
          <w:b/>
          <w:color w:val="auto"/>
        </w:rPr>
        <w:t>修改说明：</w:t>
      </w:r>
      <w:r>
        <w:rPr>
          <w:rFonts w:hint="eastAsia"/>
          <w:color w:val="auto"/>
        </w:rPr>
        <w:t>已补充，详见P5</w:t>
      </w:r>
    </w:p>
    <w:p>
      <w:pPr>
        <w:rPr>
          <w:color w:val="auto"/>
        </w:rPr>
      </w:pPr>
    </w:p>
    <w:p>
      <w:pPr>
        <w:rPr>
          <w:color w:val="auto"/>
        </w:rPr>
      </w:pPr>
      <w:r>
        <w:rPr>
          <w:rFonts w:hint="eastAsia"/>
          <w:color w:val="auto"/>
        </w:rPr>
        <w:t>2、核实原有生态情况，对山林、荒地的开垦提出生态环境保护措施，明确弃土、取土方式，提出在生态园里综合利用土石方的建议，提出开挖后强化生态恢复的措施和建议。冬塔属于砂质较重的土壤，易造成属土流失问题，应针对性提出施工生态保护措施，防止水土流失。</w:t>
      </w:r>
    </w:p>
    <w:p>
      <w:pPr>
        <w:rPr>
          <w:b/>
          <w:color w:val="auto"/>
        </w:rPr>
      </w:pPr>
      <w:r>
        <w:rPr>
          <w:rFonts w:hint="eastAsia"/>
          <w:b/>
          <w:color w:val="auto"/>
        </w:rPr>
        <w:t>修改说明：</w:t>
      </w:r>
      <w:r>
        <w:rPr>
          <w:rFonts w:hint="eastAsia"/>
          <w:color w:val="auto"/>
        </w:rPr>
        <w:t>已修改，详见P21</w:t>
      </w:r>
      <w:r>
        <w:rPr>
          <w:rFonts w:hint="eastAsia" w:ascii="宋体" w:hAnsi="宋体" w:eastAsia="宋体"/>
          <w:color w:val="auto"/>
        </w:rPr>
        <w:t>～</w:t>
      </w:r>
      <w:r>
        <w:rPr>
          <w:rFonts w:hint="eastAsia"/>
          <w:color w:val="auto"/>
        </w:rPr>
        <w:t>22</w:t>
      </w:r>
    </w:p>
    <w:p>
      <w:pPr>
        <w:rPr>
          <w:color w:val="auto"/>
        </w:rPr>
      </w:pPr>
    </w:p>
    <w:p>
      <w:pPr>
        <w:rPr>
          <w:color w:val="auto"/>
        </w:rPr>
      </w:pPr>
      <w:r>
        <w:rPr>
          <w:rFonts w:hint="eastAsia"/>
          <w:color w:val="auto"/>
        </w:rPr>
        <w:t>3、P21项目施工期间会造成一定的水土流失，建议尽快施工，以减少水土流失。说法不妥，尽快施工的前提是采取积极的生态环境保护措施和合理安排施工时段。</w:t>
      </w:r>
    </w:p>
    <w:p>
      <w:pPr>
        <w:rPr>
          <w:color w:val="auto"/>
        </w:rPr>
      </w:pPr>
      <w:r>
        <w:rPr>
          <w:rFonts w:hint="eastAsia"/>
          <w:b/>
          <w:color w:val="auto"/>
        </w:rPr>
        <w:t>修改说明：</w:t>
      </w:r>
      <w:r>
        <w:rPr>
          <w:rFonts w:hint="eastAsia"/>
          <w:color w:val="auto"/>
        </w:rPr>
        <w:t>已修改</w:t>
      </w:r>
    </w:p>
    <w:p>
      <w:pPr>
        <w:rPr>
          <w:color w:val="auto"/>
        </w:rPr>
      </w:pPr>
    </w:p>
    <w:p>
      <w:pPr>
        <w:rPr>
          <w:color w:val="auto"/>
        </w:rPr>
      </w:pPr>
      <w:r>
        <w:rPr>
          <w:rFonts w:hint="eastAsia"/>
          <w:color w:val="auto"/>
        </w:rPr>
        <w:t>4、核实生态园建设项目附近居民水源使用情况，按废水流向，提出重点水源防护措施或解决方法。明确提出减少化肥、农药使用量的措施和方法的要求，积极防治土壤和地下水污染。</w:t>
      </w:r>
    </w:p>
    <w:p>
      <w:pPr>
        <w:rPr>
          <w:color w:val="auto"/>
        </w:rPr>
      </w:pPr>
      <w:r>
        <w:rPr>
          <w:rFonts w:hint="eastAsia"/>
          <w:b/>
          <w:color w:val="auto"/>
        </w:rPr>
        <w:t>修改说明：</w:t>
      </w:r>
      <w:r>
        <w:rPr>
          <w:rFonts w:hint="eastAsia"/>
          <w:color w:val="auto"/>
        </w:rPr>
        <w:t>已修改，见P22、P27</w:t>
      </w:r>
    </w:p>
    <w:p>
      <w:pPr>
        <w:rPr>
          <w:color w:val="auto"/>
        </w:rPr>
      </w:pPr>
    </w:p>
    <w:p>
      <w:pPr>
        <w:rPr>
          <w:color w:val="auto"/>
        </w:rPr>
      </w:pPr>
      <w:r>
        <w:rPr>
          <w:rFonts w:hint="eastAsia"/>
          <w:color w:val="auto"/>
        </w:rPr>
        <w:t>5、农药包装袋（瓶）交农技站处理说法不妥，建议改为由农技站统一收集后交有资质单位处置。</w:t>
      </w:r>
    </w:p>
    <w:p>
      <w:pPr>
        <w:rPr>
          <w:color w:val="auto"/>
        </w:rPr>
      </w:pPr>
      <w:r>
        <w:rPr>
          <w:rFonts w:hint="eastAsia"/>
          <w:b/>
          <w:color w:val="auto"/>
        </w:rPr>
        <w:t>修改说明：</w:t>
      </w:r>
      <w:r>
        <w:rPr>
          <w:rFonts w:hint="eastAsia"/>
          <w:color w:val="auto"/>
        </w:rPr>
        <w:t>文中涉及部分已修改</w:t>
      </w:r>
    </w:p>
    <w:p/>
    <w:p>
      <w:pPr>
        <w:rPr>
          <w:b/>
          <w:color w:val="auto"/>
          <w:sz w:val="28"/>
          <w:szCs w:val="28"/>
        </w:rPr>
      </w:pPr>
      <w:r>
        <w:rPr>
          <w:rFonts w:hint="eastAsia"/>
          <w:b/>
          <w:color w:val="auto"/>
          <w:sz w:val="28"/>
          <w:szCs w:val="28"/>
        </w:rPr>
        <w:t>建设项目基本情况：</w:t>
      </w:r>
    </w:p>
    <w:tbl>
      <w:tblPr>
        <w:tblStyle w:val="10"/>
        <w:tblW w:w="96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582"/>
        <w:gridCol w:w="398"/>
        <w:gridCol w:w="1238"/>
        <w:gridCol w:w="202"/>
        <w:gridCol w:w="1440"/>
        <w:gridCol w:w="62"/>
        <w:gridCol w:w="478"/>
        <w:gridCol w:w="1309"/>
        <w:gridCol w:w="111"/>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2" w:hRule="atLeast"/>
          <w:jc w:val="center"/>
        </w:trPr>
        <w:tc>
          <w:tcPr>
            <w:tcW w:w="1548" w:type="dxa"/>
            <w:tcBorders>
              <w:top w:val="single" w:color="auto" w:sz="12" w:space="0"/>
              <w:left w:val="single" w:color="auto" w:sz="12" w:space="0"/>
            </w:tcBorders>
            <w:vAlign w:val="center"/>
          </w:tcPr>
          <w:p>
            <w:pPr>
              <w:spacing w:line="480" w:lineRule="auto"/>
              <w:jc w:val="center"/>
              <w:rPr>
                <w:rFonts w:asciiTheme="minorEastAsia" w:hAnsiTheme="minorEastAsia"/>
                <w:color w:val="auto"/>
                <w:sz w:val="28"/>
                <w:szCs w:val="28"/>
              </w:rPr>
            </w:pPr>
            <w:r>
              <w:rPr>
                <w:rFonts w:hint="eastAsia" w:asciiTheme="minorEastAsia" w:hAnsiTheme="minorEastAsia"/>
                <w:color w:val="auto"/>
                <w:sz w:val="28"/>
                <w:szCs w:val="28"/>
              </w:rPr>
              <w:t>项目名称</w:t>
            </w:r>
          </w:p>
        </w:tc>
        <w:tc>
          <w:tcPr>
            <w:tcW w:w="8100" w:type="dxa"/>
            <w:gridSpan w:val="10"/>
            <w:tcBorders>
              <w:top w:val="single" w:color="auto" w:sz="12" w:space="0"/>
              <w:right w:val="single" w:color="auto" w:sz="12" w:space="0"/>
            </w:tcBorders>
            <w:vAlign w:val="center"/>
          </w:tcPr>
          <w:p>
            <w:pPr>
              <w:spacing w:line="480" w:lineRule="auto"/>
              <w:jc w:val="center"/>
              <w:rPr>
                <w:rFonts w:asciiTheme="minorEastAsia" w:hAnsiTheme="minorEastAsia"/>
                <w:color w:val="auto"/>
                <w:sz w:val="28"/>
                <w:szCs w:val="28"/>
              </w:rPr>
            </w:pPr>
            <w:r>
              <w:rPr>
                <w:rFonts w:hint="eastAsia" w:asciiTheme="minorEastAsia" w:hAnsiTheme="minorEastAsia"/>
                <w:color w:val="auto"/>
                <w:sz w:val="28"/>
                <w:szCs w:val="28"/>
              </w:rPr>
              <w:t>570亩牡丹花生态园建设项目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7" w:hRule="atLeast"/>
          <w:jc w:val="center"/>
        </w:trPr>
        <w:tc>
          <w:tcPr>
            <w:tcW w:w="1548" w:type="dxa"/>
            <w:tcBorders>
              <w:left w:val="single" w:color="auto" w:sz="12" w:space="0"/>
            </w:tcBorders>
            <w:vAlign w:val="center"/>
          </w:tcPr>
          <w:p>
            <w:pPr>
              <w:spacing w:line="480" w:lineRule="auto"/>
              <w:jc w:val="center"/>
              <w:rPr>
                <w:rFonts w:asciiTheme="minorEastAsia" w:hAnsiTheme="minorEastAsia"/>
                <w:color w:val="auto"/>
                <w:sz w:val="28"/>
                <w:szCs w:val="28"/>
              </w:rPr>
            </w:pPr>
            <w:r>
              <w:rPr>
                <w:rFonts w:hint="eastAsia" w:asciiTheme="minorEastAsia" w:hAnsiTheme="minorEastAsia"/>
                <w:color w:val="auto"/>
                <w:sz w:val="28"/>
                <w:szCs w:val="28"/>
              </w:rPr>
              <w:t>建设单位</w:t>
            </w:r>
          </w:p>
        </w:tc>
        <w:tc>
          <w:tcPr>
            <w:tcW w:w="8100" w:type="dxa"/>
            <w:gridSpan w:val="10"/>
            <w:tcBorders>
              <w:right w:val="single" w:color="auto" w:sz="12" w:space="0"/>
            </w:tcBorders>
            <w:vAlign w:val="center"/>
          </w:tcPr>
          <w:p>
            <w:pPr>
              <w:spacing w:line="480" w:lineRule="auto"/>
              <w:jc w:val="center"/>
              <w:rPr>
                <w:rFonts w:asciiTheme="minorEastAsia" w:hAnsiTheme="minorEastAsia"/>
                <w:color w:val="auto"/>
                <w:sz w:val="28"/>
                <w:szCs w:val="28"/>
              </w:rPr>
            </w:pPr>
            <w:r>
              <w:rPr>
                <w:rFonts w:hint="eastAsia" w:asciiTheme="minorEastAsia" w:hAnsiTheme="minorEastAsia"/>
                <w:color w:val="auto"/>
                <w:sz w:val="28"/>
                <w:szCs w:val="28"/>
              </w:rPr>
              <w:t>平江县湘艺牡丹花生态园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7" w:hRule="atLeast"/>
          <w:jc w:val="center"/>
        </w:trPr>
        <w:tc>
          <w:tcPr>
            <w:tcW w:w="1548" w:type="dxa"/>
            <w:tcBorders>
              <w:left w:val="single" w:color="auto" w:sz="12" w:space="0"/>
            </w:tcBorders>
            <w:vAlign w:val="center"/>
          </w:tcPr>
          <w:p>
            <w:pPr>
              <w:spacing w:line="480" w:lineRule="auto"/>
              <w:jc w:val="center"/>
              <w:rPr>
                <w:rFonts w:asciiTheme="minorEastAsia" w:hAnsiTheme="minorEastAsia"/>
                <w:color w:val="auto"/>
                <w:sz w:val="28"/>
                <w:szCs w:val="28"/>
              </w:rPr>
            </w:pPr>
            <w:r>
              <w:rPr>
                <w:rFonts w:hint="eastAsia" w:asciiTheme="minorEastAsia" w:hAnsiTheme="minorEastAsia"/>
                <w:color w:val="auto"/>
                <w:sz w:val="28"/>
                <w:szCs w:val="28"/>
              </w:rPr>
              <w:t>法人代表</w:t>
            </w:r>
          </w:p>
        </w:tc>
        <w:tc>
          <w:tcPr>
            <w:tcW w:w="3218" w:type="dxa"/>
            <w:gridSpan w:val="3"/>
            <w:vAlign w:val="center"/>
          </w:tcPr>
          <w:p>
            <w:pPr>
              <w:spacing w:line="480" w:lineRule="auto"/>
              <w:jc w:val="center"/>
              <w:rPr>
                <w:rFonts w:asciiTheme="minorEastAsia" w:hAnsiTheme="minorEastAsia"/>
                <w:color w:val="auto"/>
                <w:sz w:val="28"/>
                <w:szCs w:val="28"/>
              </w:rPr>
            </w:pPr>
            <w:r>
              <w:rPr>
                <w:rFonts w:hint="eastAsia" w:ascii="Times New Roman" w:hAnsi="Times New Roman" w:cs="Times New Roman"/>
                <w:color w:val="auto"/>
                <w:sz w:val="28"/>
                <w:szCs w:val="28"/>
              </w:rPr>
              <w:t>李武毅</w:t>
            </w:r>
          </w:p>
        </w:tc>
        <w:tc>
          <w:tcPr>
            <w:tcW w:w="1704" w:type="dxa"/>
            <w:gridSpan w:val="3"/>
            <w:vAlign w:val="center"/>
          </w:tcPr>
          <w:p>
            <w:pPr>
              <w:spacing w:line="480" w:lineRule="auto"/>
              <w:jc w:val="center"/>
              <w:rPr>
                <w:rFonts w:asciiTheme="minorEastAsia" w:hAnsiTheme="minorEastAsia"/>
                <w:color w:val="auto"/>
                <w:sz w:val="28"/>
                <w:szCs w:val="28"/>
              </w:rPr>
            </w:pPr>
            <w:r>
              <w:rPr>
                <w:rFonts w:hint="eastAsia" w:asciiTheme="minorEastAsia" w:hAnsiTheme="minorEastAsia"/>
                <w:color w:val="auto"/>
                <w:sz w:val="28"/>
                <w:szCs w:val="28"/>
              </w:rPr>
              <w:t>联系人</w:t>
            </w:r>
          </w:p>
        </w:tc>
        <w:tc>
          <w:tcPr>
            <w:tcW w:w="3178" w:type="dxa"/>
            <w:gridSpan w:val="4"/>
            <w:tcBorders>
              <w:right w:val="single" w:color="auto" w:sz="12" w:space="0"/>
            </w:tcBorders>
            <w:vAlign w:val="center"/>
          </w:tcPr>
          <w:p>
            <w:pPr>
              <w:spacing w:line="480" w:lineRule="auto"/>
              <w:jc w:val="center"/>
              <w:rPr>
                <w:rFonts w:asciiTheme="minorEastAsia" w:hAnsiTheme="minorEastAsia"/>
                <w:color w:val="auto"/>
                <w:sz w:val="28"/>
                <w:szCs w:val="28"/>
              </w:rPr>
            </w:pPr>
            <w:r>
              <w:rPr>
                <w:rFonts w:hint="eastAsia" w:ascii="Times New Roman" w:hAnsi="Times New Roman" w:cs="Times New Roman"/>
                <w:color w:val="auto"/>
                <w:sz w:val="28"/>
                <w:szCs w:val="28"/>
              </w:rPr>
              <w:t>李悦湘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2" w:hRule="atLeast"/>
          <w:jc w:val="center"/>
        </w:trPr>
        <w:tc>
          <w:tcPr>
            <w:tcW w:w="1548" w:type="dxa"/>
            <w:tcBorders>
              <w:left w:val="single" w:color="auto" w:sz="12" w:space="0"/>
            </w:tcBorders>
            <w:vAlign w:val="center"/>
          </w:tcPr>
          <w:p>
            <w:pPr>
              <w:spacing w:line="480" w:lineRule="auto"/>
              <w:jc w:val="center"/>
              <w:rPr>
                <w:rFonts w:asciiTheme="minorEastAsia" w:hAnsiTheme="minorEastAsia"/>
                <w:color w:val="auto"/>
                <w:sz w:val="28"/>
                <w:szCs w:val="28"/>
              </w:rPr>
            </w:pPr>
            <w:r>
              <w:rPr>
                <w:rFonts w:hint="eastAsia" w:asciiTheme="minorEastAsia" w:hAnsiTheme="minorEastAsia"/>
                <w:color w:val="auto"/>
                <w:sz w:val="28"/>
                <w:szCs w:val="28"/>
              </w:rPr>
              <w:t>通讯地址</w:t>
            </w:r>
          </w:p>
        </w:tc>
        <w:tc>
          <w:tcPr>
            <w:tcW w:w="8100" w:type="dxa"/>
            <w:gridSpan w:val="10"/>
            <w:tcBorders>
              <w:right w:val="single" w:color="auto" w:sz="12" w:space="0"/>
            </w:tcBorders>
            <w:vAlign w:val="center"/>
          </w:tcPr>
          <w:p>
            <w:pPr>
              <w:spacing w:line="480" w:lineRule="auto"/>
              <w:rPr>
                <w:rFonts w:asciiTheme="minorEastAsia" w:hAnsiTheme="minorEastAsia"/>
                <w:color w:val="auto"/>
                <w:sz w:val="28"/>
                <w:szCs w:val="28"/>
              </w:rPr>
            </w:pPr>
            <w:r>
              <w:rPr>
                <w:rFonts w:hint="eastAsia" w:ascii="Times New Roman" w:hAnsi="Times New Roman" w:cs="Times New Roman"/>
                <w:color w:val="auto"/>
                <w:sz w:val="28"/>
                <w:szCs w:val="28"/>
              </w:rPr>
              <w:t>平江县上塔市镇苍霞村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1548" w:type="dxa"/>
            <w:tcBorders>
              <w:left w:val="single" w:color="auto" w:sz="12" w:space="0"/>
            </w:tcBorders>
            <w:vAlign w:val="center"/>
          </w:tcPr>
          <w:p>
            <w:pPr>
              <w:spacing w:line="480" w:lineRule="auto"/>
              <w:jc w:val="center"/>
              <w:rPr>
                <w:rFonts w:asciiTheme="minorEastAsia" w:hAnsiTheme="minorEastAsia"/>
                <w:color w:val="auto"/>
                <w:sz w:val="28"/>
                <w:szCs w:val="28"/>
              </w:rPr>
            </w:pPr>
            <w:r>
              <w:rPr>
                <w:rFonts w:hint="eastAsia" w:asciiTheme="minorEastAsia" w:hAnsiTheme="minorEastAsia"/>
                <w:color w:val="auto"/>
                <w:sz w:val="28"/>
                <w:szCs w:val="28"/>
              </w:rPr>
              <w:t>联系电话</w:t>
            </w:r>
          </w:p>
        </w:tc>
        <w:tc>
          <w:tcPr>
            <w:tcW w:w="1980" w:type="dxa"/>
            <w:gridSpan w:val="2"/>
            <w:vAlign w:val="center"/>
          </w:tcPr>
          <w:p>
            <w:pPr>
              <w:spacing w:line="0" w:lineRule="atLeast"/>
              <w:jc w:val="center"/>
              <w:rPr>
                <w:rFonts w:asciiTheme="minorEastAsia" w:hAnsiTheme="minorEastAsia"/>
                <w:color w:val="auto"/>
                <w:sz w:val="28"/>
                <w:szCs w:val="28"/>
              </w:rPr>
            </w:pPr>
            <w:r>
              <w:rPr>
                <w:rFonts w:hint="eastAsia" w:ascii="Times New Roman" w:hAnsi="Times New Roman" w:cs="Times New Roman"/>
                <w:color w:val="auto"/>
                <w:sz w:val="28"/>
                <w:szCs w:val="28"/>
              </w:rPr>
              <w:t>15700878388</w:t>
            </w:r>
          </w:p>
        </w:tc>
        <w:tc>
          <w:tcPr>
            <w:tcW w:w="1440" w:type="dxa"/>
            <w:gridSpan w:val="2"/>
            <w:vAlign w:val="center"/>
          </w:tcPr>
          <w:p>
            <w:pPr>
              <w:spacing w:line="480" w:lineRule="auto"/>
              <w:jc w:val="center"/>
              <w:rPr>
                <w:rFonts w:asciiTheme="minorEastAsia" w:hAnsiTheme="minorEastAsia"/>
                <w:color w:val="auto"/>
                <w:sz w:val="28"/>
                <w:szCs w:val="28"/>
              </w:rPr>
            </w:pPr>
            <w:r>
              <w:rPr>
                <w:rFonts w:hint="eastAsia" w:asciiTheme="minorEastAsia" w:hAnsiTheme="minorEastAsia"/>
                <w:color w:val="auto"/>
                <w:sz w:val="28"/>
                <w:szCs w:val="28"/>
              </w:rPr>
              <w:t>传真</w:t>
            </w:r>
          </w:p>
        </w:tc>
        <w:tc>
          <w:tcPr>
            <w:tcW w:w="1980" w:type="dxa"/>
            <w:gridSpan w:val="3"/>
            <w:vAlign w:val="center"/>
          </w:tcPr>
          <w:p>
            <w:pPr>
              <w:spacing w:line="480" w:lineRule="auto"/>
              <w:jc w:val="center"/>
              <w:rPr>
                <w:rFonts w:asciiTheme="minorEastAsia" w:hAnsiTheme="minorEastAsia"/>
                <w:color w:val="auto"/>
                <w:sz w:val="28"/>
                <w:szCs w:val="28"/>
              </w:rPr>
            </w:pPr>
          </w:p>
        </w:tc>
        <w:tc>
          <w:tcPr>
            <w:tcW w:w="1420" w:type="dxa"/>
            <w:gridSpan w:val="2"/>
            <w:vAlign w:val="center"/>
          </w:tcPr>
          <w:p>
            <w:pPr>
              <w:spacing w:line="480" w:lineRule="auto"/>
              <w:jc w:val="center"/>
              <w:rPr>
                <w:rFonts w:asciiTheme="minorEastAsia" w:hAnsiTheme="minorEastAsia"/>
                <w:color w:val="auto"/>
                <w:sz w:val="28"/>
                <w:szCs w:val="28"/>
              </w:rPr>
            </w:pPr>
            <w:r>
              <w:rPr>
                <w:rFonts w:hint="eastAsia" w:asciiTheme="minorEastAsia" w:hAnsiTheme="minorEastAsia"/>
                <w:color w:val="auto"/>
                <w:sz w:val="28"/>
                <w:szCs w:val="28"/>
              </w:rPr>
              <w:t>邮政编码</w:t>
            </w:r>
          </w:p>
        </w:tc>
        <w:tc>
          <w:tcPr>
            <w:tcW w:w="1280" w:type="dxa"/>
            <w:tcBorders>
              <w:right w:val="single" w:color="auto" w:sz="12" w:space="0"/>
            </w:tcBorders>
            <w:vAlign w:val="center"/>
          </w:tcPr>
          <w:p>
            <w:pPr>
              <w:spacing w:line="480" w:lineRule="auto"/>
              <w:jc w:val="center"/>
              <w:rPr>
                <w:rFonts w:asciiTheme="minorEastAsia" w:hAnsiTheme="minorEastAsia"/>
                <w:color w:val="auto"/>
                <w:sz w:val="28"/>
                <w:szCs w:val="28"/>
              </w:rPr>
            </w:pPr>
            <w:r>
              <w:rPr>
                <w:rFonts w:hint="eastAsia" w:asciiTheme="minorEastAsia" w:hAnsiTheme="minorEastAsia"/>
                <w:color w:val="auto"/>
                <w:sz w:val="28"/>
                <w:szCs w:val="28"/>
              </w:rPr>
              <w:t>414500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47" w:hRule="atLeast"/>
          <w:jc w:val="center"/>
        </w:trPr>
        <w:tc>
          <w:tcPr>
            <w:tcW w:w="1548" w:type="dxa"/>
            <w:tcBorders>
              <w:left w:val="single" w:color="auto" w:sz="12" w:space="0"/>
            </w:tcBorders>
            <w:vAlign w:val="center"/>
          </w:tcPr>
          <w:p>
            <w:pPr>
              <w:spacing w:line="480" w:lineRule="auto"/>
              <w:jc w:val="center"/>
              <w:rPr>
                <w:rFonts w:asciiTheme="minorEastAsia" w:hAnsiTheme="minorEastAsia"/>
                <w:color w:val="auto"/>
                <w:sz w:val="28"/>
                <w:szCs w:val="28"/>
              </w:rPr>
            </w:pPr>
            <w:r>
              <w:rPr>
                <w:rFonts w:hint="eastAsia" w:asciiTheme="minorEastAsia" w:hAnsiTheme="minorEastAsia"/>
                <w:color w:val="auto"/>
                <w:sz w:val="28"/>
                <w:szCs w:val="28"/>
              </w:rPr>
              <w:t>建设地点</w:t>
            </w:r>
          </w:p>
        </w:tc>
        <w:tc>
          <w:tcPr>
            <w:tcW w:w="8100" w:type="dxa"/>
            <w:gridSpan w:val="10"/>
            <w:tcBorders>
              <w:right w:val="single" w:color="auto" w:sz="12" w:space="0"/>
            </w:tcBorders>
            <w:vAlign w:val="center"/>
          </w:tcPr>
          <w:p>
            <w:pPr>
              <w:rPr>
                <w:rFonts w:asciiTheme="minorEastAsia" w:hAnsiTheme="minorEastAsia"/>
                <w:color w:val="auto"/>
                <w:sz w:val="28"/>
                <w:szCs w:val="28"/>
              </w:rPr>
            </w:pPr>
            <w:r>
              <w:rPr>
                <w:rFonts w:hint="eastAsia" w:ascii="Times New Roman" w:hAnsi="Times New Roman" w:cs="Times New Roman"/>
                <w:color w:val="auto"/>
                <w:sz w:val="28"/>
                <w:szCs w:val="28"/>
              </w:rPr>
              <w:t>平江县上塔市镇苍霞村</w:t>
            </w:r>
            <w:r>
              <w:rPr>
                <w:rFonts w:hint="eastAsia" w:ascii="Times New Roman" w:hAnsi="Times New Roman" w:cs="Times New Roman"/>
                <w:color w:val="auto"/>
                <w:sz w:val="24"/>
                <w:szCs w:val="24"/>
                <w:lang w:eastAsia="zh-CN"/>
              </w:rPr>
              <w:t>（纬度29°3'19.00"北，经度113°46'58.26"东）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3" w:hRule="atLeast"/>
          <w:jc w:val="center"/>
        </w:trPr>
        <w:tc>
          <w:tcPr>
            <w:tcW w:w="1548" w:type="dxa"/>
            <w:tcBorders>
              <w:left w:val="single" w:color="auto" w:sz="12" w:space="0"/>
            </w:tcBorders>
            <w:vAlign w:val="center"/>
          </w:tcPr>
          <w:p>
            <w:pPr>
              <w:spacing w:line="320" w:lineRule="exact"/>
              <w:jc w:val="center"/>
              <w:rPr>
                <w:rFonts w:asciiTheme="minorEastAsia" w:hAnsiTheme="minorEastAsia"/>
                <w:color w:val="auto"/>
                <w:sz w:val="28"/>
                <w:szCs w:val="28"/>
              </w:rPr>
            </w:pPr>
            <w:r>
              <w:rPr>
                <w:rFonts w:hint="eastAsia" w:asciiTheme="minorEastAsia" w:hAnsiTheme="minorEastAsia"/>
                <w:color w:val="auto"/>
                <w:sz w:val="28"/>
                <w:szCs w:val="28"/>
              </w:rPr>
              <w:t>立项审</w:t>
            </w:r>
          </w:p>
          <w:p>
            <w:pPr>
              <w:spacing w:line="320" w:lineRule="exact"/>
              <w:jc w:val="center"/>
              <w:rPr>
                <w:rFonts w:asciiTheme="minorEastAsia" w:hAnsiTheme="minorEastAsia"/>
                <w:color w:val="auto"/>
                <w:sz w:val="28"/>
                <w:szCs w:val="28"/>
              </w:rPr>
            </w:pPr>
            <w:r>
              <w:rPr>
                <w:rFonts w:hint="eastAsia" w:asciiTheme="minorEastAsia" w:hAnsiTheme="minorEastAsia"/>
                <w:color w:val="auto"/>
                <w:sz w:val="28"/>
                <w:szCs w:val="28"/>
              </w:rPr>
              <w:t>批部门</w:t>
            </w:r>
          </w:p>
        </w:tc>
        <w:tc>
          <w:tcPr>
            <w:tcW w:w="3218" w:type="dxa"/>
            <w:gridSpan w:val="3"/>
            <w:vAlign w:val="center"/>
          </w:tcPr>
          <w:p>
            <w:pPr>
              <w:jc w:val="center"/>
              <w:rPr>
                <w:rFonts w:asciiTheme="minorEastAsia" w:hAnsiTheme="minorEastAsia"/>
                <w:color w:val="auto"/>
                <w:sz w:val="28"/>
                <w:szCs w:val="28"/>
              </w:rPr>
            </w:pPr>
          </w:p>
        </w:tc>
        <w:tc>
          <w:tcPr>
            <w:tcW w:w="1642" w:type="dxa"/>
            <w:gridSpan w:val="2"/>
            <w:vAlign w:val="center"/>
          </w:tcPr>
          <w:p>
            <w:pPr>
              <w:jc w:val="center"/>
              <w:rPr>
                <w:rFonts w:asciiTheme="minorEastAsia" w:hAnsiTheme="minorEastAsia"/>
                <w:color w:val="auto"/>
                <w:sz w:val="28"/>
                <w:szCs w:val="28"/>
              </w:rPr>
            </w:pPr>
            <w:r>
              <w:rPr>
                <w:rFonts w:hint="eastAsia" w:asciiTheme="minorEastAsia" w:hAnsiTheme="minorEastAsia"/>
                <w:color w:val="auto"/>
                <w:sz w:val="28"/>
                <w:szCs w:val="28"/>
              </w:rPr>
              <w:t>批准文号</w:t>
            </w:r>
          </w:p>
        </w:tc>
        <w:tc>
          <w:tcPr>
            <w:tcW w:w="3240" w:type="dxa"/>
            <w:gridSpan w:val="5"/>
            <w:tcBorders>
              <w:right w:val="single" w:color="auto" w:sz="12" w:space="0"/>
            </w:tcBorders>
            <w:vAlign w:val="center"/>
          </w:tcPr>
          <w:p>
            <w:pPr>
              <w:jc w:val="center"/>
              <w:rPr>
                <w:rFonts w:asciiTheme="minorEastAsia" w:hAnsiTheme="minorEastAsia"/>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47" w:hRule="atLeast"/>
          <w:jc w:val="center"/>
        </w:trPr>
        <w:tc>
          <w:tcPr>
            <w:tcW w:w="1548" w:type="dxa"/>
            <w:tcBorders>
              <w:left w:val="single" w:color="auto" w:sz="12" w:space="0"/>
            </w:tcBorders>
            <w:vAlign w:val="center"/>
          </w:tcPr>
          <w:p>
            <w:pPr>
              <w:jc w:val="center"/>
              <w:rPr>
                <w:rFonts w:asciiTheme="minorEastAsia" w:hAnsiTheme="minorEastAsia"/>
                <w:color w:val="auto"/>
                <w:sz w:val="28"/>
                <w:szCs w:val="28"/>
              </w:rPr>
            </w:pPr>
            <w:r>
              <w:rPr>
                <w:rFonts w:hint="eastAsia" w:asciiTheme="minorEastAsia" w:hAnsiTheme="minorEastAsia"/>
                <w:color w:val="auto"/>
                <w:sz w:val="28"/>
                <w:szCs w:val="28"/>
              </w:rPr>
              <w:t>建设性质</w:t>
            </w:r>
          </w:p>
        </w:tc>
        <w:tc>
          <w:tcPr>
            <w:tcW w:w="3218" w:type="dxa"/>
            <w:gridSpan w:val="3"/>
            <w:vAlign w:val="center"/>
          </w:tcPr>
          <w:p>
            <w:pPr>
              <w:jc w:val="center"/>
              <w:rPr>
                <w:rFonts w:asciiTheme="minorEastAsia" w:hAnsiTheme="minorEastAsia"/>
                <w:color w:val="auto"/>
                <w:sz w:val="28"/>
                <w:szCs w:val="28"/>
              </w:rPr>
            </w:pPr>
            <w:r>
              <w:rPr>
                <w:rFonts w:hint="eastAsia" w:asciiTheme="minorEastAsia" w:hAnsiTheme="minorEastAsia"/>
                <w:color w:val="auto"/>
                <w:sz w:val="28"/>
                <w:szCs w:val="28"/>
              </w:rPr>
              <w:t>新建■改扩建□技改□</w:t>
            </w:r>
          </w:p>
        </w:tc>
        <w:tc>
          <w:tcPr>
            <w:tcW w:w="1642" w:type="dxa"/>
            <w:gridSpan w:val="2"/>
            <w:vAlign w:val="center"/>
          </w:tcPr>
          <w:p>
            <w:pPr>
              <w:spacing w:line="320" w:lineRule="exact"/>
              <w:jc w:val="center"/>
              <w:rPr>
                <w:rFonts w:asciiTheme="minorEastAsia" w:hAnsiTheme="minorEastAsia"/>
                <w:color w:val="auto"/>
                <w:sz w:val="28"/>
                <w:szCs w:val="28"/>
              </w:rPr>
            </w:pPr>
            <w:r>
              <w:rPr>
                <w:rFonts w:hint="eastAsia" w:asciiTheme="minorEastAsia" w:hAnsiTheme="minorEastAsia"/>
                <w:color w:val="auto"/>
                <w:sz w:val="28"/>
                <w:szCs w:val="28"/>
              </w:rPr>
              <w:t>行业类别</w:t>
            </w:r>
          </w:p>
          <w:p>
            <w:pPr>
              <w:spacing w:line="320" w:lineRule="exact"/>
              <w:jc w:val="center"/>
              <w:rPr>
                <w:rFonts w:asciiTheme="minorEastAsia" w:hAnsiTheme="minorEastAsia"/>
                <w:color w:val="auto"/>
                <w:sz w:val="28"/>
                <w:szCs w:val="28"/>
              </w:rPr>
            </w:pPr>
            <w:r>
              <w:rPr>
                <w:rFonts w:hint="eastAsia" w:asciiTheme="minorEastAsia" w:hAnsiTheme="minorEastAsia"/>
                <w:color w:val="auto"/>
                <w:sz w:val="28"/>
                <w:szCs w:val="28"/>
              </w:rPr>
              <w:t>及代码</w:t>
            </w:r>
          </w:p>
        </w:tc>
        <w:tc>
          <w:tcPr>
            <w:tcW w:w="3240" w:type="dxa"/>
            <w:gridSpan w:val="5"/>
            <w:tcBorders>
              <w:right w:val="single" w:color="auto" w:sz="12" w:space="0"/>
            </w:tcBorders>
            <w:vAlign w:val="center"/>
          </w:tcPr>
          <w:p>
            <w:pPr>
              <w:spacing w:line="0" w:lineRule="atLeast"/>
              <w:rPr>
                <w:rFonts w:asciiTheme="minorEastAsia" w:hAnsiTheme="minorEastAsia"/>
                <w:color w:val="auto"/>
                <w:sz w:val="28"/>
                <w:szCs w:val="28"/>
              </w:rPr>
            </w:pPr>
            <w:r>
              <w:rPr>
                <w:rFonts w:hint="eastAsia" w:asciiTheme="minorEastAsia" w:hAnsiTheme="minorEastAsia"/>
                <w:color w:val="auto"/>
                <w:sz w:val="28"/>
                <w:szCs w:val="28"/>
              </w:rPr>
              <w:t>花卉种植A0143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2" w:hRule="atLeast"/>
          <w:jc w:val="center"/>
        </w:trPr>
        <w:tc>
          <w:tcPr>
            <w:tcW w:w="1548" w:type="dxa"/>
            <w:tcBorders>
              <w:left w:val="single" w:color="auto" w:sz="12" w:space="0"/>
            </w:tcBorders>
            <w:vAlign w:val="center"/>
          </w:tcPr>
          <w:p>
            <w:pPr>
              <w:jc w:val="center"/>
              <w:rPr>
                <w:rFonts w:asciiTheme="minorEastAsia" w:hAnsiTheme="minorEastAsia"/>
                <w:color w:val="auto"/>
                <w:sz w:val="28"/>
                <w:szCs w:val="28"/>
              </w:rPr>
            </w:pPr>
            <w:r>
              <w:rPr>
                <w:rFonts w:hint="eastAsia" w:asciiTheme="minorEastAsia" w:hAnsiTheme="minorEastAsia"/>
                <w:color w:val="auto"/>
                <w:sz w:val="28"/>
                <w:szCs w:val="28"/>
              </w:rPr>
              <w:t>占地面积</w:t>
            </w:r>
          </w:p>
        </w:tc>
        <w:tc>
          <w:tcPr>
            <w:tcW w:w="3218" w:type="dxa"/>
            <w:gridSpan w:val="3"/>
            <w:vAlign w:val="center"/>
          </w:tcPr>
          <w:p>
            <w:pPr>
              <w:jc w:val="center"/>
              <w:rPr>
                <w:rFonts w:asciiTheme="minorEastAsia" w:hAnsiTheme="minorEastAsia"/>
                <w:color w:val="auto"/>
                <w:sz w:val="28"/>
                <w:szCs w:val="28"/>
              </w:rPr>
            </w:pPr>
            <w:r>
              <w:rPr>
                <w:rFonts w:hint="eastAsia" w:asciiTheme="minorEastAsia" w:hAnsiTheme="minorEastAsia"/>
                <w:color w:val="auto"/>
                <w:sz w:val="28"/>
                <w:szCs w:val="28"/>
              </w:rPr>
              <w:t>570亩（380000㎡）</w:t>
            </w:r>
          </w:p>
        </w:tc>
        <w:tc>
          <w:tcPr>
            <w:tcW w:w="1642" w:type="dxa"/>
            <w:gridSpan w:val="2"/>
            <w:vAlign w:val="center"/>
          </w:tcPr>
          <w:p>
            <w:pPr>
              <w:spacing w:line="320" w:lineRule="exact"/>
              <w:jc w:val="center"/>
              <w:rPr>
                <w:rFonts w:asciiTheme="minorEastAsia" w:hAnsiTheme="minorEastAsia"/>
                <w:color w:val="auto"/>
                <w:sz w:val="28"/>
                <w:szCs w:val="28"/>
              </w:rPr>
            </w:pPr>
            <w:r>
              <w:rPr>
                <w:rFonts w:hint="eastAsia" w:asciiTheme="minorEastAsia" w:hAnsiTheme="minorEastAsia"/>
                <w:color w:val="auto"/>
                <w:sz w:val="28"/>
                <w:szCs w:val="28"/>
              </w:rPr>
              <w:t>绿化面积</w:t>
            </w:r>
          </w:p>
          <w:p>
            <w:pPr>
              <w:spacing w:line="320" w:lineRule="exact"/>
              <w:jc w:val="center"/>
              <w:rPr>
                <w:rFonts w:asciiTheme="minorEastAsia" w:hAnsiTheme="minorEastAsia"/>
                <w:color w:val="auto"/>
                <w:sz w:val="28"/>
                <w:szCs w:val="28"/>
              </w:rPr>
            </w:pPr>
            <w:r>
              <w:rPr>
                <w:rFonts w:hint="eastAsia" w:asciiTheme="minorEastAsia" w:hAnsiTheme="minorEastAsia"/>
                <w:color w:val="auto"/>
                <w:sz w:val="28"/>
                <w:szCs w:val="28"/>
              </w:rPr>
              <w:t>(平方米)</w:t>
            </w:r>
          </w:p>
        </w:tc>
        <w:tc>
          <w:tcPr>
            <w:tcW w:w="3240" w:type="dxa"/>
            <w:gridSpan w:val="5"/>
            <w:tcBorders>
              <w:right w:val="single" w:color="auto" w:sz="12" w:space="0"/>
            </w:tcBorders>
            <w:vAlign w:val="center"/>
          </w:tcPr>
          <w:p>
            <w:pPr>
              <w:rPr>
                <w:rFonts w:asciiTheme="minorEastAsia" w:hAnsiTheme="minorEastAsia"/>
                <w:color w:val="auto"/>
                <w:sz w:val="28"/>
                <w:szCs w:val="28"/>
              </w:rPr>
            </w:pPr>
            <w:r>
              <w:rPr>
                <w:rFonts w:hint="eastAsia" w:asciiTheme="minorEastAsia" w:hAnsiTheme="minorEastAsia"/>
                <w:color w:val="auto"/>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atLeast"/>
          <w:jc w:val="center"/>
        </w:trPr>
        <w:tc>
          <w:tcPr>
            <w:tcW w:w="1548" w:type="dxa"/>
            <w:tcBorders>
              <w:left w:val="single" w:color="auto" w:sz="12" w:space="0"/>
            </w:tcBorders>
            <w:vAlign w:val="center"/>
          </w:tcPr>
          <w:p>
            <w:pPr>
              <w:spacing w:line="320" w:lineRule="exact"/>
              <w:jc w:val="center"/>
              <w:rPr>
                <w:rFonts w:asciiTheme="minorEastAsia" w:hAnsiTheme="minorEastAsia"/>
                <w:color w:val="auto"/>
                <w:sz w:val="28"/>
                <w:szCs w:val="28"/>
              </w:rPr>
            </w:pPr>
            <w:r>
              <w:rPr>
                <w:rFonts w:hint="eastAsia" w:asciiTheme="minorEastAsia" w:hAnsiTheme="minorEastAsia"/>
                <w:color w:val="auto"/>
                <w:sz w:val="28"/>
                <w:szCs w:val="28"/>
              </w:rPr>
              <w:t>总投资</w:t>
            </w:r>
          </w:p>
          <w:p>
            <w:pPr>
              <w:spacing w:line="320" w:lineRule="exact"/>
              <w:jc w:val="center"/>
              <w:rPr>
                <w:rFonts w:asciiTheme="minorEastAsia" w:hAnsiTheme="minorEastAsia"/>
                <w:color w:val="auto"/>
                <w:sz w:val="28"/>
                <w:szCs w:val="28"/>
              </w:rPr>
            </w:pPr>
            <w:r>
              <w:rPr>
                <w:rFonts w:hint="eastAsia" w:asciiTheme="minorEastAsia" w:hAnsiTheme="minorEastAsia"/>
                <w:color w:val="auto"/>
                <w:sz w:val="28"/>
                <w:szCs w:val="28"/>
              </w:rPr>
              <w:t>（万元）</w:t>
            </w:r>
          </w:p>
        </w:tc>
        <w:tc>
          <w:tcPr>
            <w:tcW w:w="1582" w:type="dxa"/>
            <w:vAlign w:val="center"/>
          </w:tcPr>
          <w:p>
            <w:pPr>
              <w:jc w:val="center"/>
              <w:rPr>
                <w:rFonts w:asciiTheme="minorEastAsia" w:hAnsiTheme="minorEastAsia"/>
                <w:color w:val="auto"/>
                <w:sz w:val="28"/>
                <w:szCs w:val="28"/>
              </w:rPr>
            </w:pPr>
            <w:r>
              <w:rPr>
                <w:rFonts w:hint="eastAsia" w:asciiTheme="minorEastAsia" w:hAnsiTheme="minorEastAsia"/>
                <w:color w:val="auto"/>
                <w:sz w:val="28"/>
                <w:szCs w:val="28"/>
              </w:rPr>
              <w:t>5000</w:t>
            </w:r>
          </w:p>
        </w:tc>
        <w:tc>
          <w:tcPr>
            <w:tcW w:w="1636" w:type="dxa"/>
            <w:gridSpan w:val="2"/>
            <w:vAlign w:val="center"/>
          </w:tcPr>
          <w:p>
            <w:pPr>
              <w:spacing w:line="320" w:lineRule="exact"/>
              <w:jc w:val="center"/>
              <w:rPr>
                <w:rFonts w:asciiTheme="minorEastAsia" w:hAnsiTheme="minorEastAsia"/>
                <w:color w:val="auto"/>
                <w:sz w:val="28"/>
                <w:szCs w:val="28"/>
              </w:rPr>
            </w:pPr>
            <w:r>
              <w:rPr>
                <w:rFonts w:hint="eastAsia" w:asciiTheme="minorEastAsia" w:hAnsiTheme="minorEastAsia"/>
                <w:color w:val="auto"/>
                <w:sz w:val="28"/>
                <w:szCs w:val="28"/>
              </w:rPr>
              <w:t>其中:环保投资(万元)</w:t>
            </w:r>
          </w:p>
        </w:tc>
        <w:tc>
          <w:tcPr>
            <w:tcW w:w="1642" w:type="dxa"/>
            <w:gridSpan w:val="2"/>
            <w:vAlign w:val="center"/>
          </w:tcPr>
          <w:p>
            <w:pPr>
              <w:jc w:val="center"/>
              <w:rPr>
                <w:rFonts w:asciiTheme="minorEastAsia" w:hAnsiTheme="minorEastAsia"/>
                <w:color w:val="auto"/>
                <w:sz w:val="28"/>
                <w:szCs w:val="28"/>
              </w:rPr>
            </w:pPr>
            <w:r>
              <w:rPr>
                <w:rFonts w:hint="eastAsia" w:asciiTheme="minorEastAsia" w:hAnsiTheme="minorEastAsia"/>
                <w:color w:val="auto"/>
                <w:sz w:val="28"/>
                <w:szCs w:val="28"/>
              </w:rPr>
              <w:t>30</w:t>
            </w:r>
          </w:p>
        </w:tc>
        <w:tc>
          <w:tcPr>
            <w:tcW w:w="1849" w:type="dxa"/>
            <w:gridSpan w:val="3"/>
            <w:vAlign w:val="center"/>
          </w:tcPr>
          <w:p>
            <w:pPr>
              <w:spacing w:line="320" w:lineRule="exact"/>
              <w:jc w:val="center"/>
              <w:rPr>
                <w:rFonts w:asciiTheme="minorEastAsia" w:hAnsiTheme="minorEastAsia"/>
                <w:color w:val="auto"/>
                <w:sz w:val="28"/>
                <w:szCs w:val="28"/>
              </w:rPr>
            </w:pPr>
            <w:r>
              <w:rPr>
                <w:rFonts w:hint="eastAsia" w:asciiTheme="minorEastAsia" w:hAnsiTheme="minorEastAsia"/>
                <w:color w:val="auto"/>
                <w:sz w:val="28"/>
                <w:szCs w:val="28"/>
              </w:rPr>
              <w:t>环保投资占总投资比例</w:t>
            </w:r>
          </w:p>
        </w:tc>
        <w:tc>
          <w:tcPr>
            <w:tcW w:w="1391" w:type="dxa"/>
            <w:gridSpan w:val="2"/>
            <w:tcBorders>
              <w:right w:val="single" w:color="auto" w:sz="12" w:space="0"/>
            </w:tcBorders>
            <w:vAlign w:val="center"/>
          </w:tcPr>
          <w:p>
            <w:pPr>
              <w:ind w:firstLine="280" w:firstLineChars="100"/>
              <w:rPr>
                <w:rFonts w:asciiTheme="minorEastAsia" w:hAnsiTheme="minorEastAsia"/>
                <w:color w:val="auto"/>
                <w:sz w:val="28"/>
                <w:szCs w:val="28"/>
              </w:rPr>
            </w:pPr>
            <w:r>
              <w:rPr>
                <w:rFonts w:hint="eastAsia" w:asciiTheme="minorEastAsia" w:hAnsiTheme="minorEastAsia"/>
                <w:color w:val="auto"/>
                <w:sz w:val="28"/>
                <w:szCs w:val="2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7" w:hRule="atLeast"/>
          <w:jc w:val="center"/>
        </w:trPr>
        <w:tc>
          <w:tcPr>
            <w:tcW w:w="1548" w:type="dxa"/>
            <w:tcBorders>
              <w:left w:val="single" w:color="auto" w:sz="12" w:space="0"/>
            </w:tcBorders>
            <w:vAlign w:val="center"/>
          </w:tcPr>
          <w:p>
            <w:pPr>
              <w:spacing w:line="320" w:lineRule="exact"/>
              <w:jc w:val="center"/>
              <w:rPr>
                <w:rFonts w:asciiTheme="minorEastAsia" w:hAnsiTheme="minorEastAsia"/>
                <w:color w:val="auto"/>
                <w:sz w:val="28"/>
                <w:szCs w:val="28"/>
              </w:rPr>
            </w:pPr>
            <w:r>
              <w:rPr>
                <w:rFonts w:hint="eastAsia" w:asciiTheme="minorEastAsia" w:hAnsiTheme="minorEastAsia"/>
                <w:color w:val="auto"/>
                <w:sz w:val="28"/>
                <w:szCs w:val="28"/>
              </w:rPr>
              <w:t>评价经费</w:t>
            </w:r>
          </w:p>
          <w:p>
            <w:pPr>
              <w:spacing w:line="320" w:lineRule="exact"/>
              <w:jc w:val="center"/>
              <w:rPr>
                <w:rFonts w:asciiTheme="minorEastAsia" w:hAnsiTheme="minorEastAsia"/>
                <w:color w:val="auto"/>
                <w:sz w:val="28"/>
                <w:szCs w:val="28"/>
              </w:rPr>
            </w:pPr>
            <w:r>
              <w:rPr>
                <w:rFonts w:hint="eastAsia" w:asciiTheme="minorEastAsia" w:hAnsiTheme="minorEastAsia"/>
                <w:color w:val="auto"/>
                <w:sz w:val="28"/>
                <w:szCs w:val="28"/>
              </w:rPr>
              <w:t>（万元）</w:t>
            </w:r>
          </w:p>
        </w:tc>
        <w:tc>
          <w:tcPr>
            <w:tcW w:w="1582" w:type="dxa"/>
            <w:vAlign w:val="center"/>
          </w:tcPr>
          <w:p>
            <w:pPr>
              <w:jc w:val="center"/>
              <w:rPr>
                <w:rFonts w:asciiTheme="minorEastAsia" w:hAnsiTheme="minorEastAsia"/>
                <w:b/>
                <w:color w:val="auto"/>
                <w:sz w:val="28"/>
                <w:szCs w:val="28"/>
              </w:rPr>
            </w:pPr>
          </w:p>
        </w:tc>
        <w:tc>
          <w:tcPr>
            <w:tcW w:w="3278" w:type="dxa"/>
            <w:gridSpan w:val="4"/>
            <w:vAlign w:val="center"/>
          </w:tcPr>
          <w:p>
            <w:pPr>
              <w:jc w:val="center"/>
              <w:rPr>
                <w:rFonts w:asciiTheme="minorEastAsia" w:hAnsiTheme="minorEastAsia"/>
                <w:color w:val="auto"/>
                <w:sz w:val="28"/>
                <w:szCs w:val="28"/>
              </w:rPr>
            </w:pPr>
            <w:r>
              <w:rPr>
                <w:rFonts w:hint="eastAsia" w:asciiTheme="minorEastAsia" w:hAnsiTheme="minorEastAsia"/>
                <w:color w:val="auto"/>
                <w:sz w:val="28"/>
                <w:szCs w:val="28"/>
              </w:rPr>
              <w:t>预期投产日期</w:t>
            </w:r>
          </w:p>
        </w:tc>
        <w:tc>
          <w:tcPr>
            <w:tcW w:w="3240" w:type="dxa"/>
            <w:gridSpan w:val="5"/>
            <w:tcBorders>
              <w:right w:val="single" w:color="auto" w:sz="12" w:space="0"/>
            </w:tcBorders>
            <w:vAlign w:val="center"/>
          </w:tcPr>
          <w:p>
            <w:pPr>
              <w:jc w:val="center"/>
              <w:rPr>
                <w:rFonts w:asciiTheme="minorEastAsia" w:hAnsiTheme="minorEastAsia"/>
                <w:color w:val="auto"/>
                <w:sz w:val="28"/>
                <w:szCs w:val="28"/>
              </w:rPr>
            </w:pPr>
            <w:r>
              <w:rPr>
                <w:rFonts w:hint="eastAsia" w:ascii="Times New Roman" w:hAnsi="Times New Roman" w:cs="Times New Roman"/>
                <w:color w:val="auto"/>
                <w:sz w:val="28"/>
                <w:szCs w:val="28"/>
              </w:rPr>
              <w:t>2017.8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06" w:hRule="atLeast"/>
          <w:jc w:val="center"/>
        </w:trPr>
        <w:tc>
          <w:tcPr>
            <w:tcW w:w="9648" w:type="dxa"/>
            <w:gridSpan w:val="11"/>
            <w:tcBorders>
              <w:left w:val="single" w:color="auto" w:sz="12" w:space="0"/>
              <w:bottom w:val="single" w:color="auto" w:sz="12" w:space="0"/>
              <w:right w:val="single" w:color="auto" w:sz="12" w:space="0"/>
            </w:tcBorders>
            <w:vAlign w:val="center"/>
          </w:tcPr>
          <w:p>
            <w:pPr>
              <w:jc w:val="center"/>
              <w:rPr>
                <w:rFonts w:ascii="Times New Roman" w:hAnsi="Times New Roman" w:cs="Times New Roman"/>
                <w:color w:val="auto"/>
                <w:sz w:val="28"/>
                <w:szCs w:val="28"/>
              </w:rPr>
            </w:pPr>
          </w:p>
        </w:tc>
      </w:tr>
    </w:tbl>
    <w:p>
      <w:pPr>
        <w:rPr>
          <w:b/>
          <w:color w:val="auto"/>
          <w:szCs w:val="24"/>
        </w:rPr>
      </w:pPr>
    </w:p>
    <w:tbl>
      <w:tblPr>
        <w:tblStyle w:val="11"/>
        <w:tblW w:w="9498" w:type="dxa"/>
        <w:tblInd w:w="-459"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49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13153" w:hRule="atLeast"/>
        </w:trPr>
        <w:tc>
          <w:tcPr>
            <w:tcW w:w="9498" w:type="dxa"/>
          </w:tcPr>
          <w:p>
            <w:pPr>
              <w:spacing w:line="240" w:lineRule="auto"/>
              <w:rPr>
                <w:b/>
                <w:color w:val="auto"/>
                <w:sz w:val="30"/>
                <w:szCs w:val="30"/>
              </w:rPr>
            </w:pPr>
            <w:r>
              <w:rPr>
                <w:rFonts w:hint="eastAsia"/>
                <w:b/>
                <w:color w:val="auto"/>
                <w:sz w:val="30"/>
                <w:szCs w:val="30"/>
              </w:rPr>
              <w:t>工程内容及规模：</w:t>
            </w:r>
          </w:p>
          <w:p>
            <w:pPr>
              <w:spacing w:line="240" w:lineRule="auto"/>
              <w:rPr>
                <w:rFonts w:ascii="宋体" w:hAnsi="宋体"/>
                <w:b/>
                <w:color w:val="auto"/>
                <w:sz w:val="28"/>
                <w:szCs w:val="28"/>
              </w:rPr>
            </w:pPr>
            <w:r>
              <w:rPr>
                <w:rFonts w:hint="eastAsia" w:ascii="宋体" w:hAnsi="宋体"/>
                <w:b/>
                <w:color w:val="auto"/>
                <w:sz w:val="28"/>
                <w:szCs w:val="28"/>
              </w:rPr>
              <w:t>一、</w:t>
            </w:r>
            <w:r>
              <w:rPr>
                <w:rFonts w:ascii="宋体" w:hAnsi="宋体"/>
                <w:b/>
                <w:color w:val="auto"/>
                <w:sz w:val="28"/>
                <w:szCs w:val="28"/>
              </w:rPr>
              <w:t>建设项目由来</w:t>
            </w:r>
          </w:p>
          <w:p>
            <w:pPr>
              <w:ind w:firstLine="480" w:firstLineChars="200"/>
              <w:rPr>
                <w:rFonts w:ascii="宋体" w:hAnsi="宋体"/>
                <w:color w:val="auto"/>
                <w:szCs w:val="24"/>
              </w:rPr>
            </w:pPr>
            <w:r>
              <w:rPr>
                <w:rFonts w:hint="eastAsia" w:ascii="宋体" w:hAnsi="宋体"/>
                <w:color w:val="auto"/>
                <w:szCs w:val="24"/>
              </w:rPr>
              <w:t>牡丹花被拥戴为花中之王，有关文化和绘画作品很丰富。她是中国固有的特产花卉，有数千年的自然生长和两千多年的人工栽培历史。其花大、形美、色艳、香浓，为历代人们所称颂，具有很高的观赏和药用价值，自秦汉时以药植物载入《神农本草经》始，散于历代各种古籍者，不乏其文。形成了包括植物学、园艺学、药物学、地理学、文学、艺术、民俗学等多学科在内的牡丹文化学，是中华民族文化和民俗学的一组成部分，是中华民族文化完整机体的一个细胞，透过它，可洞察中华民族的一般特征，这就是“文化全息”现象。牡丹文化兼容多门科学，其构成非常广泛，它包括哲学、宗教、文学、艺术、教育、风俗、民情等所有文化领域。牡丹文化中所提供的文化信息，可以反映出民族文化的基本概貌，符合宇宙间的“全息律”。</w:t>
            </w:r>
          </w:p>
          <w:p>
            <w:pPr>
              <w:ind w:firstLine="480" w:firstLineChars="200"/>
              <w:rPr>
                <w:rFonts w:ascii="Times New Roman" w:hAnsi="Times New Roman" w:cs="Times New Roman"/>
                <w:color w:val="auto"/>
                <w:szCs w:val="24"/>
              </w:rPr>
            </w:pPr>
            <w:r>
              <w:rPr>
                <w:rFonts w:hint="eastAsia" w:ascii="Times New Roman" w:hAnsi="Times New Roman" w:cs="Times New Roman"/>
                <w:color w:val="auto"/>
                <w:szCs w:val="24"/>
              </w:rPr>
              <w:t>平江县湘艺牡丹花生态园拟在平江县上塔市镇苍霞村建设570亩牡丹花生态园，项目投资5000万元，总建筑面积500m</w:t>
            </w:r>
            <w:r>
              <w:rPr>
                <w:rFonts w:hint="eastAsia" w:ascii="Times New Roman" w:hAnsi="Times New Roman" w:cs="Times New Roman"/>
                <w:color w:val="auto"/>
                <w:szCs w:val="24"/>
                <w:vertAlign w:val="superscript"/>
              </w:rPr>
              <w:t>2</w:t>
            </w:r>
            <w:r>
              <w:rPr>
                <w:rFonts w:hint="eastAsia" w:ascii="Times New Roman" w:hAnsi="Times New Roman" w:cs="Times New Roman"/>
                <w:color w:val="auto"/>
                <w:szCs w:val="24"/>
              </w:rPr>
              <w:t>。</w:t>
            </w:r>
          </w:p>
          <w:p>
            <w:pPr>
              <w:ind w:firstLine="480" w:firstLineChars="200"/>
              <w:rPr>
                <w:rFonts w:ascii="Times New Roman" w:hAnsi="Times New Roman" w:cs="Times New Roman"/>
                <w:color w:val="auto"/>
                <w:szCs w:val="24"/>
              </w:rPr>
            </w:pPr>
            <w:r>
              <w:rPr>
                <w:rFonts w:hint="eastAsia" w:ascii="Times New Roman" w:hAnsi="Times New Roman" w:cs="Times New Roman"/>
                <w:color w:val="auto"/>
                <w:szCs w:val="24"/>
              </w:rPr>
              <w:t>根据《中华人民共和国环境保护法》、《中华人民共和国环境影响评价法》和《建设项目环境保护管理条例》中有关规定，本项目需办理环境影响评价手续。平江县湘艺牡丹花生态园于2016年9月委托湖南志远环境咨询服务有限公司承担该项目的环境影响评价工作，并编制环境影响报告表。</w:t>
            </w:r>
          </w:p>
          <w:p>
            <w:pPr>
              <w:rPr>
                <w:rFonts w:ascii="宋体" w:hAnsi="宋体"/>
                <w:b/>
                <w:color w:val="auto"/>
                <w:sz w:val="28"/>
                <w:szCs w:val="24"/>
              </w:rPr>
            </w:pPr>
            <w:r>
              <w:rPr>
                <w:rFonts w:ascii="宋体" w:hAnsi="宋体"/>
                <w:b/>
                <w:color w:val="auto"/>
                <w:sz w:val="28"/>
                <w:szCs w:val="24"/>
              </w:rPr>
              <w:t>二、项目基本情况</w:t>
            </w:r>
          </w:p>
          <w:p>
            <w:pPr>
              <w:ind w:firstLine="495"/>
              <w:rPr>
                <w:rFonts w:ascii="宋体" w:hAnsi="宋体"/>
                <w:color w:val="auto"/>
                <w:szCs w:val="24"/>
              </w:rPr>
            </w:pPr>
            <w:r>
              <w:rPr>
                <w:rFonts w:hint="eastAsia" w:ascii="宋体" w:hAnsi="宋体"/>
                <w:color w:val="auto"/>
                <w:szCs w:val="24"/>
              </w:rPr>
              <w:t>1、地理位置及交通</w:t>
            </w:r>
          </w:p>
          <w:p>
            <w:pPr>
              <w:ind w:firstLine="495"/>
              <w:rPr>
                <w:rFonts w:ascii="宋体" w:hAnsi="宋体"/>
                <w:color w:val="auto"/>
                <w:szCs w:val="24"/>
              </w:rPr>
            </w:pPr>
            <w:r>
              <w:rPr>
                <w:rFonts w:hint="eastAsia" w:ascii="宋体" w:hAnsi="宋体"/>
                <w:color w:val="auto"/>
                <w:szCs w:val="24"/>
              </w:rPr>
              <w:t>本项目位于平江县上塔市镇苍霞村</w:t>
            </w:r>
            <w:r>
              <w:rPr>
                <w:rFonts w:hint="eastAsia" w:ascii="Times New Roman" w:hAnsi="Times New Roman" w:cs="Times New Roman"/>
                <w:color w:val="auto"/>
                <w:sz w:val="24"/>
                <w:szCs w:val="24"/>
                <w:lang w:eastAsia="zh-CN"/>
              </w:rPr>
              <w:t>（纬度29°3'19.00"北，经度113°46'58.26"东）</w:t>
            </w:r>
            <w:r>
              <w:rPr>
                <w:rFonts w:hint="eastAsia" w:ascii="宋体" w:hAnsi="宋体"/>
                <w:color w:val="auto"/>
                <w:szCs w:val="24"/>
              </w:rPr>
              <w:t>，项目租用平江县上塔市镇苍霞村村民的土地用来建设牡丹花生态园项目，所租用土地范围内有乡村公路经过，附近有平汝高速、106国道等经过，交通能满足项目需求。</w:t>
            </w:r>
          </w:p>
          <w:p>
            <w:pPr>
              <w:ind w:firstLine="495"/>
              <w:rPr>
                <w:rFonts w:ascii="宋体" w:hAnsi="宋体"/>
                <w:color w:val="auto"/>
                <w:szCs w:val="24"/>
              </w:rPr>
            </w:pPr>
            <w:r>
              <w:rPr>
                <w:rFonts w:hint="eastAsia" w:ascii="宋体" w:hAnsi="宋体"/>
                <w:color w:val="auto"/>
                <w:szCs w:val="24"/>
              </w:rPr>
              <w:t>地理位置见附图一。</w:t>
            </w:r>
          </w:p>
          <w:p>
            <w:pPr>
              <w:ind w:firstLine="495"/>
              <w:rPr>
                <w:rFonts w:ascii="宋体" w:hAnsi="宋体"/>
                <w:color w:val="auto"/>
                <w:szCs w:val="24"/>
              </w:rPr>
            </w:pPr>
            <w:r>
              <w:rPr>
                <w:rFonts w:hint="eastAsia" w:ascii="宋体" w:hAnsi="宋体"/>
                <w:color w:val="auto"/>
                <w:szCs w:val="24"/>
              </w:rPr>
              <w:t>2、工程内容</w:t>
            </w:r>
          </w:p>
          <w:p>
            <w:pPr>
              <w:ind w:firstLine="495"/>
              <w:rPr>
                <w:rFonts w:ascii="宋体" w:hAnsi="宋体"/>
                <w:color w:val="auto"/>
                <w:szCs w:val="24"/>
              </w:rPr>
            </w:pPr>
            <w:r>
              <w:rPr>
                <w:rFonts w:hint="eastAsia" w:ascii="宋体" w:hAnsi="宋体"/>
                <w:color w:val="auto"/>
                <w:szCs w:val="24"/>
              </w:rPr>
              <w:t>本项目为新建项目，项目区总面积380000㎡（为租赁土地，部分租赁合同见附件），主要工程内容有办公室150㎡；食堂50㎡；肥料仓库100㎡；住房150㎡；进园道路加宽、延长、修整、硬化；池塘加固；荒山开垦；570亩牡丹种植培育等。</w:t>
            </w:r>
          </w:p>
        </w:tc>
      </w:tr>
    </w:tbl>
    <w:p>
      <w:pPr>
        <w:rPr>
          <w:b/>
          <w:color w:val="auto"/>
          <w:sz w:val="30"/>
          <w:szCs w:val="30"/>
        </w:rPr>
      </w:pPr>
    </w:p>
    <w:tbl>
      <w:tblPr>
        <w:tblStyle w:val="11"/>
        <w:tblW w:w="9357" w:type="dxa"/>
        <w:tblInd w:w="-31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35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6774" w:hRule="atLeast"/>
        </w:trPr>
        <w:tc>
          <w:tcPr>
            <w:tcW w:w="9357" w:type="dxa"/>
          </w:tcPr>
          <w:p>
            <w:pPr>
              <w:spacing w:line="240" w:lineRule="auto"/>
              <w:jc w:val="center"/>
              <w:rPr>
                <w:b/>
                <w:color w:val="auto"/>
              </w:rPr>
            </w:pPr>
            <w:r>
              <w:rPr>
                <w:rFonts w:hint="eastAsia"/>
                <w:b/>
                <w:color w:val="auto"/>
              </w:rPr>
              <w:t>表1-1 本项目建设内容一览表</w:t>
            </w:r>
          </w:p>
          <w:tbl>
            <w:tblPr>
              <w:tblStyle w:val="11"/>
              <w:tblW w:w="80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2256"/>
              <w:gridCol w:w="20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18" w:type="dxa"/>
                  <w:vAlign w:val="center"/>
                </w:tcPr>
                <w:p>
                  <w:pPr>
                    <w:pStyle w:val="19"/>
                    <w:jc w:val="center"/>
                    <w:rPr>
                      <w:szCs w:val="21"/>
                    </w:rPr>
                  </w:pPr>
                  <w:r>
                    <w:rPr>
                      <w:szCs w:val="21"/>
                    </w:rPr>
                    <w:t>类别</w:t>
                  </w:r>
                </w:p>
              </w:tc>
              <w:tc>
                <w:tcPr>
                  <w:tcW w:w="2256" w:type="dxa"/>
                  <w:vAlign w:val="center"/>
                </w:tcPr>
                <w:p>
                  <w:pPr>
                    <w:pStyle w:val="19"/>
                    <w:jc w:val="center"/>
                    <w:rPr>
                      <w:szCs w:val="21"/>
                    </w:rPr>
                  </w:pPr>
                  <w:r>
                    <w:rPr>
                      <w:szCs w:val="21"/>
                    </w:rPr>
                    <w:t>名称</w:t>
                  </w:r>
                </w:p>
              </w:tc>
              <w:tc>
                <w:tcPr>
                  <w:tcW w:w="2001" w:type="dxa"/>
                  <w:vAlign w:val="center"/>
                </w:tcPr>
                <w:p>
                  <w:pPr>
                    <w:pStyle w:val="19"/>
                    <w:jc w:val="center"/>
                    <w:rPr>
                      <w:szCs w:val="21"/>
                    </w:rPr>
                  </w:pPr>
                  <w:r>
                    <w:rPr>
                      <w:szCs w:val="21"/>
                    </w:rPr>
                    <w:t>占地面积，建筑面积</w:t>
                  </w:r>
                </w:p>
              </w:tc>
              <w:tc>
                <w:tcPr>
                  <w:tcW w:w="2126" w:type="dxa"/>
                  <w:vAlign w:val="center"/>
                </w:tcPr>
                <w:p>
                  <w:pPr>
                    <w:pStyle w:val="19"/>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1618" w:type="dxa"/>
                  <w:vMerge w:val="restart"/>
                  <w:vAlign w:val="center"/>
                </w:tcPr>
                <w:p>
                  <w:pPr>
                    <w:pStyle w:val="19"/>
                    <w:jc w:val="center"/>
                    <w:rPr>
                      <w:szCs w:val="21"/>
                    </w:rPr>
                  </w:pPr>
                  <w:r>
                    <w:rPr>
                      <w:szCs w:val="21"/>
                    </w:rPr>
                    <w:t>主体工程</w:t>
                  </w:r>
                </w:p>
              </w:tc>
              <w:tc>
                <w:tcPr>
                  <w:tcW w:w="2256" w:type="dxa"/>
                  <w:vAlign w:val="center"/>
                </w:tcPr>
                <w:p>
                  <w:pPr>
                    <w:pStyle w:val="19"/>
                    <w:jc w:val="center"/>
                    <w:rPr>
                      <w:szCs w:val="21"/>
                    </w:rPr>
                  </w:pPr>
                  <w:r>
                    <w:rPr>
                      <w:rFonts w:hint="eastAsia"/>
                      <w:szCs w:val="21"/>
                    </w:rPr>
                    <w:t>牡丹种植培育</w:t>
                  </w:r>
                </w:p>
              </w:tc>
              <w:tc>
                <w:tcPr>
                  <w:tcW w:w="2001" w:type="dxa"/>
                  <w:vAlign w:val="center"/>
                </w:tcPr>
                <w:p>
                  <w:pPr>
                    <w:pStyle w:val="19"/>
                    <w:jc w:val="center"/>
                    <w:rPr>
                      <w:szCs w:val="21"/>
                    </w:rPr>
                  </w:pPr>
                  <w:r>
                    <w:rPr>
                      <w:rFonts w:hint="eastAsia" w:ascii="宋体" w:hAnsi="宋体"/>
                      <w:szCs w:val="21"/>
                    </w:rPr>
                    <w:t>570亩</w:t>
                  </w:r>
                </w:p>
              </w:tc>
              <w:tc>
                <w:tcPr>
                  <w:tcW w:w="2126" w:type="dxa"/>
                  <w:vAlign w:val="center"/>
                </w:tcPr>
                <w:p>
                  <w:pPr>
                    <w:pStyle w:val="19"/>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618" w:type="dxa"/>
                  <w:vMerge w:val="continue"/>
                  <w:vAlign w:val="center"/>
                </w:tcPr>
                <w:p>
                  <w:pPr>
                    <w:pStyle w:val="19"/>
                    <w:jc w:val="center"/>
                    <w:rPr>
                      <w:szCs w:val="21"/>
                    </w:rPr>
                  </w:pPr>
                </w:p>
              </w:tc>
              <w:tc>
                <w:tcPr>
                  <w:tcW w:w="2256" w:type="dxa"/>
                  <w:vAlign w:val="center"/>
                </w:tcPr>
                <w:p>
                  <w:pPr>
                    <w:pStyle w:val="19"/>
                    <w:jc w:val="center"/>
                    <w:rPr>
                      <w:szCs w:val="21"/>
                    </w:rPr>
                  </w:pPr>
                  <w:r>
                    <w:rPr>
                      <w:rFonts w:hint="eastAsia"/>
                      <w:szCs w:val="21"/>
                    </w:rPr>
                    <w:t>肥料仓库</w:t>
                  </w:r>
                </w:p>
              </w:tc>
              <w:tc>
                <w:tcPr>
                  <w:tcW w:w="2001" w:type="dxa"/>
                  <w:vAlign w:val="center"/>
                </w:tcPr>
                <w:p>
                  <w:pPr>
                    <w:pStyle w:val="19"/>
                    <w:jc w:val="center"/>
                    <w:rPr>
                      <w:szCs w:val="21"/>
                    </w:rPr>
                  </w:pPr>
                  <w:r>
                    <w:rPr>
                      <w:rFonts w:hint="eastAsia" w:ascii="宋体" w:hAnsi="宋体"/>
                      <w:szCs w:val="21"/>
                    </w:rPr>
                    <w:t>100㎡</w:t>
                  </w:r>
                </w:p>
              </w:tc>
              <w:tc>
                <w:tcPr>
                  <w:tcW w:w="2126" w:type="dxa"/>
                  <w:vAlign w:val="center"/>
                </w:tcPr>
                <w:p>
                  <w:pPr>
                    <w:pStyle w:val="19"/>
                    <w:jc w:val="center"/>
                    <w:rPr>
                      <w:bCs/>
                      <w:szCs w:val="21"/>
                    </w:rPr>
                  </w:pPr>
                  <w:r>
                    <w:rPr>
                      <w:rFonts w:hint="eastAsia"/>
                      <w:bCs/>
                      <w:szCs w:val="21"/>
                    </w:rPr>
                    <w:t>砖瓦结构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1618" w:type="dxa"/>
                  <w:vMerge w:val="continue"/>
                  <w:vAlign w:val="center"/>
                </w:tcPr>
                <w:p>
                  <w:pPr>
                    <w:pStyle w:val="19"/>
                    <w:jc w:val="center"/>
                    <w:rPr>
                      <w:szCs w:val="21"/>
                    </w:rPr>
                  </w:pPr>
                </w:p>
              </w:tc>
              <w:tc>
                <w:tcPr>
                  <w:tcW w:w="2256" w:type="dxa"/>
                  <w:vAlign w:val="center"/>
                </w:tcPr>
                <w:p>
                  <w:pPr>
                    <w:pStyle w:val="19"/>
                    <w:jc w:val="center"/>
                    <w:rPr>
                      <w:szCs w:val="21"/>
                    </w:rPr>
                  </w:pPr>
                  <w:r>
                    <w:rPr>
                      <w:rFonts w:hint="eastAsia"/>
                      <w:szCs w:val="21"/>
                    </w:rPr>
                    <w:t>进园道路加宽、延长、修整、硬化</w:t>
                  </w:r>
                </w:p>
              </w:tc>
              <w:tc>
                <w:tcPr>
                  <w:tcW w:w="2001" w:type="dxa"/>
                  <w:vAlign w:val="center"/>
                </w:tcPr>
                <w:p>
                  <w:pPr>
                    <w:pStyle w:val="19"/>
                    <w:jc w:val="center"/>
                    <w:rPr>
                      <w:rFonts w:ascii="宋体" w:hAnsi="宋体"/>
                      <w:szCs w:val="21"/>
                    </w:rPr>
                  </w:pPr>
                  <w:r>
                    <w:rPr>
                      <w:rFonts w:hint="eastAsia" w:ascii="宋体" w:hAnsi="宋体"/>
                      <w:szCs w:val="21"/>
                    </w:rPr>
                    <w:t>5257㎡</w:t>
                  </w:r>
                </w:p>
              </w:tc>
              <w:tc>
                <w:tcPr>
                  <w:tcW w:w="2126" w:type="dxa"/>
                  <w:vAlign w:val="center"/>
                </w:tcPr>
                <w:p>
                  <w:pPr>
                    <w:pStyle w:val="19"/>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618" w:type="dxa"/>
                  <w:vMerge w:val="continue"/>
                  <w:vAlign w:val="center"/>
                </w:tcPr>
                <w:p>
                  <w:pPr>
                    <w:pStyle w:val="19"/>
                    <w:jc w:val="center"/>
                    <w:rPr>
                      <w:szCs w:val="21"/>
                    </w:rPr>
                  </w:pPr>
                </w:p>
              </w:tc>
              <w:tc>
                <w:tcPr>
                  <w:tcW w:w="2256" w:type="dxa"/>
                  <w:vAlign w:val="center"/>
                </w:tcPr>
                <w:p>
                  <w:pPr>
                    <w:pStyle w:val="19"/>
                    <w:jc w:val="center"/>
                    <w:rPr>
                      <w:szCs w:val="21"/>
                    </w:rPr>
                  </w:pPr>
                  <w:r>
                    <w:rPr>
                      <w:rFonts w:hint="eastAsia"/>
                      <w:szCs w:val="21"/>
                    </w:rPr>
                    <w:t>池塘加固，荒山开垦</w:t>
                  </w:r>
                </w:p>
              </w:tc>
              <w:tc>
                <w:tcPr>
                  <w:tcW w:w="2001" w:type="dxa"/>
                  <w:vAlign w:val="center"/>
                </w:tcPr>
                <w:p>
                  <w:pPr>
                    <w:pStyle w:val="19"/>
                    <w:jc w:val="center"/>
                    <w:rPr>
                      <w:rFonts w:ascii="宋体" w:hAnsi="宋体"/>
                      <w:szCs w:val="21"/>
                    </w:rPr>
                  </w:pPr>
                </w:p>
              </w:tc>
              <w:tc>
                <w:tcPr>
                  <w:tcW w:w="2126" w:type="dxa"/>
                  <w:vAlign w:val="center"/>
                </w:tcPr>
                <w:p>
                  <w:pPr>
                    <w:pStyle w:val="19"/>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618" w:type="dxa"/>
                  <w:vMerge w:val="restart"/>
                  <w:vAlign w:val="center"/>
                </w:tcPr>
                <w:p>
                  <w:pPr>
                    <w:pStyle w:val="19"/>
                    <w:jc w:val="center"/>
                    <w:rPr>
                      <w:szCs w:val="21"/>
                    </w:rPr>
                  </w:pPr>
                  <w:r>
                    <w:rPr>
                      <w:rFonts w:hint="eastAsia"/>
                      <w:szCs w:val="21"/>
                    </w:rPr>
                    <w:t>公共工程</w:t>
                  </w:r>
                </w:p>
              </w:tc>
              <w:tc>
                <w:tcPr>
                  <w:tcW w:w="2256" w:type="dxa"/>
                  <w:vAlign w:val="center"/>
                </w:tcPr>
                <w:p>
                  <w:pPr>
                    <w:pStyle w:val="19"/>
                    <w:jc w:val="center"/>
                    <w:rPr>
                      <w:szCs w:val="21"/>
                    </w:rPr>
                  </w:pPr>
                  <w:r>
                    <w:rPr>
                      <w:rFonts w:hint="eastAsia"/>
                      <w:szCs w:val="21"/>
                    </w:rPr>
                    <w:t>办公室</w:t>
                  </w:r>
                </w:p>
              </w:tc>
              <w:tc>
                <w:tcPr>
                  <w:tcW w:w="2001" w:type="dxa"/>
                  <w:vAlign w:val="center"/>
                </w:tcPr>
                <w:p>
                  <w:pPr>
                    <w:pStyle w:val="19"/>
                    <w:jc w:val="center"/>
                    <w:rPr>
                      <w:szCs w:val="21"/>
                    </w:rPr>
                  </w:pPr>
                  <w:r>
                    <w:rPr>
                      <w:rFonts w:hint="eastAsia"/>
                      <w:szCs w:val="21"/>
                    </w:rPr>
                    <w:t>150</w:t>
                  </w:r>
                  <w:r>
                    <w:rPr>
                      <w:rFonts w:hint="eastAsia" w:ascii="宋体" w:hAnsi="宋体"/>
                      <w:szCs w:val="21"/>
                    </w:rPr>
                    <w:t>㎡</w:t>
                  </w:r>
                </w:p>
              </w:tc>
              <w:tc>
                <w:tcPr>
                  <w:tcW w:w="2126" w:type="dxa"/>
                  <w:vAlign w:val="center"/>
                </w:tcPr>
                <w:p>
                  <w:pPr>
                    <w:pStyle w:val="19"/>
                    <w:jc w:val="center"/>
                    <w:rPr>
                      <w:szCs w:val="21"/>
                    </w:rPr>
                  </w:pPr>
                  <w:r>
                    <w:rPr>
                      <w:rFonts w:hint="eastAsia"/>
                      <w:bCs/>
                      <w:szCs w:val="21"/>
                    </w:rPr>
                    <w:t>砖瓦结构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1618" w:type="dxa"/>
                  <w:vMerge w:val="continue"/>
                  <w:vAlign w:val="center"/>
                </w:tcPr>
                <w:p>
                  <w:pPr>
                    <w:pStyle w:val="19"/>
                    <w:jc w:val="center"/>
                    <w:rPr>
                      <w:szCs w:val="21"/>
                    </w:rPr>
                  </w:pPr>
                </w:p>
              </w:tc>
              <w:tc>
                <w:tcPr>
                  <w:tcW w:w="2256" w:type="dxa"/>
                  <w:vAlign w:val="center"/>
                </w:tcPr>
                <w:p>
                  <w:pPr>
                    <w:pStyle w:val="18"/>
                    <w:jc w:val="center"/>
                    <w:rPr>
                      <w:szCs w:val="21"/>
                    </w:rPr>
                  </w:pPr>
                  <w:r>
                    <w:rPr>
                      <w:rFonts w:hint="eastAsia"/>
                      <w:szCs w:val="21"/>
                    </w:rPr>
                    <w:t>住房</w:t>
                  </w:r>
                </w:p>
              </w:tc>
              <w:tc>
                <w:tcPr>
                  <w:tcW w:w="2001" w:type="dxa"/>
                  <w:vAlign w:val="center"/>
                </w:tcPr>
                <w:p>
                  <w:pPr>
                    <w:pStyle w:val="19"/>
                    <w:jc w:val="center"/>
                    <w:rPr>
                      <w:szCs w:val="21"/>
                    </w:rPr>
                  </w:pPr>
                  <w:r>
                    <w:rPr>
                      <w:rFonts w:hint="eastAsia"/>
                      <w:szCs w:val="21"/>
                    </w:rPr>
                    <w:t>150</w:t>
                  </w:r>
                  <w:r>
                    <w:rPr>
                      <w:rFonts w:hint="eastAsia" w:ascii="宋体" w:hAnsi="宋体"/>
                      <w:szCs w:val="21"/>
                    </w:rPr>
                    <w:t>㎡</w:t>
                  </w:r>
                </w:p>
              </w:tc>
              <w:tc>
                <w:tcPr>
                  <w:tcW w:w="2126" w:type="dxa"/>
                  <w:vAlign w:val="center"/>
                </w:tcPr>
                <w:p>
                  <w:pPr>
                    <w:pStyle w:val="18"/>
                    <w:jc w:val="center"/>
                    <w:rPr>
                      <w:szCs w:val="21"/>
                    </w:rPr>
                  </w:pPr>
                  <w:r>
                    <w:rPr>
                      <w:rFonts w:hint="eastAsia"/>
                      <w:bCs/>
                      <w:szCs w:val="21"/>
                    </w:rPr>
                    <w:t>砖瓦结构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1618" w:type="dxa"/>
                  <w:vMerge w:val="continue"/>
                  <w:vAlign w:val="center"/>
                </w:tcPr>
                <w:p>
                  <w:pPr>
                    <w:pStyle w:val="19"/>
                    <w:jc w:val="center"/>
                    <w:rPr>
                      <w:szCs w:val="21"/>
                    </w:rPr>
                  </w:pPr>
                </w:p>
              </w:tc>
              <w:tc>
                <w:tcPr>
                  <w:tcW w:w="2256" w:type="dxa"/>
                  <w:vAlign w:val="center"/>
                </w:tcPr>
                <w:p>
                  <w:pPr>
                    <w:pStyle w:val="18"/>
                    <w:jc w:val="center"/>
                    <w:rPr>
                      <w:szCs w:val="21"/>
                    </w:rPr>
                  </w:pPr>
                  <w:r>
                    <w:rPr>
                      <w:rFonts w:hint="eastAsia"/>
                      <w:szCs w:val="21"/>
                    </w:rPr>
                    <w:t>食堂</w:t>
                  </w:r>
                </w:p>
              </w:tc>
              <w:tc>
                <w:tcPr>
                  <w:tcW w:w="2001" w:type="dxa"/>
                  <w:vAlign w:val="center"/>
                </w:tcPr>
                <w:p>
                  <w:pPr>
                    <w:pStyle w:val="19"/>
                    <w:jc w:val="center"/>
                    <w:rPr>
                      <w:szCs w:val="21"/>
                    </w:rPr>
                  </w:pPr>
                  <w:r>
                    <w:rPr>
                      <w:rFonts w:hint="eastAsia"/>
                      <w:szCs w:val="21"/>
                    </w:rPr>
                    <w:t>50</w:t>
                  </w:r>
                  <w:r>
                    <w:rPr>
                      <w:rFonts w:hint="eastAsia" w:ascii="宋体" w:hAnsi="宋体"/>
                      <w:szCs w:val="21"/>
                    </w:rPr>
                    <w:t>㎡</w:t>
                  </w:r>
                </w:p>
              </w:tc>
              <w:tc>
                <w:tcPr>
                  <w:tcW w:w="2126" w:type="dxa"/>
                  <w:vAlign w:val="center"/>
                </w:tcPr>
                <w:p>
                  <w:pPr>
                    <w:pStyle w:val="18"/>
                    <w:jc w:val="center"/>
                    <w:rPr>
                      <w:szCs w:val="21"/>
                    </w:rPr>
                  </w:pPr>
                  <w:r>
                    <w:rPr>
                      <w:rFonts w:hint="eastAsia"/>
                      <w:bCs/>
                      <w:szCs w:val="21"/>
                    </w:rPr>
                    <w:t>砖瓦结构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618" w:type="dxa"/>
                  <w:vMerge w:val="restart"/>
                  <w:vAlign w:val="center"/>
                </w:tcPr>
                <w:p>
                  <w:pPr>
                    <w:pStyle w:val="19"/>
                    <w:jc w:val="center"/>
                    <w:rPr>
                      <w:szCs w:val="21"/>
                    </w:rPr>
                  </w:pPr>
                  <w:r>
                    <w:rPr>
                      <w:szCs w:val="21"/>
                    </w:rPr>
                    <w:t>环保工程</w:t>
                  </w:r>
                </w:p>
              </w:tc>
              <w:tc>
                <w:tcPr>
                  <w:tcW w:w="2256" w:type="dxa"/>
                  <w:vAlign w:val="center"/>
                </w:tcPr>
                <w:p>
                  <w:pPr>
                    <w:pStyle w:val="19"/>
                    <w:jc w:val="center"/>
                    <w:rPr>
                      <w:szCs w:val="21"/>
                    </w:rPr>
                  </w:pPr>
                  <w:r>
                    <w:rPr>
                      <w:szCs w:val="21"/>
                    </w:rPr>
                    <w:t>化粪池</w:t>
                  </w:r>
                </w:p>
              </w:tc>
              <w:tc>
                <w:tcPr>
                  <w:tcW w:w="2001" w:type="dxa"/>
                  <w:vAlign w:val="center"/>
                </w:tcPr>
                <w:p>
                  <w:pPr>
                    <w:pStyle w:val="19"/>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2*3*1.5，一只</w:t>
                  </w:r>
                </w:p>
              </w:tc>
              <w:tc>
                <w:tcPr>
                  <w:tcW w:w="2126" w:type="dxa"/>
                  <w:vAlign w:val="center"/>
                </w:tcPr>
                <w:p>
                  <w:pPr>
                    <w:pStyle w:val="19"/>
                    <w:jc w:val="center"/>
                    <w:rPr>
                      <w:bCs/>
                      <w:szCs w:val="21"/>
                    </w:rPr>
                  </w:pPr>
                  <w:r>
                    <w:rPr>
                      <w:rFonts w:hint="eastAsia"/>
                      <w:bCs/>
                      <w:szCs w:val="21"/>
                    </w:rPr>
                    <w:t>砖瓦结构、防渗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618" w:type="dxa"/>
                  <w:vMerge w:val="continue"/>
                  <w:vAlign w:val="center"/>
                </w:tcPr>
                <w:p>
                  <w:pPr>
                    <w:pStyle w:val="19"/>
                    <w:jc w:val="center"/>
                    <w:rPr>
                      <w:szCs w:val="21"/>
                    </w:rPr>
                  </w:pPr>
                </w:p>
              </w:tc>
              <w:tc>
                <w:tcPr>
                  <w:tcW w:w="2256" w:type="dxa"/>
                  <w:vAlign w:val="center"/>
                </w:tcPr>
                <w:p>
                  <w:pPr>
                    <w:pStyle w:val="19"/>
                    <w:jc w:val="center"/>
                    <w:rPr>
                      <w:szCs w:val="21"/>
                    </w:rPr>
                  </w:pPr>
                  <w:r>
                    <w:rPr>
                      <w:szCs w:val="21"/>
                    </w:rPr>
                    <w:t>隔油沉淀池</w:t>
                  </w:r>
                </w:p>
              </w:tc>
              <w:tc>
                <w:tcPr>
                  <w:tcW w:w="2001" w:type="dxa"/>
                  <w:vAlign w:val="center"/>
                </w:tcPr>
                <w:p>
                  <w:pPr>
                    <w:pStyle w:val="19"/>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2*1*1.5，一只</w:t>
                  </w:r>
                </w:p>
              </w:tc>
              <w:tc>
                <w:tcPr>
                  <w:tcW w:w="2126" w:type="dxa"/>
                  <w:vAlign w:val="center"/>
                </w:tcPr>
                <w:p>
                  <w:pPr>
                    <w:pStyle w:val="19"/>
                    <w:jc w:val="center"/>
                    <w:rPr>
                      <w:bCs/>
                      <w:szCs w:val="21"/>
                    </w:rPr>
                  </w:pPr>
                  <w:r>
                    <w:rPr>
                      <w:rFonts w:hint="eastAsia"/>
                      <w:bCs/>
                      <w:szCs w:val="21"/>
                    </w:rPr>
                    <w:t>砖瓦结构、防渗</w:t>
                  </w:r>
                </w:p>
              </w:tc>
            </w:tr>
          </w:tbl>
          <w:p>
            <w:pPr>
              <w:ind w:firstLine="493"/>
              <w:rPr>
                <w:rFonts w:ascii="宋体" w:hAnsi="宋体"/>
                <w:color w:val="auto"/>
                <w:szCs w:val="28"/>
              </w:rPr>
            </w:pPr>
            <w:r>
              <w:rPr>
                <w:rFonts w:hint="eastAsia" w:ascii="宋体" w:hAnsi="宋体"/>
                <w:color w:val="auto"/>
                <w:szCs w:val="28"/>
              </w:rPr>
              <w:t>3、原辅材料、用水及能源消耗</w:t>
            </w:r>
          </w:p>
          <w:p>
            <w:pPr>
              <w:ind w:firstLine="493"/>
              <w:rPr>
                <w:rFonts w:ascii="宋体" w:hAnsi="宋体"/>
                <w:color w:val="auto"/>
                <w:szCs w:val="24"/>
              </w:rPr>
            </w:pPr>
            <w:r>
              <w:rPr>
                <w:rFonts w:hint="eastAsia" w:ascii="宋体" w:hAnsi="宋体"/>
                <w:color w:val="auto"/>
                <w:szCs w:val="24"/>
              </w:rPr>
              <w:t>见表1-2</w:t>
            </w:r>
          </w:p>
          <w:p>
            <w:pPr>
              <w:spacing w:line="240" w:lineRule="auto"/>
              <w:ind w:firstLine="495"/>
              <w:jc w:val="center"/>
              <w:rPr>
                <w:rFonts w:ascii="宋体" w:hAnsi="宋体"/>
                <w:b/>
                <w:color w:val="auto"/>
                <w:szCs w:val="24"/>
              </w:rPr>
            </w:pPr>
            <w:r>
              <w:rPr>
                <w:rFonts w:hint="eastAsia" w:ascii="宋体" w:hAnsi="宋体"/>
                <w:b/>
                <w:color w:val="auto"/>
                <w:szCs w:val="24"/>
              </w:rPr>
              <w:t>表1-2 原辅材料消耗情况一览表</w:t>
            </w:r>
          </w:p>
          <w:tbl>
            <w:tblPr>
              <w:tblStyle w:val="11"/>
              <w:tblW w:w="827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855"/>
              <w:gridCol w:w="1668"/>
              <w:gridCol w:w="1701"/>
              <w:gridCol w:w="17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325" w:type="dxa"/>
                  <w:vAlign w:val="center"/>
                </w:tcPr>
                <w:p>
                  <w:pPr>
                    <w:pStyle w:val="19"/>
                    <w:jc w:val="center"/>
                    <w:rPr>
                      <w:szCs w:val="21"/>
                    </w:rPr>
                  </w:pPr>
                  <w:r>
                    <w:rPr>
                      <w:szCs w:val="21"/>
                    </w:rPr>
                    <w:t>类别</w:t>
                  </w:r>
                </w:p>
              </w:tc>
              <w:tc>
                <w:tcPr>
                  <w:tcW w:w="1855" w:type="dxa"/>
                  <w:vAlign w:val="center"/>
                </w:tcPr>
                <w:p>
                  <w:pPr>
                    <w:pStyle w:val="19"/>
                    <w:jc w:val="center"/>
                    <w:rPr>
                      <w:szCs w:val="21"/>
                    </w:rPr>
                  </w:pPr>
                  <w:r>
                    <w:rPr>
                      <w:szCs w:val="21"/>
                    </w:rPr>
                    <w:t>材料名称</w:t>
                  </w:r>
                </w:p>
              </w:tc>
              <w:tc>
                <w:tcPr>
                  <w:tcW w:w="1668" w:type="dxa"/>
                  <w:vAlign w:val="center"/>
                </w:tcPr>
                <w:p>
                  <w:pPr>
                    <w:pStyle w:val="19"/>
                    <w:jc w:val="center"/>
                    <w:rPr>
                      <w:szCs w:val="21"/>
                    </w:rPr>
                  </w:pPr>
                  <w:r>
                    <w:rPr>
                      <w:szCs w:val="21"/>
                    </w:rPr>
                    <w:t>年用量（</w:t>
                  </w:r>
                  <w:r>
                    <w:rPr>
                      <w:rFonts w:hint="eastAsia"/>
                      <w:szCs w:val="21"/>
                    </w:rPr>
                    <w:t xml:space="preserve"> /年</w:t>
                  </w:r>
                  <w:r>
                    <w:rPr>
                      <w:szCs w:val="21"/>
                    </w:rPr>
                    <w:t>）</w:t>
                  </w:r>
                </w:p>
              </w:tc>
              <w:tc>
                <w:tcPr>
                  <w:tcW w:w="1701" w:type="dxa"/>
                  <w:vAlign w:val="center"/>
                </w:tcPr>
                <w:p>
                  <w:pPr>
                    <w:pStyle w:val="19"/>
                    <w:jc w:val="center"/>
                    <w:rPr>
                      <w:szCs w:val="21"/>
                    </w:rPr>
                  </w:pPr>
                  <w:r>
                    <w:rPr>
                      <w:szCs w:val="21"/>
                    </w:rPr>
                    <w:t>来源</w:t>
                  </w:r>
                </w:p>
              </w:tc>
              <w:tc>
                <w:tcPr>
                  <w:tcW w:w="1723" w:type="dxa"/>
                  <w:vAlign w:val="center"/>
                </w:tcPr>
                <w:p>
                  <w:pPr>
                    <w:pStyle w:val="19"/>
                    <w:jc w:val="center"/>
                    <w:rPr>
                      <w:szCs w:val="21"/>
                    </w:rPr>
                  </w:pPr>
                  <w:r>
                    <w:rPr>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325" w:type="dxa"/>
                  <w:vMerge w:val="restart"/>
                  <w:vAlign w:val="center"/>
                </w:tcPr>
                <w:p>
                  <w:pPr>
                    <w:pStyle w:val="19"/>
                    <w:jc w:val="center"/>
                    <w:rPr>
                      <w:szCs w:val="21"/>
                    </w:rPr>
                  </w:pPr>
                  <w:r>
                    <w:rPr>
                      <w:rFonts w:hint="eastAsia"/>
                      <w:szCs w:val="21"/>
                    </w:rPr>
                    <w:t>生产用</w:t>
                  </w:r>
                </w:p>
              </w:tc>
              <w:tc>
                <w:tcPr>
                  <w:tcW w:w="1855" w:type="dxa"/>
                  <w:vAlign w:val="center"/>
                </w:tcPr>
                <w:p>
                  <w:pPr>
                    <w:spacing w:line="240" w:lineRule="auto"/>
                    <w:jc w:val="center"/>
                    <w:rPr>
                      <w:rFonts w:ascii="Times New Roman" w:hAnsi="Times New Roman" w:eastAsia="宋体" w:cs="Times New Roman"/>
                      <w:color w:val="auto"/>
                      <w:sz w:val="21"/>
                    </w:rPr>
                  </w:pPr>
                  <w:r>
                    <w:rPr>
                      <w:rFonts w:hint="eastAsia" w:ascii="Times New Roman" w:hAnsi="Times New Roman" w:cs="Times New Roman"/>
                      <w:color w:val="auto"/>
                      <w:sz w:val="21"/>
                    </w:rPr>
                    <w:t>牡丹苗</w:t>
                  </w:r>
                </w:p>
              </w:tc>
              <w:tc>
                <w:tcPr>
                  <w:tcW w:w="1668" w:type="dxa"/>
                  <w:vAlign w:val="center"/>
                </w:tcPr>
                <w:p>
                  <w:pPr>
                    <w:spacing w:line="240" w:lineRule="auto"/>
                    <w:jc w:val="center"/>
                    <w:rPr>
                      <w:rFonts w:ascii="Times New Roman" w:hAnsi="Times New Roman" w:eastAsia="宋体" w:cs="Times New Roman"/>
                      <w:color w:val="auto"/>
                      <w:sz w:val="21"/>
                    </w:rPr>
                  </w:pPr>
                  <w:r>
                    <w:rPr>
                      <w:rFonts w:hint="eastAsia" w:ascii="Times New Roman" w:hAnsi="Times New Roman" w:cs="Times New Roman"/>
                      <w:color w:val="auto"/>
                      <w:sz w:val="21"/>
                    </w:rPr>
                    <w:t>40</w:t>
                  </w:r>
                  <w:r>
                    <w:rPr>
                      <w:rFonts w:hint="eastAsia" w:eastAsia="宋体" w:cs="Times New Roman"/>
                      <w:color w:val="auto"/>
                      <w:sz w:val="21"/>
                    </w:rPr>
                    <w:t>万棵</w:t>
                  </w:r>
                </w:p>
              </w:tc>
              <w:tc>
                <w:tcPr>
                  <w:tcW w:w="1701" w:type="dxa"/>
                  <w:vAlign w:val="center"/>
                </w:tcPr>
                <w:p>
                  <w:pPr>
                    <w:spacing w:line="240" w:lineRule="auto"/>
                    <w:jc w:val="center"/>
                    <w:rPr>
                      <w:rFonts w:ascii="Times New Roman" w:hAnsi="Times New Roman" w:cs="Times New Roman"/>
                      <w:color w:val="auto"/>
                      <w:sz w:val="21"/>
                    </w:rPr>
                  </w:pPr>
                </w:p>
              </w:tc>
              <w:tc>
                <w:tcPr>
                  <w:tcW w:w="1723" w:type="dxa"/>
                  <w:vAlign w:val="center"/>
                </w:tcPr>
                <w:p>
                  <w:pPr>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部分为大棚栽种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325" w:type="dxa"/>
                  <w:vMerge w:val="continue"/>
                  <w:vAlign w:val="center"/>
                </w:tcPr>
                <w:p>
                  <w:pPr>
                    <w:pStyle w:val="19"/>
                    <w:jc w:val="center"/>
                    <w:rPr>
                      <w:szCs w:val="21"/>
                    </w:rPr>
                  </w:pPr>
                </w:p>
              </w:tc>
              <w:tc>
                <w:tcPr>
                  <w:tcW w:w="1855" w:type="dxa"/>
                  <w:vAlign w:val="center"/>
                </w:tcPr>
                <w:p>
                  <w:pPr>
                    <w:spacing w:line="240" w:lineRule="auto"/>
                    <w:jc w:val="center"/>
                    <w:rPr>
                      <w:rFonts w:ascii="Times New Roman" w:hAnsi="Times New Roman" w:eastAsia="宋体" w:cs="Times New Roman"/>
                      <w:color w:val="FF0000"/>
                      <w:sz w:val="21"/>
                    </w:rPr>
                  </w:pPr>
                  <w:r>
                    <w:rPr>
                      <w:rFonts w:hint="eastAsia" w:ascii="Times New Roman" w:hAnsi="Times New Roman" w:cs="Times New Roman"/>
                      <w:color w:val="000000" w:themeColor="text1"/>
                      <w:sz w:val="21"/>
                      <w14:textFill>
                        <w14:solidFill>
                          <w14:schemeClr w14:val="tx1"/>
                        </w14:solidFill>
                      </w14:textFill>
                    </w:rPr>
                    <w:t>杀虫剂</w:t>
                  </w:r>
                </w:p>
              </w:tc>
              <w:tc>
                <w:tcPr>
                  <w:tcW w:w="1668" w:type="dxa"/>
                  <w:vAlign w:val="center"/>
                </w:tcPr>
                <w:p>
                  <w:pPr>
                    <w:spacing w:line="240" w:lineRule="auto"/>
                    <w:jc w:val="center"/>
                    <w:rPr>
                      <w:rFonts w:ascii="Times New Roman" w:hAnsi="Times New Roman" w:eastAsia="宋体" w:cs="Times New Roman"/>
                      <w:color w:val="auto"/>
                      <w:sz w:val="21"/>
                    </w:rPr>
                  </w:pPr>
                  <w:r>
                    <w:rPr>
                      <w:rFonts w:hint="eastAsia" w:ascii="Times New Roman" w:hAnsi="Times New Roman" w:cs="Times New Roman"/>
                      <w:color w:val="auto"/>
                      <w:sz w:val="21"/>
                    </w:rPr>
                    <w:t>5700KG/年</w:t>
                  </w:r>
                </w:p>
              </w:tc>
              <w:tc>
                <w:tcPr>
                  <w:tcW w:w="1701" w:type="dxa"/>
                  <w:vMerge w:val="restart"/>
                  <w:vAlign w:val="center"/>
                </w:tcPr>
                <w:p>
                  <w:pPr>
                    <w:spacing w:line="240" w:lineRule="auto"/>
                    <w:jc w:val="center"/>
                    <w:rPr>
                      <w:rFonts w:ascii="Times New Roman" w:hAnsi="Times New Roman" w:eastAsia="宋体" w:cs="Times New Roman"/>
                      <w:color w:val="auto"/>
                      <w:sz w:val="21"/>
                    </w:rPr>
                  </w:pPr>
                  <w:r>
                    <w:rPr>
                      <w:rFonts w:hint="eastAsia" w:ascii="Times New Roman" w:hAnsi="Times New Roman" w:cs="Times New Roman"/>
                      <w:color w:val="auto"/>
                      <w:sz w:val="21"/>
                    </w:rPr>
                    <w:t>农技站</w:t>
                  </w:r>
                </w:p>
              </w:tc>
              <w:tc>
                <w:tcPr>
                  <w:tcW w:w="1723" w:type="dxa"/>
                  <w:vAlign w:val="center"/>
                </w:tcPr>
                <w:p>
                  <w:pPr>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多菌灵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325" w:type="dxa"/>
                  <w:vAlign w:val="center"/>
                </w:tcPr>
                <w:p>
                  <w:pPr>
                    <w:pStyle w:val="19"/>
                    <w:jc w:val="center"/>
                    <w:rPr>
                      <w:szCs w:val="21"/>
                    </w:rPr>
                  </w:pPr>
                  <w:r>
                    <w:rPr>
                      <w:szCs w:val="21"/>
                    </w:rPr>
                    <w:t>辅助用料</w:t>
                  </w:r>
                </w:p>
              </w:tc>
              <w:tc>
                <w:tcPr>
                  <w:tcW w:w="1855" w:type="dxa"/>
                  <w:vAlign w:val="center"/>
                </w:tcPr>
                <w:p>
                  <w:pPr>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肥料</w:t>
                  </w:r>
                </w:p>
              </w:tc>
              <w:tc>
                <w:tcPr>
                  <w:tcW w:w="1668" w:type="dxa"/>
                  <w:vAlign w:val="center"/>
                </w:tcPr>
                <w:p>
                  <w:pPr>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45.6吨/年</w:t>
                  </w:r>
                </w:p>
              </w:tc>
              <w:tc>
                <w:tcPr>
                  <w:tcW w:w="1701" w:type="dxa"/>
                  <w:vMerge w:val="continue"/>
                  <w:vAlign w:val="center"/>
                </w:tcPr>
                <w:p>
                  <w:pPr>
                    <w:spacing w:line="240" w:lineRule="auto"/>
                    <w:jc w:val="center"/>
                    <w:rPr>
                      <w:rFonts w:ascii="Times New Roman" w:hAnsi="Times New Roman" w:cs="Times New Roman"/>
                      <w:color w:val="auto"/>
                      <w:sz w:val="21"/>
                    </w:rPr>
                  </w:pPr>
                </w:p>
              </w:tc>
              <w:tc>
                <w:tcPr>
                  <w:tcW w:w="1723" w:type="dxa"/>
                  <w:vAlign w:val="center"/>
                </w:tcPr>
                <w:p>
                  <w:pPr>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复合肥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325" w:type="dxa"/>
                  <w:vMerge w:val="restart"/>
                  <w:vAlign w:val="center"/>
                </w:tcPr>
                <w:p>
                  <w:pPr>
                    <w:pStyle w:val="19"/>
                    <w:jc w:val="center"/>
                    <w:rPr>
                      <w:szCs w:val="21"/>
                    </w:rPr>
                  </w:pPr>
                  <w:r>
                    <w:rPr>
                      <w:szCs w:val="21"/>
                    </w:rPr>
                    <w:t>能耗</w:t>
                  </w:r>
                </w:p>
              </w:tc>
              <w:tc>
                <w:tcPr>
                  <w:tcW w:w="1855" w:type="dxa"/>
                  <w:vMerge w:val="restart"/>
                  <w:vAlign w:val="center"/>
                </w:tcPr>
                <w:p>
                  <w:pPr>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柴薪</w:t>
                  </w:r>
                  <w:r>
                    <w:rPr>
                      <w:rFonts w:hint="eastAsia" w:ascii="Times New Roman" w:hAnsi="Times New Roman" w:cs="Times New Roman"/>
                      <w:color w:val="000000" w:themeColor="text1"/>
                      <w:sz w:val="21"/>
                      <w14:textFill>
                        <w14:solidFill>
                          <w14:schemeClr w14:val="tx1"/>
                        </w14:solidFill>
                      </w14:textFill>
                    </w:rPr>
                    <w:t>、液化气</w:t>
                  </w:r>
                </w:p>
              </w:tc>
              <w:tc>
                <w:tcPr>
                  <w:tcW w:w="1668" w:type="dxa"/>
                  <w:vAlign w:val="center"/>
                </w:tcPr>
                <w:p>
                  <w:pPr>
                    <w:spacing w:line="240" w:lineRule="auto"/>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生活用柴30吨</w:t>
                  </w:r>
                </w:p>
              </w:tc>
              <w:tc>
                <w:tcPr>
                  <w:tcW w:w="1701" w:type="dxa"/>
                  <w:vAlign w:val="center"/>
                </w:tcPr>
                <w:p>
                  <w:pPr>
                    <w:spacing w:line="240" w:lineRule="auto"/>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树枝杂草</w:t>
                  </w:r>
                </w:p>
              </w:tc>
              <w:tc>
                <w:tcPr>
                  <w:tcW w:w="1723" w:type="dxa"/>
                  <w:vAlign w:val="center"/>
                </w:tcPr>
                <w:p>
                  <w:pPr>
                    <w:spacing w:line="240" w:lineRule="auto"/>
                    <w:jc w:val="center"/>
                    <w:rPr>
                      <w:rFonts w:ascii="Times New Roman" w:hAnsi="Times New Roman" w:cs="Times New Roman"/>
                      <w:color w:val="auto"/>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1325" w:type="dxa"/>
                  <w:vMerge w:val="continue"/>
                  <w:vAlign w:val="center"/>
                </w:tcPr>
                <w:p>
                  <w:pPr>
                    <w:pStyle w:val="19"/>
                    <w:jc w:val="center"/>
                    <w:rPr>
                      <w:szCs w:val="21"/>
                    </w:rPr>
                  </w:pPr>
                </w:p>
              </w:tc>
              <w:tc>
                <w:tcPr>
                  <w:tcW w:w="1855" w:type="dxa"/>
                  <w:vMerge w:val="continue"/>
                  <w:vAlign w:val="center"/>
                </w:tcPr>
                <w:p>
                  <w:pPr>
                    <w:spacing w:line="240" w:lineRule="auto"/>
                    <w:jc w:val="center"/>
                    <w:rPr>
                      <w:rFonts w:ascii="Times New Roman" w:hAnsi="Times New Roman" w:cs="Times New Roman"/>
                      <w:color w:val="000000" w:themeColor="text1"/>
                      <w:sz w:val="21"/>
                      <w14:textFill>
                        <w14:solidFill>
                          <w14:schemeClr w14:val="tx1"/>
                        </w14:solidFill>
                      </w14:textFill>
                    </w:rPr>
                  </w:pPr>
                </w:p>
              </w:tc>
              <w:tc>
                <w:tcPr>
                  <w:tcW w:w="1668" w:type="dxa"/>
                  <w:vAlign w:val="center"/>
                </w:tcPr>
                <w:p>
                  <w:pPr>
                    <w:spacing w:line="240" w:lineRule="auto"/>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液化气0.36吨</w:t>
                  </w:r>
                </w:p>
              </w:tc>
              <w:tc>
                <w:tcPr>
                  <w:tcW w:w="1701" w:type="dxa"/>
                  <w:vAlign w:val="center"/>
                </w:tcPr>
                <w:p>
                  <w:pPr>
                    <w:spacing w:line="240" w:lineRule="auto"/>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市购</w:t>
                  </w:r>
                </w:p>
              </w:tc>
              <w:tc>
                <w:tcPr>
                  <w:tcW w:w="1723" w:type="dxa"/>
                  <w:vAlign w:val="center"/>
                </w:tcPr>
                <w:p>
                  <w:pPr>
                    <w:spacing w:line="240" w:lineRule="auto"/>
                    <w:jc w:val="center"/>
                    <w:rPr>
                      <w:rFonts w:ascii="Times New Roman" w:hAnsi="Times New Roman" w:cs="Times New Roman"/>
                      <w:color w:val="auto"/>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325" w:type="dxa"/>
                  <w:vMerge w:val="continue"/>
                  <w:vAlign w:val="center"/>
                </w:tcPr>
                <w:p>
                  <w:pPr>
                    <w:pStyle w:val="19"/>
                    <w:jc w:val="center"/>
                    <w:rPr>
                      <w:szCs w:val="21"/>
                    </w:rPr>
                  </w:pPr>
                </w:p>
              </w:tc>
              <w:tc>
                <w:tcPr>
                  <w:tcW w:w="1855" w:type="dxa"/>
                  <w:vAlign w:val="center"/>
                </w:tcPr>
                <w:p>
                  <w:pPr>
                    <w:spacing w:line="240" w:lineRule="auto"/>
                    <w:jc w:val="center"/>
                    <w:rPr>
                      <w:rFonts w:ascii="Times New Roman" w:hAnsi="Times New Roman" w:cs="Times New Roman"/>
                      <w:color w:val="auto"/>
                      <w:sz w:val="21"/>
                    </w:rPr>
                  </w:pPr>
                  <w:r>
                    <w:rPr>
                      <w:rFonts w:ascii="Times New Roman" w:hAnsi="Times New Roman" w:cs="Times New Roman"/>
                      <w:color w:val="auto"/>
                      <w:sz w:val="21"/>
                    </w:rPr>
                    <w:t>水</w:t>
                  </w:r>
                </w:p>
              </w:tc>
              <w:tc>
                <w:tcPr>
                  <w:tcW w:w="1668" w:type="dxa"/>
                  <w:vAlign w:val="center"/>
                </w:tcPr>
                <w:p>
                  <w:pPr>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700t</w:t>
                  </w:r>
                </w:p>
              </w:tc>
              <w:tc>
                <w:tcPr>
                  <w:tcW w:w="1701" w:type="dxa"/>
                  <w:vAlign w:val="center"/>
                </w:tcPr>
                <w:p>
                  <w:pPr>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本园生活区水井</w:t>
                  </w:r>
                </w:p>
              </w:tc>
              <w:tc>
                <w:tcPr>
                  <w:tcW w:w="1723" w:type="dxa"/>
                  <w:vAlign w:val="center"/>
                </w:tcPr>
                <w:p>
                  <w:pPr>
                    <w:spacing w:line="240" w:lineRule="auto"/>
                    <w:jc w:val="center"/>
                    <w:rPr>
                      <w:rFonts w:ascii="Times New Roman" w:hAnsi="Times New Roman" w:cs="Times New Roman"/>
                      <w:color w:val="auto"/>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325" w:type="dxa"/>
                  <w:vMerge w:val="continue"/>
                  <w:vAlign w:val="center"/>
                </w:tcPr>
                <w:p>
                  <w:pPr>
                    <w:pStyle w:val="19"/>
                    <w:jc w:val="center"/>
                    <w:rPr>
                      <w:szCs w:val="21"/>
                    </w:rPr>
                  </w:pPr>
                </w:p>
              </w:tc>
              <w:tc>
                <w:tcPr>
                  <w:tcW w:w="1855" w:type="dxa"/>
                  <w:vAlign w:val="center"/>
                </w:tcPr>
                <w:p>
                  <w:pPr>
                    <w:spacing w:line="240" w:lineRule="auto"/>
                    <w:jc w:val="center"/>
                    <w:rPr>
                      <w:rFonts w:ascii="Times New Roman" w:hAnsi="Times New Roman" w:cs="Times New Roman"/>
                      <w:color w:val="auto"/>
                      <w:sz w:val="21"/>
                    </w:rPr>
                  </w:pPr>
                  <w:r>
                    <w:rPr>
                      <w:rFonts w:ascii="Times New Roman" w:hAnsi="Times New Roman" w:cs="Times New Roman"/>
                      <w:color w:val="auto"/>
                      <w:sz w:val="21"/>
                    </w:rPr>
                    <w:t>电</w:t>
                  </w:r>
                </w:p>
              </w:tc>
              <w:tc>
                <w:tcPr>
                  <w:tcW w:w="1668" w:type="dxa"/>
                  <w:vAlign w:val="center"/>
                </w:tcPr>
                <w:p>
                  <w:pPr>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1200度</w:t>
                  </w:r>
                </w:p>
              </w:tc>
              <w:tc>
                <w:tcPr>
                  <w:tcW w:w="1701" w:type="dxa"/>
                  <w:vAlign w:val="center"/>
                </w:tcPr>
                <w:p>
                  <w:pPr>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市供</w:t>
                  </w:r>
                </w:p>
              </w:tc>
              <w:tc>
                <w:tcPr>
                  <w:tcW w:w="1723" w:type="dxa"/>
                  <w:vAlign w:val="center"/>
                </w:tcPr>
                <w:p>
                  <w:pPr>
                    <w:spacing w:line="240" w:lineRule="auto"/>
                    <w:jc w:val="center"/>
                    <w:rPr>
                      <w:rFonts w:ascii="Times New Roman" w:hAnsi="Times New Roman" w:cs="Times New Roman"/>
                      <w:color w:val="auto"/>
                      <w:sz w:val="21"/>
                    </w:rPr>
                  </w:pPr>
                </w:p>
              </w:tc>
            </w:tr>
          </w:tbl>
          <w:p>
            <w:pPr>
              <w:pStyle w:val="6"/>
              <w:jc w:val="both"/>
              <w:rPr>
                <w:rFonts w:ascii="Times New Roman" w:hAnsi="Times New Roman"/>
                <w:sz w:val="24"/>
                <w:szCs w:val="24"/>
              </w:rPr>
            </w:pPr>
          </w:p>
          <w:p>
            <w:pPr>
              <w:pStyle w:val="6"/>
              <w:spacing w:line="360" w:lineRule="auto"/>
              <w:ind w:firstLine="480"/>
              <w:jc w:val="both"/>
              <w:rPr>
                <w:rFonts w:ascii="宋体" w:hAnsi="宋体" w:cs="Arial" w:eastAsiaTheme="minorEastAsia"/>
                <w:b w:val="0"/>
                <w:bCs w:val="0"/>
                <w:color w:val="000000" w:themeColor="text1"/>
                <w:kern w:val="2"/>
                <w:sz w:val="24"/>
                <w:szCs w:val="28"/>
                <w14:textFill>
                  <w14:solidFill>
                    <w14:schemeClr w14:val="tx1"/>
                  </w14:solidFill>
                </w14:textFill>
              </w:rPr>
            </w:pPr>
            <w:r>
              <w:rPr>
                <w:rFonts w:hint="eastAsia" w:ascii="宋体" w:hAnsi="宋体" w:cs="Arial" w:eastAsiaTheme="minorEastAsia"/>
                <w:b w:val="0"/>
                <w:bCs w:val="0"/>
                <w:color w:val="000000" w:themeColor="text1"/>
                <w:kern w:val="2"/>
                <w:sz w:val="24"/>
                <w:szCs w:val="28"/>
                <w14:textFill>
                  <w14:solidFill>
                    <w14:schemeClr w14:val="tx1"/>
                  </w14:solidFill>
                </w14:textFill>
              </w:rPr>
              <w:t>本项目所用的杀虫剂为多菌灵。又名棉萎灵、苯并咪唑44号。多菌灵是一种广谱性杀菌剂，对多种作物由真菌（如半知菌、多子囊菌）引起的病害有防治效果。可用于叶面喷雾、种子处理和土壤处理等。</w:t>
            </w:r>
          </w:p>
          <w:p>
            <w:pPr>
              <w:ind w:firstLine="480"/>
              <w:rPr>
                <w:color w:val="000000" w:themeColor="text1"/>
                <w:szCs w:val="24"/>
                <w14:textFill>
                  <w14:solidFill>
                    <w14:schemeClr w14:val="tx1"/>
                  </w14:solidFill>
                </w14:textFill>
              </w:rPr>
            </w:pPr>
            <w:r>
              <w:rPr>
                <w:rFonts w:hint="eastAsia"/>
                <w:color w:val="000000" w:themeColor="text1"/>
                <w14:textFill>
                  <w14:solidFill>
                    <w14:schemeClr w14:val="tx1"/>
                  </w14:solidFill>
                </w14:textFill>
              </w:rPr>
              <w:t>多菌灵纯品为白色结晶固体，熔点302℃～307℃（分解），密度1. 45glcm3 (20℃)。24℃时溶解度：水29mglL(PH4)，二甲基甲酰胺5g/L，微溶于有机溶剂中。低于50℃至少2年稳定。在碱性溶液中缓慢分解，随pH升高分解加快，随pH降低失去活性，以7作为基准。在</w:t>
            </w:r>
            <w:r>
              <w:rPr>
                <w:rFonts w:hint="eastAsia"/>
                <w:color w:val="000000" w:themeColor="text1"/>
                <w:szCs w:val="24"/>
                <w14:textFill>
                  <w14:solidFill>
                    <w14:schemeClr w14:val="tx1"/>
                  </w14:solidFill>
                </w14:textFill>
              </w:rPr>
              <w:t>酸中稳定形成可溶性盐。原药为棕色粉末。化学性质稳定，原药在阴凉、干燥处贮存2-3年，有效成份不变。对人畜低毒，对鱼类毒性也低。对人、畜、鱼类、蜜蜂等低毒。 对皮肤和眼睛有刺激，经口中毒出现头昏、恶心、呕吐。</w:t>
            </w:r>
          </w:p>
          <w:p>
            <w:pPr>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大、小鼠急性经口LD50&gt;5000～15000mg/kg，大鼠急性经皮LD50&gt;2000mg/kg，大鼠腹腔注射LD50&gt;15000mg/kg。大鼠在含2.2mg/L有效成分空间中能容忍。原药对狗和大鼠3个月的喂养，无影响剂量分别为500mg/kg和400mg/kg。未见致癌、致畸、致突变作用。对鱼类和蜜蜂低毒。鲤鱼LC50为40mg/L（48h)。</w:t>
            </w:r>
          </w:p>
          <w:p>
            <w:pPr>
              <w:pStyle w:val="6"/>
              <w:spacing w:line="360" w:lineRule="auto"/>
              <w:ind w:firstLine="480"/>
              <w:jc w:val="both"/>
              <w:rPr>
                <w:rFonts w:ascii="Times New Roman" w:hAnsi="Times New Roman"/>
                <w:b w:val="0"/>
                <w:color w:val="000000" w:themeColor="text1"/>
                <w:sz w:val="24"/>
                <w:szCs w:val="24"/>
                <w14:textFill>
                  <w14:solidFill>
                    <w14:schemeClr w14:val="tx1"/>
                  </w14:solidFill>
                </w14:textFill>
              </w:rPr>
            </w:pPr>
            <w:r>
              <w:rPr>
                <w:rFonts w:hint="eastAsia" w:ascii="宋体" w:hAnsi="宋体" w:cs="Arial" w:eastAsiaTheme="minorEastAsia"/>
                <w:b w:val="0"/>
                <w:bCs w:val="0"/>
                <w:kern w:val="2"/>
                <w:sz w:val="24"/>
                <w:szCs w:val="28"/>
              </w:rPr>
              <w:t>本项目所用的肥料为复合肥。复合肥料是指由化学</w:t>
            </w:r>
            <w:r>
              <w:rPr>
                <w:rFonts w:hint="eastAsia" w:ascii="Times New Roman" w:hAnsi="Times New Roman"/>
                <w:b w:val="0"/>
                <w:color w:val="000000" w:themeColor="text1"/>
                <w:sz w:val="24"/>
                <w:szCs w:val="24"/>
                <w14:textFill>
                  <w14:solidFill>
                    <w14:schemeClr w14:val="tx1"/>
                  </w14:solidFill>
                </w14:textFill>
              </w:rPr>
              <w:t>方法制成的复混肥,按其所含氮、磷、钾有效养分不同，可分为二元、三元复合肥料。常用的几种复合肥：1．磷酸一铵 主要成分NH</w:t>
            </w:r>
            <w:r>
              <w:rPr>
                <w:rFonts w:hint="eastAsia" w:ascii="Times New Roman" w:hAnsi="Times New Roman"/>
                <w:b w:val="0"/>
                <w:color w:val="000000" w:themeColor="text1"/>
                <w:sz w:val="24"/>
                <w:szCs w:val="24"/>
                <w:vertAlign w:val="subscript"/>
                <w14:textFill>
                  <w14:solidFill>
                    <w14:schemeClr w14:val="tx1"/>
                  </w14:solidFill>
                </w14:textFill>
              </w:rPr>
              <w:t>4</w:t>
            </w:r>
            <w:r>
              <w:rPr>
                <w:rFonts w:hint="eastAsia" w:ascii="Times New Roman" w:hAnsi="Times New Roman"/>
                <w:b w:val="0"/>
                <w:color w:val="000000" w:themeColor="text1"/>
                <w:sz w:val="24"/>
                <w:szCs w:val="24"/>
                <w14:textFill>
                  <w14:solidFill>
                    <w14:schemeClr w14:val="tx1"/>
                  </w14:solidFill>
                </w14:textFill>
              </w:rPr>
              <w:t>H</w:t>
            </w:r>
            <w:r>
              <w:rPr>
                <w:rFonts w:hint="eastAsia" w:ascii="Times New Roman" w:hAnsi="Times New Roman"/>
                <w:b w:val="0"/>
                <w:color w:val="000000" w:themeColor="text1"/>
                <w:sz w:val="24"/>
                <w:szCs w:val="24"/>
                <w:vertAlign w:val="subscript"/>
                <w14:textFill>
                  <w14:solidFill>
                    <w14:schemeClr w14:val="tx1"/>
                  </w14:solidFill>
                </w14:textFill>
              </w:rPr>
              <w:t>2</w:t>
            </w:r>
            <w:r>
              <w:rPr>
                <w:rFonts w:hint="eastAsia" w:ascii="Times New Roman" w:hAnsi="Times New Roman"/>
                <w:b w:val="0"/>
                <w:color w:val="000000" w:themeColor="text1"/>
                <w:sz w:val="24"/>
                <w:szCs w:val="24"/>
                <w14:textFill>
                  <w14:solidFill>
                    <w14:schemeClr w14:val="tx1"/>
                  </w14:solidFill>
                </w14:textFill>
              </w:rPr>
              <w:t>PO</w:t>
            </w:r>
            <w:r>
              <w:rPr>
                <w:rFonts w:hint="eastAsia" w:ascii="Times New Roman" w:hAnsi="Times New Roman"/>
                <w:b w:val="0"/>
                <w:color w:val="000000" w:themeColor="text1"/>
                <w:sz w:val="24"/>
                <w:szCs w:val="24"/>
                <w:vertAlign w:val="subscript"/>
                <w14:textFill>
                  <w14:solidFill>
                    <w14:schemeClr w14:val="tx1"/>
                  </w14:solidFill>
                </w14:textFill>
              </w:rPr>
              <w:t>4</w:t>
            </w:r>
            <w:r>
              <w:rPr>
                <w:rFonts w:hint="eastAsia" w:ascii="Times New Roman" w:hAnsi="Times New Roman"/>
                <w:b w:val="0"/>
                <w:color w:val="000000" w:themeColor="text1"/>
                <w:sz w:val="24"/>
                <w:szCs w:val="24"/>
                <w14:textFill>
                  <w14:solidFill>
                    <w14:schemeClr w14:val="tx1"/>
                  </w14:solidFill>
                </w14:textFill>
              </w:rPr>
              <w:t xml:space="preserve"> 有效成分%（N-P</w:t>
            </w:r>
            <w:r>
              <w:rPr>
                <w:rFonts w:hint="eastAsia" w:ascii="Times New Roman" w:hAnsi="Times New Roman"/>
                <w:b w:val="0"/>
                <w:color w:val="000000" w:themeColor="text1"/>
                <w:sz w:val="24"/>
                <w:szCs w:val="24"/>
                <w:vertAlign w:val="subscript"/>
                <w14:textFill>
                  <w14:solidFill>
                    <w14:schemeClr w14:val="tx1"/>
                  </w14:solidFill>
                </w14:textFill>
              </w:rPr>
              <w:t>2</w:t>
            </w:r>
            <w:r>
              <w:rPr>
                <w:rFonts w:hint="eastAsia" w:ascii="Times New Roman" w:hAnsi="Times New Roman"/>
                <w:b w:val="0"/>
                <w:color w:val="000000" w:themeColor="text1"/>
                <w:sz w:val="24"/>
                <w:szCs w:val="24"/>
                <w14:textFill>
                  <w14:solidFill>
                    <w14:schemeClr w14:val="tx1"/>
                  </w14:solidFill>
                </w14:textFill>
              </w:rPr>
              <w:t>O</w:t>
            </w:r>
            <w:r>
              <w:rPr>
                <w:rFonts w:hint="eastAsia" w:ascii="Times New Roman" w:hAnsi="Times New Roman"/>
                <w:b w:val="0"/>
                <w:color w:val="000000" w:themeColor="text1"/>
                <w:sz w:val="24"/>
                <w:szCs w:val="24"/>
                <w:vertAlign w:val="subscript"/>
                <w14:textFill>
                  <w14:solidFill>
                    <w14:schemeClr w14:val="tx1"/>
                  </w14:solidFill>
                </w14:textFill>
              </w:rPr>
              <w:t>5</w:t>
            </w:r>
            <w:r>
              <w:rPr>
                <w:rFonts w:hint="eastAsia" w:ascii="Times New Roman" w:hAnsi="Times New Roman"/>
                <w:b w:val="0"/>
                <w:color w:val="000000" w:themeColor="text1"/>
                <w:sz w:val="24"/>
                <w:szCs w:val="24"/>
                <w14:textFill>
                  <w14:solidFill>
                    <w14:schemeClr w14:val="tx1"/>
                  </w14:solidFill>
                </w14:textFill>
              </w:rPr>
              <w:t>-K</w:t>
            </w:r>
            <w:r>
              <w:rPr>
                <w:rFonts w:hint="eastAsia" w:ascii="Times New Roman" w:hAnsi="Times New Roman"/>
                <w:b w:val="0"/>
                <w:color w:val="000000" w:themeColor="text1"/>
                <w:sz w:val="24"/>
                <w:szCs w:val="24"/>
                <w:vertAlign w:val="subscript"/>
                <w14:textFill>
                  <w14:solidFill>
                    <w14:schemeClr w14:val="tx1"/>
                  </w14:solidFill>
                </w14:textFill>
              </w:rPr>
              <w:t>2</w:t>
            </w:r>
            <w:r>
              <w:rPr>
                <w:rFonts w:hint="eastAsia" w:ascii="Times New Roman" w:hAnsi="Times New Roman"/>
                <w:b w:val="0"/>
                <w:color w:val="000000" w:themeColor="text1"/>
                <w:sz w:val="24"/>
                <w:szCs w:val="24"/>
                <w14:textFill>
                  <w14:solidFill>
                    <w14:schemeClr w14:val="tx1"/>
                  </w14:solidFill>
                </w14:textFill>
              </w:rPr>
              <w:t>O）12-60-0 适合各类作物，作基肥、种肥均可。作种肥要避免与种子接触，用量也应减少。追肥应条施。2．磷酸二铵 主要成分（NH</w:t>
            </w:r>
            <w:r>
              <w:rPr>
                <w:rFonts w:hint="eastAsia" w:ascii="Times New Roman" w:hAnsi="Times New Roman"/>
                <w:b w:val="0"/>
                <w:color w:val="000000" w:themeColor="text1"/>
                <w:sz w:val="24"/>
                <w:szCs w:val="24"/>
                <w:vertAlign w:val="subscript"/>
                <w14:textFill>
                  <w14:solidFill>
                    <w14:schemeClr w14:val="tx1"/>
                  </w14:solidFill>
                </w14:textFill>
              </w:rPr>
              <w:t>4</w:t>
            </w:r>
            <w:r>
              <w:rPr>
                <w:rFonts w:hint="eastAsia" w:ascii="Times New Roman" w:hAnsi="Times New Roman"/>
                <w:b w:val="0"/>
                <w:color w:val="000000" w:themeColor="text1"/>
                <w:sz w:val="24"/>
                <w:szCs w:val="24"/>
                <w14:textFill>
                  <w14:solidFill>
                    <w14:schemeClr w14:val="tx1"/>
                  </w14:solidFill>
                </w14:textFill>
              </w:rPr>
              <w:t>）</w:t>
            </w:r>
            <w:r>
              <w:rPr>
                <w:rFonts w:hint="eastAsia" w:ascii="Times New Roman" w:hAnsi="Times New Roman"/>
                <w:b w:val="0"/>
                <w:color w:val="000000" w:themeColor="text1"/>
                <w:sz w:val="24"/>
                <w:szCs w:val="24"/>
                <w:vertAlign w:val="subscript"/>
                <w14:textFill>
                  <w14:solidFill>
                    <w14:schemeClr w14:val="tx1"/>
                  </w14:solidFill>
                </w14:textFill>
              </w:rPr>
              <w:t>2</w:t>
            </w:r>
            <w:r>
              <w:rPr>
                <w:rFonts w:hint="eastAsia" w:ascii="Times New Roman" w:hAnsi="Times New Roman"/>
                <w:b w:val="0"/>
                <w:color w:val="000000" w:themeColor="text1"/>
                <w:sz w:val="24"/>
                <w:szCs w:val="24"/>
                <w14:textFill>
                  <w14:solidFill>
                    <w14:schemeClr w14:val="tx1"/>
                  </w14:solidFill>
                </w14:textFill>
              </w:rPr>
              <w:t>HPO</w:t>
            </w:r>
            <w:r>
              <w:rPr>
                <w:rFonts w:hint="eastAsia" w:ascii="Times New Roman" w:hAnsi="Times New Roman"/>
                <w:b w:val="0"/>
                <w:color w:val="000000" w:themeColor="text1"/>
                <w:sz w:val="24"/>
                <w:szCs w:val="24"/>
                <w:vertAlign w:val="subscript"/>
                <w14:textFill>
                  <w14:solidFill>
                    <w14:schemeClr w14:val="tx1"/>
                  </w14:solidFill>
                </w14:textFill>
              </w:rPr>
              <w:t>4</w:t>
            </w:r>
            <w:r>
              <w:rPr>
                <w:rFonts w:hint="eastAsia" w:ascii="Times New Roman" w:hAnsi="Times New Roman"/>
                <w:b w:val="0"/>
                <w:color w:val="000000" w:themeColor="text1"/>
                <w:sz w:val="24"/>
                <w:szCs w:val="24"/>
                <w14:textFill>
                  <w14:solidFill>
                    <w14:schemeClr w14:val="tx1"/>
                  </w14:solidFill>
                </w14:textFill>
              </w:rPr>
              <w:t xml:space="preserve"> 有效成分%（N-P</w:t>
            </w:r>
            <w:r>
              <w:rPr>
                <w:rFonts w:hint="eastAsia" w:ascii="Times New Roman" w:hAnsi="Times New Roman"/>
                <w:b w:val="0"/>
                <w:color w:val="000000" w:themeColor="text1"/>
                <w:sz w:val="24"/>
                <w:szCs w:val="24"/>
                <w:vertAlign w:val="subscript"/>
                <w14:textFill>
                  <w14:solidFill>
                    <w14:schemeClr w14:val="tx1"/>
                  </w14:solidFill>
                </w14:textFill>
              </w:rPr>
              <w:t>2</w:t>
            </w:r>
            <w:r>
              <w:rPr>
                <w:rFonts w:hint="eastAsia" w:ascii="Times New Roman" w:hAnsi="Times New Roman"/>
                <w:b w:val="0"/>
                <w:color w:val="000000" w:themeColor="text1"/>
                <w:sz w:val="24"/>
                <w:szCs w:val="24"/>
                <w14:textFill>
                  <w14:solidFill>
                    <w14:schemeClr w14:val="tx1"/>
                  </w14:solidFill>
                </w14:textFill>
              </w:rPr>
              <w:t>O</w:t>
            </w:r>
            <w:r>
              <w:rPr>
                <w:rFonts w:hint="eastAsia" w:ascii="Times New Roman" w:hAnsi="Times New Roman"/>
                <w:b w:val="0"/>
                <w:color w:val="000000" w:themeColor="text1"/>
                <w:sz w:val="24"/>
                <w:szCs w:val="24"/>
                <w:vertAlign w:val="subscript"/>
                <w14:textFill>
                  <w14:solidFill>
                    <w14:schemeClr w14:val="tx1"/>
                  </w14:solidFill>
                </w14:textFill>
              </w:rPr>
              <w:t>5</w:t>
            </w:r>
            <w:r>
              <w:rPr>
                <w:rFonts w:hint="eastAsia" w:ascii="Times New Roman" w:hAnsi="Times New Roman"/>
                <w:b w:val="0"/>
                <w:color w:val="000000" w:themeColor="text1"/>
                <w:sz w:val="24"/>
                <w:szCs w:val="24"/>
                <w14:textFill>
                  <w14:solidFill>
                    <w14:schemeClr w14:val="tx1"/>
                  </w14:solidFill>
                </w14:textFill>
              </w:rPr>
              <w:t>-K</w:t>
            </w:r>
            <w:r>
              <w:rPr>
                <w:rFonts w:hint="eastAsia" w:ascii="Times New Roman" w:hAnsi="Times New Roman"/>
                <w:b w:val="0"/>
                <w:color w:val="000000" w:themeColor="text1"/>
                <w:sz w:val="24"/>
                <w:szCs w:val="24"/>
                <w:vertAlign w:val="subscript"/>
                <w14:textFill>
                  <w14:solidFill>
                    <w14:schemeClr w14:val="tx1"/>
                  </w14:solidFill>
                </w14:textFill>
              </w:rPr>
              <w:t>2</w:t>
            </w:r>
            <w:r>
              <w:rPr>
                <w:rFonts w:hint="eastAsia" w:ascii="Times New Roman" w:hAnsi="Times New Roman"/>
                <w:b w:val="0"/>
                <w:color w:val="000000" w:themeColor="text1"/>
                <w:sz w:val="24"/>
                <w:szCs w:val="24"/>
                <w14:textFill>
                  <w14:solidFill>
                    <w14:schemeClr w14:val="tx1"/>
                  </w14:solidFill>
                </w14:textFill>
              </w:rPr>
              <w:t>O）21-53-0 适合各类作物，作基肥、种肥均可。作种肥要避免与种子接触，用量也应减少。追肥应条施。3．磷酸二氢钾 主要成分KH</w:t>
            </w:r>
            <w:r>
              <w:rPr>
                <w:rFonts w:hint="eastAsia" w:ascii="Times New Roman" w:hAnsi="Times New Roman"/>
                <w:b w:val="0"/>
                <w:color w:val="000000" w:themeColor="text1"/>
                <w:sz w:val="24"/>
                <w:szCs w:val="24"/>
                <w:vertAlign w:val="subscript"/>
                <w14:textFill>
                  <w14:solidFill>
                    <w14:schemeClr w14:val="tx1"/>
                  </w14:solidFill>
                </w14:textFill>
              </w:rPr>
              <w:t>2</w:t>
            </w:r>
            <w:r>
              <w:rPr>
                <w:rFonts w:hint="eastAsia" w:ascii="Times New Roman" w:hAnsi="Times New Roman"/>
                <w:b w:val="0"/>
                <w:color w:val="000000" w:themeColor="text1"/>
                <w:sz w:val="24"/>
                <w:szCs w:val="24"/>
                <w14:textFill>
                  <w14:solidFill>
                    <w14:schemeClr w14:val="tx1"/>
                  </w14:solidFill>
                </w14:textFill>
              </w:rPr>
              <w:t>PO</w:t>
            </w:r>
            <w:r>
              <w:rPr>
                <w:rFonts w:hint="eastAsia" w:ascii="Times New Roman" w:hAnsi="Times New Roman"/>
                <w:b w:val="0"/>
                <w:color w:val="000000" w:themeColor="text1"/>
                <w:sz w:val="24"/>
                <w:szCs w:val="24"/>
                <w:vertAlign w:val="subscript"/>
                <w14:textFill>
                  <w14:solidFill>
                    <w14:schemeClr w14:val="tx1"/>
                  </w14:solidFill>
                </w14:textFill>
              </w:rPr>
              <w:t>4</w:t>
            </w:r>
            <w:r>
              <w:rPr>
                <w:rFonts w:hint="eastAsia" w:ascii="Times New Roman" w:hAnsi="Times New Roman"/>
                <w:b w:val="0"/>
                <w:color w:val="000000" w:themeColor="text1"/>
                <w:sz w:val="24"/>
                <w:szCs w:val="24"/>
                <w14:textFill>
                  <w14:solidFill>
                    <w14:schemeClr w14:val="tx1"/>
                  </w14:solidFill>
                </w14:textFill>
              </w:rPr>
              <w:t xml:space="preserve"> 有效成分%（N-P</w:t>
            </w:r>
            <w:r>
              <w:rPr>
                <w:rFonts w:hint="eastAsia" w:ascii="Times New Roman" w:hAnsi="Times New Roman"/>
                <w:b w:val="0"/>
                <w:color w:val="000000" w:themeColor="text1"/>
                <w:sz w:val="24"/>
                <w:szCs w:val="24"/>
                <w:vertAlign w:val="subscript"/>
                <w14:textFill>
                  <w14:solidFill>
                    <w14:schemeClr w14:val="tx1"/>
                  </w14:solidFill>
                </w14:textFill>
              </w:rPr>
              <w:t>2</w:t>
            </w:r>
            <w:r>
              <w:rPr>
                <w:rFonts w:hint="eastAsia" w:ascii="Times New Roman" w:hAnsi="Times New Roman"/>
                <w:b w:val="0"/>
                <w:color w:val="000000" w:themeColor="text1"/>
                <w:sz w:val="24"/>
                <w:szCs w:val="24"/>
                <w14:textFill>
                  <w14:solidFill>
                    <w14:schemeClr w14:val="tx1"/>
                  </w14:solidFill>
                </w14:textFill>
              </w:rPr>
              <w:t>O</w:t>
            </w:r>
            <w:r>
              <w:rPr>
                <w:rFonts w:hint="eastAsia" w:ascii="Times New Roman" w:hAnsi="Times New Roman"/>
                <w:b w:val="0"/>
                <w:color w:val="000000" w:themeColor="text1"/>
                <w:sz w:val="24"/>
                <w:szCs w:val="24"/>
                <w:vertAlign w:val="subscript"/>
                <w14:textFill>
                  <w14:solidFill>
                    <w14:schemeClr w14:val="tx1"/>
                  </w14:solidFill>
                </w14:textFill>
              </w:rPr>
              <w:t>5</w:t>
            </w:r>
            <w:r>
              <w:rPr>
                <w:rFonts w:hint="eastAsia" w:ascii="Times New Roman" w:hAnsi="Times New Roman"/>
                <w:b w:val="0"/>
                <w:color w:val="000000" w:themeColor="text1"/>
                <w:sz w:val="24"/>
                <w:szCs w:val="24"/>
                <w14:textFill>
                  <w14:solidFill>
                    <w14:schemeClr w14:val="tx1"/>
                  </w14:solidFill>
                </w14:textFill>
              </w:rPr>
              <w:t>-K</w:t>
            </w:r>
            <w:r>
              <w:rPr>
                <w:rFonts w:hint="eastAsia" w:ascii="Times New Roman" w:hAnsi="Times New Roman"/>
                <w:b w:val="0"/>
                <w:color w:val="000000" w:themeColor="text1"/>
                <w:sz w:val="24"/>
                <w:szCs w:val="24"/>
                <w:vertAlign w:val="subscript"/>
                <w14:textFill>
                  <w14:solidFill>
                    <w14:schemeClr w14:val="tx1"/>
                  </w14:solidFill>
                </w14:textFill>
              </w:rPr>
              <w:t>2</w:t>
            </w:r>
            <w:r>
              <w:rPr>
                <w:rFonts w:hint="eastAsia" w:ascii="Times New Roman" w:hAnsi="Times New Roman"/>
                <w:b w:val="0"/>
                <w:color w:val="000000" w:themeColor="text1"/>
                <w:sz w:val="24"/>
                <w:szCs w:val="24"/>
                <w14:textFill>
                  <w14:solidFill>
                    <w14:schemeClr w14:val="tx1"/>
                  </w14:solidFill>
                </w14:textFill>
              </w:rPr>
              <w:t>O）0-24-27 多用于根外追肥，浓度为0.2-0.3%。</w:t>
            </w:r>
          </w:p>
          <w:p>
            <w:pPr>
              <w:pStyle w:val="6"/>
              <w:rPr>
                <w:rFonts w:ascii="Times New Roman" w:hAnsi="Times New Roman"/>
                <w:sz w:val="24"/>
                <w:szCs w:val="24"/>
              </w:rPr>
            </w:pPr>
            <w:r>
              <w:rPr>
                <w:rFonts w:ascii="Times New Roman" w:hAnsi="Times New Roman"/>
                <w:sz w:val="24"/>
                <w:szCs w:val="24"/>
              </w:rPr>
              <w:t>表1-</w:t>
            </w:r>
            <w:r>
              <w:rPr>
                <w:rFonts w:hint="eastAsia" w:ascii="Times New Roman" w:hAnsi="Times New Roman"/>
                <w:sz w:val="24"/>
                <w:szCs w:val="24"/>
              </w:rPr>
              <w:t>3</w:t>
            </w:r>
            <w:r>
              <w:rPr>
                <w:rFonts w:ascii="Times New Roman" w:hAnsi="Times New Roman"/>
                <w:sz w:val="24"/>
                <w:szCs w:val="24"/>
              </w:rPr>
              <w:t xml:space="preserve"> 产品方案及规模一览表</w:t>
            </w:r>
          </w:p>
          <w:tbl>
            <w:tblPr>
              <w:tblStyle w:val="10"/>
              <w:tblW w:w="871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268"/>
              <w:gridCol w:w="2436"/>
              <w:gridCol w:w="35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420" w:type="dxa"/>
                  <w:vAlign w:val="center"/>
                </w:tcPr>
                <w:p>
                  <w:pPr>
                    <w:pStyle w:val="19"/>
                    <w:jc w:val="center"/>
                    <w:rPr>
                      <w:szCs w:val="21"/>
                    </w:rPr>
                  </w:pPr>
                </w:p>
              </w:tc>
              <w:tc>
                <w:tcPr>
                  <w:tcW w:w="1268" w:type="dxa"/>
                  <w:vAlign w:val="center"/>
                </w:tcPr>
                <w:p>
                  <w:pPr>
                    <w:pStyle w:val="19"/>
                    <w:jc w:val="center"/>
                    <w:rPr>
                      <w:szCs w:val="21"/>
                    </w:rPr>
                  </w:pPr>
                  <w:r>
                    <w:rPr>
                      <w:szCs w:val="21"/>
                    </w:rPr>
                    <w:t>序号</w:t>
                  </w:r>
                </w:p>
              </w:tc>
              <w:tc>
                <w:tcPr>
                  <w:tcW w:w="2436" w:type="dxa"/>
                  <w:vAlign w:val="center"/>
                </w:tcPr>
                <w:p>
                  <w:pPr>
                    <w:pStyle w:val="19"/>
                    <w:jc w:val="center"/>
                    <w:rPr>
                      <w:szCs w:val="21"/>
                    </w:rPr>
                  </w:pPr>
                  <w:r>
                    <w:rPr>
                      <w:szCs w:val="21"/>
                    </w:rPr>
                    <w:t>产品名称</w:t>
                  </w:r>
                </w:p>
              </w:tc>
              <w:tc>
                <w:tcPr>
                  <w:tcW w:w="3591" w:type="dxa"/>
                  <w:vAlign w:val="center"/>
                </w:tcPr>
                <w:p>
                  <w:pPr>
                    <w:pStyle w:val="19"/>
                    <w:jc w:val="center"/>
                    <w:rPr>
                      <w:szCs w:val="21"/>
                    </w:rPr>
                  </w:pPr>
                  <w:r>
                    <w:rPr>
                      <w:rFonts w:hint="eastAsia"/>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jc w:val="center"/>
              </w:trPr>
              <w:tc>
                <w:tcPr>
                  <w:tcW w:w="1420" w:type="dxa"/>
                  <w:vMerge w:val="restart"/>
                  <w:vAlign w:val="center"/>
                </w:tcPr>
                <w:p>
                  <w:pPr>
                    <w:pStyle w:val="19"/>
                    <w:jc w:val="center"/>
                    <w:rPr>
                      <w:szCs w:val="21"/>
                    </w:rPr>
                  </w:pPr>
                  <w:r>
                    <w:rPr>
                      <w:rFonts w:hint="eastAsia"/>
                      <w:szCs w:val="21"/>
                    </w:rPr>
                    <w:t>牡丹</w:t>
                  </w:r>
                </w:p>
              </w:tc>
              <w:tc>
                <w:tcPr>
                  <w:tcW w:w="1268" w:type="dxa"/>
                  <w:vAlign w:val="center"/>
                </w:tcPr>
                <w:p>
                  <w:pPr>
                    <w:pStyle w:val="19"/>
                    <w:jc w:val="center"/>
                    <w:rPr>
                      <w:szCs w:val="21"/>
                    </w:rPr>
                  </w:pPr>
                  <w:r>
                    <w:rPr>
                      <w:szCs w:val="21"/>
                    </w:rPr>
                    <w:t>1</w:t>
                  </w:r>
                </w:p>
              </w:tc>
              <w:tc>
                <w:tcPr>
                  <w:tcW w:w="2436" w:type="dxa"/>
                  <w:vAlign w:val="center"/>
                </w:tcPr>
                <w:p>
                  <w:pPr>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药用</w:t>
                  </w:r>
                </w:p>
              </w:tc>
              <w:tc>
                <w:tcPr>
                  <w:tcW w:w="3591" w:type="dxa"/>
                  <w:vAlign w:val="center"/>
                </w:tcPr>
                <w:p>
                  <w:pPr>
                    <w:pStyle w:val="19"/>
                    <w:jc w:val="center"/>
                    <w:rPr>
                      <w:szCs w:val="21"/>
                    </w:rPr>
                  </w:pPr>
                  <w:r>
                    <w:rPr>
                      <w:rFonts w:hint="eastAsia"/>
                      <w:szCs w:val="21"/>
                    </w:rPr>
                    <w:t>20万棵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blHeader/>
                <w:jc w:val="center"/>
              </w:trPr>
              <w:tc>
                <w:tcPr>
                  <w:tcW w:w="1420" w:type="dxa"/>
                  <w:vMerge w:val="continue"/>
                  <w:vAlign w:val="center"/>
                </w:tcPr>
                <w:p>
                  <w:pPr>
                    <w:pStyle w:val="19"/>
                    <w:jc w:val="center"/>
                    <w:rPr>
                      <w:szCs w:val="21"/>
                    </w:rPr>
                  </w:pPr>
                </w:p>
              </w:tc>
              <w:tc>
                <w:tcPr>
                  <w:tcW w:w="1268" w:type="dxa"/>
                  <w:vAlign w:val="center"/>
                </w:tcPr>
                <w:p>
                  <w:pPr>
                    <w:pStyle w:val="19"/>
                    <w:jc w:val="center"/>
                    <w:rPr>
                      <w:szCs w:val="21"/>
                    </w:rPr>
                  </w:pPr>
                  <w:r>
                    <w:rPr>
                      <w:szCs w:val="21"/>
                    </w:rPr>
                    <w:t>2</w:t>
                  </w:r>
                </w:p>
              </w:tc>
              <w:tc>
                <w:tcPr>
                  <w:tcW w:w="2436" w:type="dxa"/>
                  <w:vAlign w:val="center"/>
                </w:tcPr>
                <w:p>
                  <w:pPr>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观赏</w:t>
                  </w:r>
                </w:p>
              </w:tc>
              <w:tc>
                <w:tcPr>
                  <w:tcW w:w="3591" w:type="dxa"/>
                  <w:vAlign w:val="center"/>
                </w:tcPr>
                <w:p>
                  <w:pPr>
                    <w:pStyle w:val="19"/>
                    <w:jc w:val="center"/>
                    <w:rPr>
                      <w:szCs w:val="21"/>
                    </w:rPr>
                  </w:pPr>
                  <w:r>
                    <w:rPr>
                      <w:rFonts w:hint="eastAsia"/>
                      <w:szCs w:val="21"/>
                    </w:rPr>
                    <w:t>20万棵（实地观赏，主要在道路两侧）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420" w:type="dxa"/>
                  <w:vAlign w:val="center"/>
                </w:tcPr>
                <w:p>
                  <w:pPr>
                    <w:pStyle w:val="19"/>
                    <w:jc w:val="center"/>
                    <w:rPr>
                      <w:szCs w:val="21"/>
                    </w:rPr>
                  </w:pPr>
                  <w:r>
                    <w:rPr>
                      <w:szCs w:val="21"/>
                    </w:rPr>
                    <w:t>合计</w:t>
                  </w:r>
                </w:p>
              </w:tc>
              <w:tc>
                <w:tcPr>
                  <w:tcW w:w="7295" w:type="dxa"/>
                  <w:gridSpan w:val="3"/>
                  <w:vAlign w:val="center"/>
                </w:tcPr>
                <w:p>
                  <w:pPr>
                    <w:pStyle w:val="19"/>
                    <w:jc w:val="center"/>
                    <w:rPr>
                      <w:szCs w:val="21"/>
                    </w:rPr>
                  </w:pPr>
                  <w:r>
                    <w:rPr>
                      <w:rFonts w:hint="eastAsia"/>
                      <w:szCs w:val="21"/>
                    </w:rPr>
                    <w:t>40万棵</w:t>
                  </w:r>
                </w:p>
              </w:tc>
            </w:tr>
          </w:tbl>
          <w:p>
            <w:pPr>
              <w:spacing w:line="240" w:lineRule="auto"/>
              <w:ind w:firstLine="480"/>
              <w:rPr>
                <w:color w:val="auto"/>
                <w:szCs w:val="24"/>
                <w:u w:val="single"/>
              </w:rPr>
            </w:pPr>
          </w:p>
          <w:p>
            <w:pPr>
              <w:spacing w:line="240" w:lineRule="auto"/>
              <w:ind w:firstLine="480" w:firstLineChars="200"/>
              <w:rPr>
                <w:color w:val="auto"/>
                <w:szCs w:val="24"/>
                <w:u w:val="single"/>
              </w:rPr>
            </w:pPr>
            <w:r>
              <w:rPr>
                <w:color w:val="auto"/>
                <w:szCs w:val="24"/>
                <w:u w:val="single"/>
              </w:rPr>
              <w:t>4</w:t>
            </w:r>
            <w:r>
              <w:rPr>
                <w:rFonts w:hint="eastAsia"/>
                <w:color w:val="auto"/>
                <w:szCs w:val="24"/>
                <w:u w:val="single"/>
              </w:rPr>
              <w:t>、项目原有土地的使用情况</w:t>
            </w:r>
          </w:p>
          <w:p>
            <w:pPr>
              <w:spacing w:line="240" w:lineRule="auto"/>
              <w:ind w:firstLine="480"/>
              <w:jc w:val="center"/>
              <w:rPr>
                <w:color w:val="auto"/>
                <w:u w:val="single"/>
              </w:rPr>
            </w:pPr>
            <w:r>
              <w:rPr>
                <w:rFonts w:hint="eastAsia"/>
                <w:color w:val="auto"/>
                <w:u w:val="single"/>
              </w:rPr>
              <w:t>项目原有土地的使用情况一览表</w:t>
            </w:r>
          </w:p>
          <w:tbl>
            <w:tblPr>
              <w:tblStyle w:val="11"/>
              <w:tblW w:w="8660" w:type="dxa"/>
              <w:jc w:val="center"/>
              <w:tblInd w:w="8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872"/>
              <w:gridCol w:w="2691"/>
              <w:gridCol w:w="2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1401" w:type="dxa"/>
                  <w:vAlign w:val="center"/>
                </w:tcPr>
                <w:p>
                  <w:pPr>
                    <w:spacing w:line="240" w:lineRule="auto"/>
                    <w:jc w:val="center"/>
                    <w:rPr>
                      <w:color w:val="auto"/>
                      <w:sz w:val="21"/>
                      <w:szCs w:val="24"/>
                      <w:u w:val="single"/>
                    </w:rPr>
                  </w:pPr>
                  <w:r>
                    <w:rPr>
                      <w:rFonts w:hint="eastAsia"/>
                      <w:color w:val="auto"/>
                      <w:sz w:val="21"/>
                      <w:szCs w:val="24"/>
                      <w:u w:val="single"/>
                    </w:rPr>
                    <w:t>序号</w:t>
                  </w:r>
                </w:p>
              </w:tc>
              <w:tc>
                <w:tcPr>
                  <w:tcW w:w="1872" w:type="dxa"/>
                  <w:vAlign w:val="center"/>
                </w:tcPr>
                <w:p>
                  <w:pPr>
                    <w:spacing w:line="240" w:lineRule="auto"/>
                    <w:jc w:val="center"/>
                    <w:rPr>
                      <w:color w:val="auto"/>
                      <w:sz w:val="21"/>
                      <w:szCs w:val="24"/>
                      <w:u w:val="single"/>
                    </w:rPr>
                  </w:pPr>
                  <w:r>
                    <w:rPr>
                      <w:rFonts w:hint="eastAsia"/>
                      <w:color w:val="auto"/>
                      <w:sz w:val="21"/>
                      <w:szCs w:val="24"/>
                      <w:u w:val="single"/>
                    </w:rPr>
                    <w:t>用地类型</w:t>
                  </w:r>
                </w:p>
              </w:tc>
              <w:tc>
                <w:tcPr>
                  <w:tcW w:w="2691" w:type="dxa"/>
                  <w:vAlign w:val="center"/>
                </w:tcPr>
                <w:p>
                  <w:pPr>
                    <w:spacing w:line="240" w:lineRule="auto"/>
                    <w:jc w:val="center"/>
                    <w:rPr>
                      <w:color w:val="auto"/>
                      <w:sz w:val="21"/>
                      <w:szCs w:val="24"/>
                      <w:u w:val="single"/>
                    </w:rPr>
                  </w:pPr>
                  <w:r>
                    <w:rPr>
                      <w:rFonts w:hint="eastAsia"/>
                      <w:color w:val="auto"/>
                      <w:sz w:val="21"/>
                      <w:szCs w:val="24"/>
                      <w:u w:val="single"/>
                    </w:rPr>
                    <w:t>种植情况</w:t>
                  </w:r>
                </w:p>
              </w:tc>
              <w:tc>
                <w:tcPr>
                  <w:tcW w:w="2696" w:type="dxa"/>
                  <w:vAlign w:val="center"/>
                </w:tcPr>
                <w:p>
                  <w:pPr>
                    <w:spacing w:line="240" w:lineRule="auto"/>
                    <w:jc w:val="center"/>
                    <w:rPr>
                      <w:color w:val="auto"/>
                      <w:sz w:val="21"/>
                      <w:szCs w:val="24"/>
                      <w:u w:val="single"/>
                    </w:rPr>
                  </w:pPr>
                  <w:r>
                    <w:rPr>
                      <w:rFonts w:hint="eastAsia"/>
                      <w:color w:val="auto"/>
                      <w:sz w:val="21"/>
                      <w:szCs w:val="24"/>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1401" w:type="dxa"/>
                  <w:vAlign w:val="center"/>
                </w:tcPr>
                <w:p>
                  <w:pPr>
                    <w:spacing w:line="240" w:lineRule="auto"/>
                    <w:jc w:val="center"/>
                    <w:rPr>
                      <w:color w:val="auto"/>
                      <w:sz w:val="21"/>
                      <w:szCs w:val="24"/>
                      <w:u w:val="single"/>
                    </w:rPr>
                  </w:pPr>
                  <w:r>
                    <w:rPr>
                      <w:rFonts w:hint="eastAsia"/>
                      <w:color w:val="auto"/>
                      <w:sz w:val="21"/>
                      <w:szCs w:val="24"/>
                      <w:u w:val="single"/>
                    </w:rPr>
                    <w:t>1</w:t>
                  </w:r>
                </w:p>
              </w:tc>
              <w:tc>
                <w:tcPr>
                  <w:tcW w:w="1872" w:type="dxa"/>
                  <w:vAlign w:val="center"/>
                </w:tcPr>
                <w:p>
                  <w:pPr>
                    <w:spacing w:line="240" w:lineRule="auto"/>
                    <w:jc w:val="center"/>
                    <w:rPr>
                      <w:color w:val="auto"/>
                      <w:sz w:val="21"/>
                      <w:szCs w:val="24"/>
                      <w:u w:val="single"/>
                    </w:rPr>
                  </w:pPr>
                  <w:r>
                    <w:rPr>
                      <w:rFonts w:hint="eastAsia"/>
                      <w:color w:val="auto"/>
                      <w:sz w:val="21"/>
                      <w:szCs w:val="24"/>
                      <w:u w:val="single"/>
                    </w:rPr>
                    <w:t>山地</w:t>
                  </w:r>
                </w:p>
              </w:tc>
              <w:tc>
                <w:tcPr>
                  <w:tcW w:w="2691" w:type="dxa"/>
                  <w:vAlign w:val="center"/>
                </w:tcPr>
                <w:p>
                  <w:pPr>
                    <w:spacing w:line="240" w:lineRule="auto"/>
                    <w:jc w:val="center"/>
                    <w:rPr>
                      <w:color w:val="auto"/>
                      <w:sz w:val="21"/>
                      <w:szCs w:val="24"/>
                      <w:u w:val="single"/>
                    </w:rPr>
                  </w:pPr>
                  <w:r>
                    <w:rPr>
                      <w:rFonts w:hint="eastAsia"/>
                      <w:color w:val="auto"/>
                      <w:sz w:val="21"/>
                      <w:szCs w:val="24"/>
                      <w:u w:val="single"/>
                    </w:rPr>
                    <w:t>原种有松树、杉树、灌木等</w:t>
                  </w:r>
                </w:p>
              </w:tc>
              <w:tc>
                <w:tcPr>
                  <w:tcW w:w="2696" w:type="dxa"/>
                  <w:vAlign w:val="center"/>
                </w:tcPr>
                <w:p>
                  <w:pPr>
                    <w:spacing w:line="240" w:lineRule="auto"/>
                    <w:jc w:val="center"/>
                    <w:rPr>
                      <w:color w:val="auto"/>
                      <w:sz w:val="21"/>
                      <w:szCs w:val="24"/>
                      <w:u w:val="single"/>
                    </w:rPr>
                  </w:pPr>
                  <w:r>
                    <w:rPr>
                      <w:rFonts w:hint="eastAsia"/>
                      <w:color w:val="auto"/>
                      <w:sz w:val="21"/>
                      <w:szCs w:val="24"/>
                      <w:u w:val="single"/>
                    </w:rPr>
                    <w:t>近年发生大火、植物基本全被烧毁，现为荒山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1401" w:type="dxa"/>
                  <w:vAlign w:val="center"/>
                </w:tcPr>
                <w:p>
                  <w:pPr>
                    <w:spacing w:line="240" w:lineRule="auto"/>
                    <w:jc w:val="center"/>
                    <w:rPr>
                      <w:color w:val="auto"/>
                      <w:sz w:val="21"/>
                      <w:szCs w:val="24"/>
                      <w:u w:val="single"/>
                    </w:rPr>
                  </w:pPr>
                  <w:r>
                    <w:rPr>
                      <w:rFonts w:hint="eastAsia"/>
                      <w:color w:val="auto"/>
                      <w:sz w:val="21"/>
                      <w:szCs w:val="24"/>
                      <w:u w:val="single"/>
                    </w:rPr>
                    <w:t>2</w:t>
                  </w:r>
                </w:p>
              </w:tc>
              <w:tc>
                <w:tcPr>
                  <w:tcW w:w="1872" w:type="dxa"/>
                  <w:vAlign w:val="center"/>
                </w:tcPr>
                <w:p>
                  <w:pPr>
                    <w:spacing w:line="240" w:lineRule="auto"/>
                    <w:jc w:val="center"/>
                    <w:rPr>
                      <w:color w:val="auto"/>
                      <w:sz w:val="21"/>
                      <w:szCs w:val="24"/>
                      <w:u w:val="single"/>
                    </w:rPr>
                  </w:pPr>
                  <w:r>
                    <w:rPr>
                      <w:rFonts w:hint="eastAsia"/>
                      <w:color w:val="auto"/>
                      <w:sz w:val="21"/>
                      <w:szCs w:val="24"/>
                      <w:u w:val="single"/>
                    </w:rPr>
                    <w:t>农田</w:t>
                  </w:r>
                </w:p>
              </w:tc>
              <w:tc>
                <w:tcPr>
                  <w:tcW w:w="2691" w:type="dxa"/>
                  <w:vAlign w:val="center"/>
                </w:tcPr>
                <w:p>
                  <w:pPr>
                    <w:spacing w:line="240" w:lineRule="auto"/>
                    <w:jc w:val="center"/>
                    <w:rPr>
                      <w:color w:val="auto"/>
                      <w:sz w:val="21"/>
                      <w:szCs w:val="24"/>
                      <w:u w:val="single"/>
                    </w:rPr>
                  </w:pPr>
                  <w:r>
                    <w:rPr>
                      <w:rFonts w:hint="eastAsia"/>
                      <w:color w:val="auto"/>
                      <w:sz w:val="21"/>
                      <w:szCs w:val="24"/>
                      <w:u w:val="single"/>
                    </w:rPr>
                    <w:t>杂草</w:t>
                  </w:r>
                </w:p>
              </w:tc>
              <w:tc>
                <w:tcPr>
                  <w:tcW w:w="2696" w:type="dxa"/>
                  <w:vAlign w:val="center"/>
                </w:tcPr>
                <w:p>
                  <w:pPr>
                    <w:spacing w:line="240" w:lineRule="auto"/>
                    <w:jc w:val="center"/>
                    <w:rPr>
                      <w:color w:val="auto"/>
                      <w:sz w:val="21"/>
                      <w:szCs w:val="24"/>
                      <w:u w:val="single"/>
                    </w:rPr>
                  </w:pPr>
                  <w:r>
                    <w:rPr>
                      <w:rFonts w:hint="eastAsia"/>
                      <w:color w:val="auto"/>
                      <w:sz w:val="21"/>
                      <w:szCs w:val="24"/>
                      <w:u w:val="single"/>
                    </w:rPr>
                    <w:t>农田因缺少水源，20年以上无人耕种</w:t>
                  </w:r>
                </w:p>
              </w:tc>
            </w:tr>
          </w:tbl>
          <w:p>
            <w:pPr>
              <w:spacing w:line="240" w:lineRule="auto"/>
              <w:ind w:firstLine="480"/>
              <w:jc w:val="center"/>
              <w:rPr>
                <w:color w:val="auto"/>
                <w:szCs w:val="24"/>
                <w:u w:val="single"/>
              </w:rPr>
            </w:pPr>
          </w:p>
        </w:tc>
      </w:tr>
    </w:tbl>
    <w:p>
      <w:pPr>
        <w:rPr>
          <w:rFonts w:ascii="宋体" w:hAnsi="宋体"/>
          <w:szCs w:val="28"/>
        </w:rPr>
        <w:sectPr>
          <w:footerReference r:id="rId3" w:type="default"/>
          <w:pgSz w:w="11906" w:h="16838"/>
          <w:pgMar w:top="1440" w:right="1800" w:bottom="1440" w:left="1800" w:header="851" w:footer="992" w:gutter="0"/>
          <w:pgNumType w:start="1"/>
          <w:cols w:space="425" w:num="1"/>
          <w:docGrid w:type="lines" w:linePitch="312" w:charSpace="0"/>
        </w:sectPr>
      </w:pPr>
    </w:p>
    <w:p>
      <w:pPr>
        <w:rPr>
          <w:rFonts w:ascii="宋体" w:hAnsi="宋体"/>
          <w:szCs w:val="28"/>
        </w:rPr>
      </w:pPr>
    </w:p>
    <w:tbl>
      <w:tblPr>
        <w:tblStyle w:val="11"/>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931" w:type="dxa"/>
            <w:tcBorders>
              <w:top w:val="single" w:color="auto" w:sz="12" w:space="0"/>
              <w:left w:val="single" w:color="auto" w:sz="12" w:space="0"/>
              <w:bottom w:val="single" w:color="auto" w:sz="12" w:space="0"/>
              <w:right w:val="single" w:color="auto" w:sz="12" w:space="0"/>
            </w:tcBorders>
          </w:tcPr>
          <w:p>
            <w:pPr>
              <w:ind w:firstLine="480" w:firstLineChars="200"/>
              <w:rPr>
                <w:rFonts w:ascii="宋体" w:hAnsi="宋体"/>
                <w:color w:val="auto"/>
                <w:szCs w:val="24"/>
              </w:rPr>
            </w:pPr>
            <w:r>
              <w:rPr>
                <w:rFonts w:hint="eastAsia" w:ascii="宋体" w:hAnsi="宋体"/>
                <w:color w:val="auto"/>
                <w:szCs w:val="24"/>
              </w:rPr>
              <w:t>4、主要设备</w:t>
            </w:r>
          </w:p>
          <w:p>
            <w:pPr>
              <w:ind w:firstLine="495"/>
              <w:rPr>
                <w:rFonts w:ascii="宋体" w:hAnsi="宋体"/>
                <w:color w:val="auto"/>
                <w:szCs w:val="24"/>
              </w:rPr>
            </w:pPr>
            <w:r>
              <w:rPr>
                <w:rFonts w:hint="eastAsia" w:ascii="宋体" w:hAnsi="宋体"/>
                <w:color w:val="auto"/>
                <w:szCs w:val="24"/>
              </w:rPr>
              <w:t>见表1-3</w:t>
            </w:r>
          </w:p>
          <w:p>
            <w:pPr>
              <w:pStyle w:val="7"/>
              <w:spacing w:after="0"/>
              <w:ind w:left="0" w:leftChars="0"/>
              <w:jc w:val="center"/>
              <w:rPr>
                <w:rFonts w:ascii="Times New Roman" w:hAnsi="Times New Roman"/>
                <w:b/>
                <w:sz w:val="24"/>
                <w:szCs w:val="24"/>
              </w:rPr>
            </w:pPr>
            <w:r>
              <w:rPr>
                <w:rFonts w:ascii="Times New Roman" w:hAnsi="Times New Roman"/>
                <w:b/>
                <w:sz w:val="24"/>
                <w:szCs w:val="24"/>
              </w:rPr>
              <w:t>表1-</w:t>
            </w:r>
            <w:r>
              <w:rPr>
                <w:rFonts w:hint="eastAsia" w:ascii="Times New Roman" w:hAnsi="Times New Roman"/>
                <w:b/>
                <w:sz w:val="24"/>
                <w:szCs w:val="24"/>
              </w:rPr>
              <w:t>4</w:t>
            </w:r>
            <w:r>
              <w:rPr>
                <w:rFonts w:ascii="Times New Roman" w:hAnsi="Times New Roman"/>
                <w:b/>
                <w:sz w:val="24"/>
                <w:szCs w:val="24"/>
              </w:rPr>
              <w:t xml:space="preserve"> 主要生产设备一览表 </w:t>
            </w:r>
          </w:p>
          <w:tbl>
            <w:tblPr>
              <w:tblStyle w:val="11"/>
              <w:tblW w:w="703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3062"/>
              <w:gridCol w:w="1447"/>
              <w:gridCol w:w="14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9" w:hRule="exact"/>
                <w:jc w:val="center"/>
              </w:trPr>
              <w:tc>
                <w:tcPr>
                  <w:tcW w:w="1076" w:type="dxa"/>
                </w:tcPr>
                <w:p>
                  <w:pPr>
                    <w:spacing w:line="240" w:lineRule="auto"/>
                    <w:jc w:val="center"/>
                    <w:rPr>
                      <w:rFonts w:ascii="Times New Roman" w:hAnsi="Times New Roman" w:cs="Times New Roman"/>
                      <w:b/>
                      <w:color w:val="auto"/>
                      <w:sz w:val="21"/>
                    </w:rPr>
                  </w:pPr>
                  <w:r>
                    <w:rPr>
                      <w:rFonts w:ascii="Times New Roman" w:hAnsi="Times New Roman" w:cs="Times New Roman"/>
                      <w:b/>
                      <w:color w:val="auto"/>
                      <w:sz w:val="21"/>
                    </w:rPr>
                    <w:t>序号</w:t>
                  </w:r>
                </w:p>
              </w:tc>
              <w:tc>
                <w:tcPr>
                  <w:tcW w:w="3062" w:type="dxa"/>
                </w:tcPr>
                <w:p>
                  <w:pPr>
                    <w:spacing w:line="240" w:lineRule="auto"/>
                    <w:jc w:val="center"/>
                    <w:rPr>
                      <w:rFonts w:ascii="Times New Roman" w:hAnsi="Times New Roman" w:cs="Times New Roman"/>
                      <w:b/>
                      <w:color w:val="auto"/>
                      <w:sz w:val="21"/>
                    </w:rPr>
                  </w:pPr>
                  <w:r>
                    <w:rPr>
                      <w:rFonts w:ascii="Times New Roman" w:hAnsi="Times New Roman" w:cs="Times New Roman"/>
                      <w:b/>
                      <w:color w:val="auto"/>
                      <w:sz w:val="21"/>
                    </w:rPr>
                    <w:t>设备名称</w:t>
                  </w:r>
                </w:p>
              </w:tc>
              <w:tc>
                <w:tcPr>
                  <w:tcW w:w="1447" w:type="dxa"/>
                </w:tcPr>
                <w:p>
                  <w:pPr>
                    <w:spacing w:line="240" w:lineRule="auto"/>
                    <w:jc w:val="center"/>
                    <w:rPr>
                      <w:rFonts w:ascii="Times New Roman" w:hAnsi="Times New Roman" w:cs="Times New Roman"/>
                      <w:b/>
                      <w:color w:val="auto"/>
                      <w:sz w:val="21"/>
                    </w:rPr>
                  </w:pPr>
                  <w:r>
                    <w:rPr>
                      <w:rFonts w:ascii="Times New Roman" w:hAnsi="Times New Roman" w:cs="Times New Roman"/>
                      <w:b/>
                      <w:color w:val="auto"/>
                      <w:sz w:val="21"/>
                    </w:rPr>
                    <w:t>数量</w:t>
                  </w:r>
                </w:p>
              </w:tc>
              <w:tc>
                <w:tcPr>
                  <w:tcW w:w="1447" w:type="dxa"/>
                </w:tcPr>
                <w:p>
                  <w:pPr>
                    <w:spacing w:line="240" w:lineRule="auto"/>
                    <w:jc w:val="center"/>
                    <w:rPr>
                      <w:rFonts w:ascii="Times New Roman" w:hAnsi="Times New Roman" w:cs="Times New Roman"/>
                      <w:b/>
                      <w:color w:val="auto"/>
                      <w:sz w:val="21"/>
                    </w:rPr>
                  </w:pPr>
                  <w:r>
                    <w:rPr>
                      <w:rFonts w:hint="eastAsia" w:ascii="Times New Roman" w:hAnsi="Times New Roman" w:cs="Times New Roman"/>
                      <w:b/>
                      <w:color w:val="auto"/>
                      <w:sz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9" w:hRule="exact"/>
                <w:jc w:val="center"/>
              </w:trPr>
              <w:tc>
                <w:tcPr>
                  <w:tcW w:w="1076" w:type="dxa"/>
                </w:tcPr>
                <w:p>
                  <w:pPr>
                    <w:spacing w:line="240" w:lineRule="auto"/>
                    <w:jc w:val="center"/>
                    <w:rPr>
                      <w:rFonts w:ascii="Times New Roman" w:hAnsi="Times New Roman" w:cs="Times New Roman"/>
                      <w:color w:val="auto"/>
                      <w:sz w:val="21"/>
                    </w:rPr>
                  </w:pPr>
                  <w:r>
                    <w:rPr>
                      <w:rFonts w:ascii="Times New Roman" w:hAnsi="Times New Roman" w:cs="Times New Roman"/>
                      <w:color w:val="auto"/>
                      <w:sz w:val="21"/>
                    </w:rPr>
                    <w:t>1</w:t>
                  </w:r>
                </w:p>
              </w:tc>
              <w:tc>
                <w:tcPr>
                  <w:tcW w:w="3062" w:type="dxa"/>
                </w:tcPr>
                <w:p>
                  <w:pPr>
                    <w:spacing w:line="240" w:lineRule="auto"/>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喷雾器</w:t>
                  </w:r>
                </w:p>
              </w:tc>
              <w:tc>
                <w:tcPr>
                  <w:tcW w:w="1447" w:type="dxa"/>
                </w:tcPr>
                <w:p>
                  <w:pPr>
                    <w:spacing w:line="240" w:lineRule="auto"/>
                    <w:jc w:val="center"/>
                    <w:rPr>
                      <w:rFonts w:ascii="Times New Roman" w:hAnsi="Times New Roman" w:eastAsia="宋体" w:cs="Times New Roman"/>
                      <w:color w:val="auto"/>
                      <w:sz w:val="21"/>
                    </w:rPr>
                  </w:pPr>
                  <w:r>
                    <w:rPr>
                      <w:rFonts w:hint="eastAsia" w:ascii="Times New Roman" w:hAnsi="Times New Roman" w:cs="Times New Roman"/>
                      <w:color w:val="auto"/>
                      <w:sz w:val="21"/>
                    </w:rPr>
                    <w:t>10套</w:t>
                  </w:r>
                </w:p>
              </w:tc>
              <w:tc>
                <w:tcPr>
                  <w:tcW w:w="1447" w:type="dxa"/>
                </w:tcPr>
                <w:p>
                  <w:pPr>
                    <w:spacing w:line="240" w:lineRule="auto"/>
                    <w:jc w:val="center"/>
                    <w:rPr>
                      <w:rFonts w:ascii="Times New Roman" w:hAnsi="Times New Roman" w:cs="Times New Roman"/>
                      <w:color w:val="auto"/>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9" w:hRule="exact"/>
                <w:jc w:val="center"/>
              </w:trPr>
              <w:tc>
                <w:tcPr>
                  <w:tcW w:w="1076" w:type="dxa"/>
                </w:tcPr>
                <w:p>
                  <w:pPr>
                    <w:spacing w:line="240" w:lineRule="auto"/>
                    <w:jc w:val="center"/>
                    <w:rPr>
                      <w:rFonts w:ascii="Times New Roman" w:hAnsi="Times New Roman" w:cs="Times New Roman"/>
                      <w:color w:val="auto"/>
                      <w:sz w:val="21"/>
                    </w:rPr>
                  </w:pPr>
                  <w:r>
                    <w:rPr>
                      <w:rFonts w:ascii="Times New Roman" w:hAnsi="Times New Roman" w:cs="Times New Roman"/>
                      <w:color w:val="auto"/>
                      <w:sz w:val="21"/>
                    </w:rPr>
                    <w:t>2</w:t>
                  </w:r>
                </w:p>
              </w:tc>
              <w:tc>
                <w:tcPr>
                  <w:tcW w:w="3062" w:type="dxa"/>
                </w:tcPr>
                <w:p>
                  <w:pPr>
                    <w:spacing w:line="240" w:lineRule="auto"/>
                    <w:jc w:val="center"/>
                    <w:rPr>
                      <w:rFonts w:ascii="Times New Roman" w:hAnsi="Times New Roman" w:eastAsia="宋体" w:cs="Times New Roman"/>
                      <w:color w:val="auto"/>
                      <w:sz w:val="21"/>
                    </w:rPr>
                  </w:pPr>
                  <w:r>
                    <w:rPr>
                      <w:rFonts w:hint="eastAsia" w:ascii="Times New Roman" w:hAnsi="Times New Roman" w:cs="Times New Roman"/>
                      <w:color w:val="auto"/>
                      <w:sz w:val="21"/>
                    </w:rPr>
                    <w:t>锄头</w:t>
                  </w:r>
                </w:p>
              </w:tc>
              <w:tc>
                <w:tcPr>
                  <w:tcW w:w="1447" w:type="dxa"/>
                </w:tcPr>
                <w:p>
                  <w:pPr>
                    <w:spacing w:line="240" w:lineRule="auto"/>
                    <w:jc w:val="center"/>
                    <w:rPr>
                      <w:rFonts w:ascii="Times New Roman" w:hAnsi="Times New Roman" w:eastAsia="宋体" w:cs="Times New Roman"/>
                      <w:color w:val="auto"/>
                      <w:sz w:val="21"/>
                    </w:rPr>
                  </w:pPr>
                  <w:r>
                    <w:rPr>
                      <w:rFonts w:hint="eastAsia" w:ascii="Times New Roman" w:hAnsi="Times New Roman" w:cs="Times New Roman"/>
                      <w:color w:val="auto"/>
                      <w:sz w:val="21"/>
                    </w:rPr>
                    <w:t>若干</w:t>
                  </w:r>
                </w:p>
              </w:tc>
              <w:tc>
                <w:tcPr>
                  <w:tcW w:w="1447" w:type="dxa"/>
                </w:tcPr>
                <w:p>
                  <w:pPr>
                    <w:spacing w:line="240" w:lineRule="auto"/>
                    <w:jc w:val="center"/>
                    <w:rPr>
                      <w:rFonts w:ascii="Times New Roman" w:hAnsi="Times New Roman" w:cs="Times New Roman"/>
                      <w:color w:val="auto"/>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9" w:hRule="exact"/>
                <w:jc w:val="center"/>
              </w:trPr>
              <w:tc>
                <w:tcPr>
                  <w:tcW w:w="1076" w:type="dxa"/>
                </w:tcPr>
                <w:p>
                  <w:pPr>
                    <w:spacing w:line="240" w:lineRule="auto"/>
                    <w:jc w:val="center"/>
                    <w:rPr>
                      <w:rFonts w:ascii="Times New Roman" w:hAnsi="Times New Roman" w:cs="Times New Roman"/>
                      <w:color w:val="auto"/>
                      <w:sz w:val="21"/>
                    </w:rPr>
                  </w:pPr>
                  <w:r>
                    <w:rPr>
                      <w:rFonts w:ascii="Times New Roman" w:hAnsi="Times New Roman" w:cs="Times New Roman"/>
                      <w:color w:val="auto"/>
                      <w:sz w:val="21"/>
                    </w:rPr>
                    <w:t>3</w:t>
                  </w:r>
                </w:p>
              </w:tc>
              <w:tc>
                <w:tcPr>
                  <w:tcW w:w="3062" w:type="dxa"/>
                </w:tcPr>
                <w:p>
                  <w:pPr>
                    <w:spacing w:line="240" w:lineRule="auto"/>
                    <w:jc w:val="center"/>
                    <w:rPr>
                      <w:rFonts w:ascii="Times New Roman" w:hAnsi="Times New Roman" w:eastAsia="宋体" w:cs="Times New Roman"/>
                      <w:color w:val="auto"/>
                      <w:sz w:val="21"/>
                    </w:rPr>
                  </w:pPr>
                  <w:r>
                    <w:rPr>
                      <w:rFonts w:hint="eastAsia" w:ascii="Times New Roman" w:hAnsi="Times New Roman" w:cs="Times New Roman"/>
                      <w:color w:val="auto"/>
                      <w:sz w:val="21"/>
                    </w:rPr>
                    <w:t>水泵水管</w:t>
                  </w:r>
                </w:p>
              </w:tc>
              <w:tc>
                <w:tcPr>
                  <w:tcW w:w="1447" w:type="dxa"/>
                </w:tcPr>
                <w:p>
                  <w:pPr>
                    <w:spacing w:line="240" w:lineRule="auto"/>
                    <w:jc w:val="center"/>
                    <w:rPr>
                      <w:rFonts w:ascii="Times New Roman" w:hAnsi="Times New Roman" w:eastAsia="宋体" w:cs="Times New Roman"/>
                      <w:color w:val="auto"/>
                      <w:sz w:val="21"/>
                    </w:rPr>
                  </w:pPr>
                  <w:r>
                    <w:rPr>
                      <w:rFonts w:hint="eastAsia" w:ascii="Times New Roman" w:hAnsi="Times New Roman" w:cs="Times New Roman"/>
                      <w:color w:val="auto"/>
                      <w:sz w:val="21"/>
                    </w:rPr>
                    <w:t>10台套</w:t>
                  </w:r>
                </w:p>
              </w:tc>
              <w:tc>
                <w:tcPr>
                  <w:tcW w:w="1447" w:type="dxa"/>
                </w:tcPr>
                <w:p>
                  <w:pPr>
                    <w:spacing w:line="240" w:lineRule="auto"/>
                    <w:jc w:val="center"/>
                    <w:rPr>
                      <w:rFonts w:ascii="Times New Roman" w:hAnsi="Times New Roman" w:cs="Times New Roman"/>
                      <w:color w:val="auto"/>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9" w:hRule="exact"/>
                <w:jc w:val="center"/>
              </w:trPr>
              <w:tc>
                <w:tcPr>
                  <w:tcW w:w="1076" w:type="dxa"/>
                </w:tcPr>
                <w:p>
                  <w:pPr>
                    <w:spacing w:line="240" w:lineRule="auto"/>
                    <w:jc w:val="center"/>
                    <w:rPr>
                      <w:rFonts w:ascii="Times New Roman" w:hAnsi="Times New Roman" w:cs="Times New Roman"/>
                      <w:color w:val="auto"/>
                      <w:sz w:val="21"/>
                    </w:rPr>
                  </w:pPr>
                  <w:r>
                    <w:rPr>
                      <w:rFonts w:ascii="Times New Roman" w:hAnsi="Times New Roman" w:cs="Times New Roman"/>
                      <w:color w:val="auto"/>
                      <w:sz w:val="21"/>
                    </w:rPr>
                    <w:t>4</w:t>
                  </w:r>
                </w:p>
              </w:tc>
              <w:tc>
                <w:tcPr>
                  <w:tcW w:w="3062" w:type="dxa"/>
                </w:tcPr>
                <w:p>
                  <w:pPr>
                    <w:spacing w:line="240" w:lineRule="auto"/>
                    <w:jc w:val="center"/>
                    <w:rPr>
                      <w:rFonts w:ascii="Times New Roman" w:hAnsi="Times New Roman" w:eastAsia="宋体" w:cs="Times New Roman"/>
                      <w:color w:val="auto"/>
                      <w:sz w:val="21"/>
                    </w:rPr>
                  </w:pPr>
                  <w:r>
                    <w:rPr>
                      <w:rFonts w:hint="eastAsia" w:ascii="Times New Roman" w:hAnsi="Times New Roman" w:cs="Times New Roman"/>
                      <w:color w:val="auto"/>
                      <w:sz w:val="21"/>
                    </w:rPr>
                    <w:t>手推车</w:t>
                  </w:r>
                </w:p>
              </w:tc>
              <w:tc>
                <w:tcPr>
                  <w:tcW w:w="1447" w:type="dxa"/>
                </w:tcPr>
                <w:p>
                  <w:pPr>
                    <w:spacing w:line="240" w:lineRule="auto"/>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8辆</w:t>
                  </w:r>
                </w:p>
              </w:tc>
              <w:tc>
                <w:tcPr>
                  <w:tcW w:w="1447" w:type="dxa"/>
                </w:tcPr>
                <w:p>
                  <w:pPr>
                    <w:spacing w:line="240" w:lineRule="auto"/>
                    <w:jc w:val="center"/>
                    <w:rPr>
                      <w:rFonts w:ascii="Times New Roman" w:hAnsi="Times New Roman" w:eastAsia="宋体" w:cs="Times New Roman"/>
                      <w:color w:val="auto"/>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9" w:hRule="exact"/>
                <w:jc w:val="center"/>
              </w:trPr>
              <w:tc>
                <w:tcPr>
                  <w:tcW w:w="1076" w:type="dxa"/>
                </w:tcPr>
                <w:p>
                  <w:pPr>
                    <w:spacing w:line="240" w:lineRule="auto"/>
                    <w:jc w:val="center"/>
                    <w:rPr>
                      <w:rFonts w:ascii="Times New Roman" w:hAnsi="Times New Roman" w:eastAsia="宋体" w:cs="Times New Roman"/>
                      <w:color w:val="auto"/>
                      <w:sz w:val="21"/>
                    </w:rPr>
                  </w:pPr>
                  <w:r>
                    <w:rPr>
                      <w:rFonts w:hint="eastAsia" w:ascii="Times New Roman" w:hAnsi="Times New Roman" w:cs="Times New Roman"/>
                      <w:color w:val="auto"/>
                      <w:sz w:val="21"/>
                    </w:rPr>
                    <w:t>5</w:t>
                  </w:r>
                </w:p>
              </w:tc>
              <w:tc>
                <w:tcPr>
                  <w:tcW w:w="3062" w:type="dxa"/>
                </w:tcPr>
                <w:p>
                  <w:pPr>
                    <w:spacing w:line="240" w:lineRule="auto"/>
                    <w:jc w:val="center"/>
                    <w:rPr>
                      <w:rFonts w:ascii="Times New Roman" w:hAnsi="Times New Roman" w:eastAsia="宋体" w:cs="Times New Roman"/>
                      <w:color w:val="auto"/>
                      <w:sz w:val="21"/>
                    </w:rPr>
                  </w:pPr>
                  <w:r>
                    <w:rPr>
                      <w:rFonts w:hint="eastAsia" w:ascii="Times New Roman" w:hAnsi="Times New Roman" w:cs="Times New Roman"/>
                      <w:color w:val="auto"/>
                      <w:sz w:val="21"/>
                    </w:rPr>
                    <w:t>运输车</w:t>
                  </w:r>
                </w:p>
              </w:tc>
              <w:tc>
                <w:tcPr>
                  <w:tcW w:w="1447" w:type="dxa"/>
                </w:tcPr>
                <w:p>
                  <w:pPr>
                    <w:spacing w:line="240" w:lineRule="auto"/>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2台</w:t>
                  </w:r>
                </w:p>
              </w:tc>
              <w:tc>
                <w:tcPr>
                  <w:tcW w:w="1447" w:type="dxa"/>
                </w:tcPr>
                <w:p>
                  <w:pPr>
                    <w:spacing w:line="240" w:lineRule="auto"/>
                    <w:jc w:val="center"/>
                    <w:rPr>
                      <w:rFonts w:ascii="Times New Roman" w:hAnsi="Times New Roman" w:eastAsia="宋体" w:cs="Times New Roman"/>
                      <w:color w:val="auto"/>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9" w:hRule="exact"/>
                <w:jc w:val="center"/>
              </w:trPr>
              <w:tc>
                <w:tcPr>
                  <w:tcW w:w="1076" w:type="dxa"/>
                </w:tcPr>
                <w:p>
                  <w:pPr>
                    <w:spacing w:line="240" w:lineRule="auto"/>
                    <w:jc w:val="center"/>
                    <w:rPr>
                      <w:rFonts w:ascii="Times New Roman" w:hAnsi="Times New Roman" w:eastAsia="宋体" w:cs="Times New Roman"/>
                      <w:color w:val="auto"/>
                      <w:sz w:val="21"/>
                    </w:rPr>
                  </w:pPr>
                  <w:r>
                    <w:rPr>
                      <w:rFonts w:hint="eastAsia" w:ascii="Times New Roman" w:hAnsi="Times New Roman" w:cs="Times New Roman"/>
                      <w:color w:val="auto"/>
                      <w:sz w:val="21"/>
                    </w:rPr>
                    <w:t>6</w:t>
                  </w:r>
                </w:p>
              </w:tc>
              <w:tc>
                <w:tcPr>
                  <w:tcW w:w="3062" w:type="dxa"/>
                </w:tcPr>
                <w:p>
                  <w:pPr>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手提桶</w:t>
                  </w:r>
                </w:p>
              </w:tc>
              <w:tc>
                <w:tcPr>
                  <w:tcW w:w="1447" w:type="dxa"/>
                </w:tcPr>
                <w:p>
                  <w:pPr>
                    <w:spacing w:line="240" w:lineRule="auto"/>
                    <w:jc w:val="center"/>
                    <w:rPr>
                      <w:rFonts w:ascii="Times New Roman" w:hAnsi="Times New Roman" w:eastAsia="宋体" w:cs="Times New Roman"/>
                      <w:color w:val="auto"/>
                      <w:sz w:val="21"/>
                    </w:rPr>
                  </w:pPr>
                  <w:r>
                    <w:rPr>
                      <w:rFonts w:hint="eastAsia" w:ascii="Times New Roman" w:hAnsi="Times New Roman" w:cs="Times New Roman"/>
                      <w:color w:val="auto"/>
                      <w:sz w:val="21"/>
                    </w:rPr>
                    <w:t>若干</w:t>
                  </w:r>
                </w:p>
              </w:tc>
              <w:tc>
                <w:tcPr>
                  <w:tcW w:w="1447" w:type="dxa"/>
                </w:tcPr>
                <w:p>
                  <w:pPr>
                    <w:spacing w:line="240" w:lineRule="auto"/>
                    <w:jc w:val="center"/>
                    <w:rPr>
                      <w:rFonts w:ascii="Times New Roman" w:hAnsi="Times New Roman" w:cs="Times New Roman"/>
                      <w:color w:val="auto"/>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9" w:hRule="exact"/>
                <w:jc w:val="center"/>
              </w:trPr>
              <w:tc>
                <w:tcPr>
                  <w:tcW w:w="1076" w:type="dxa"/>
                </w:tcPr>
                <w:p>
                  <w:pPr>
                    <w:spacing w:line="240" w:lineRule="auto"/>
                    <w:jc w:val="center"/>
                    <w:rPr>
                      <w:rFonts w:ascii="Times New Roman" w:hAnsi="Times New Roman" w:eastAsia="宋体" w:cs="Times New Roman"/>
                      <w:color w:val="auto"/>
                      <w:sz w:val="21"/>
                    </w:rPr>
                  </w:pPr>
                  <w:r>
                    <w:rPr>
                      <w:rFonts w:hint="eastAsia" w:ascii="Times New Roman" w:hAnsi="Times New Roman" w:cs="Times New Roman"/>
                      <w:color w:val="auto"/>
                      <w:sz w:val="21"/>
                    </w:rPr>
                    <w:t>7</w:t>
                  </w:r>
                </w:p>
              </w:tc>
              <w:tc>
                <w:tcPr>
                  <w:tcW w:w="3062" w:type="dxa"/>
                </w:tcPr>
                <w:p>
                  <w:pPr>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备用发电机</w:t>
                  </w:r>
                </w:p>
              </w:tc>
              <w:tc>
                <w:tcPr>
                  <w:tcW w:w="1447" w:type="dxa"/>
                </w:tcPr>
                <w:p>
                  <w:pPr>
                    <w:spacing w:line="240" w:lineRule="auto"/>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10KW</w:t>
                  </w:r>
                </w:p>
              </w:tc>
              <w:tc>
                <w:tcPr>
                  <w:tcW w:w="1447" w:type="dxa"/>
                </w:tcPr>
                <w:p>
                  <w:pPr>
                    <w:spacing w:line="240" w:lineRule="auto"/>
                    <w:jc w:val="center"/>
                    <w:rPr>
                      <w:rFonts w:ascii="Times New Roman" w:hAnsi="Times New Roman" w:eastAsia="宋体" w:cs="Times New Roman"/>
                      <w:color w:val="auto"/>
                      <w:sz w:val="21"/>
                    </w:rPr>
                  </w:pPr>
                </w:p>
              </w:tc>
            </w:tr>
          </w:tbl>
          <w:p>
            <w:pPr>
              <w:spacing w:line="240" w:lineRule="auto"/>
              <w:ind w:firstLine="495"/>
              <w:jc w:val="center"/>
              <w:rPr>
                <w:rFonts w:ascii="宋体" w:hAnsi="宋体"/>
                <w:color w:val="auto"/>
                <w:szCs w:val="24"/>
              </w:rPr>
            </w:pPr>
          </w:p>
          <w:p>
            <w:pPr>
              <w:ind w:firstLine="493"/>
              <w:rPr>
                <w:rFonts w:ascii="宋体" w:hAnsi="宋体"/>
                <w:color w:val="auto"/>
                <w:szCs w:val="24"/>
              </w:rPr>
            </w:pPr>
            <w:r>
              <w:rPr>
                <w:rFonts w:hint="eastAsia" w:ascii="宋体" w:hAnsi="宋体"/>
                <w:color w:val="auto"/>
                <w:szCs w:val="24"/>
              </w:rPr>
              <w:t>5、公用配套设施</w:t>
            </w:r>
          </w:p>
          <w:p>
            <w:pPr>
              <w:ind w:firstLine="493"/>
              <w:rPr>
                <w:rFonts w:ascii="宋体" w:hAnsi="宋体"/>
                <w:color w:val="auto"/>
                <w:szCs w:val="24"/>
              </w:rPr>
            </w:pPr>
            <w:r>
              <w:rPr>
                <w:rFonts w:hint="eastAsia" w:ascii="宋体" w:hAnsi="宋体"/>
                <w:color w:val="auto"/>
                <w:szCs w:val="24"/>
              </w:rPr>
              <w:t>（1）供能：本项目生产生活用电由市政电网供电，年用电约1200度。</w:t>
            </w:r>
          </w:p>
          <w:p>
            <w:pPr>
              <w:ind w:firstLine="493"/>
              <w:rPr>
                <w:rFonts w:ascii="宋体" w:hAnsi="宋体"/>
                <w:color w:val="auto"/>
                <w:szCs w:val="24"/>
              </w:rPr>
            </w:pPr>
            <w:r>
              <w:rPr>
                <w:rFonts w:hint="eastAsia" w:ascii="宋体" w:hAnsi="宋体"/>
                <w:color w:val="auto"/>
                <w:szCs w:val="24"/>
              </w:rPr>
              <w:t>（2）供水：供水主要是牡丹种植培育用水和生活用水等。用水量约7</w:t>
            </w:r>
            <w:r>
              <w:rPr>
                <w:rFonts w:ascii="宋体" w:hAnsi="宋体"/>
                <w:color w:val="auto"/>
                <w:szCs w:val="24"/>
              </w:rPr>
              <w:t>00t/a</w:t>
            </w:r>
            <w:r>
              <w:rPr>
                <w:rFonts w:hint="eastAsia" w:ascii="宋体" w:hAnsi="宋体"/>
                <w:color w:val="auto"/>
                <w:szCs w:val="24"/>
              </w:rPr>
              <w:t>，取水来源于地下水。</w:t>
            </w:r>
          </w:p>
          <w:p>
            <w:pPr>
              <w:ind w:firstLine="493"/>
              <w:rPr>
                <w:rFonts w:ascii="宋体" w:hAnsi="宋体"/>
                <w:color w:val="auto"/>
                <w:szCs w:val="24"/>
              </w:rPr>
            </w:pPr>
            <w:r>
              <w:rPr>
                <w:rFonts w:hint="eastAsia" w:ascii="宋体" w:hAnsi="宋体"/>
                <w:color w:val="auto"/>
                <w:szCs w:val="24"/>
              </w:rPr>
              <w:t>（3）排水：本项目排水实行雨污分流制。生活污水经化粪池处理后用于基地内农作物施肥；场区雨水通过雨水沟流入沉淀收集池收集后用于牡丹种植培育。</w:t>
            </w:r>
          </w:p>
          <w:p>
            <w:pPr>
              <w:ind w:firstLine="493"/>
              <w:rPr>
                <w:rFonts w:ascii="宋体" w:hAnsi="宋体"/>
                <w:color w:val="auto"/>
                <w:szCs w:val="24"/>
              </w:rPr>
            </w:pPr>
            <w:r>
              <w:rPr>
                <w:rFonts w:hint="eastAsia" w:ascii="宋体" w:hAnsi="宋体"/>
                <w:color w:val="auto"/>
                <w:szCs w:val="24"/>
              </w:rPr>
              <w:t>6、职工人数、工作制度</w:t>
            </w:r>
          </w:p>
          <w:p>
            <w:pPr>
              <w:ind w:firstLine="493"/>
              <w:rPr>
                <w:rFonts w:ascii="宋体" w:hAnsi="宋体"/>
                <w:color w:val="auto"/>
                <w:szCs w:val="24"/>
              </w:rPr>
            </w:pPr>
            <w:r>
              <w:rPr>
                <w:rFonts w:hint="eastAsia" w:ascii="宋体" w:hAnsi="宋体"/>
                <w:color w:val="auto"/>
                <w:szCs w:val="24"/>
              </w:rPr>
              <w:t>本项目拟设员工13人，实行8小时工作制，工人年工作时间约为200天。</w:t>
            </w:r>
          </w:p>
          <w:p>
            <w:pPr>
              <w:ind w:firstLine="493"/>
              <w:rPr>
                <w:rFonts w:ascii="宋体" w:hAnsi="宋体"/>
                <w:color w:val="auto"/>
                <w:szCs w:val="24"/>
              </w:rPr>
            </w:pPr>
            <w:r>
              <w:rPr>
                <w:rFonts w:hint="eastAsia" w:ascii="宋体" w:hAnsi="宋体"/>
                <w:color w:val="auto"/>
                <w:szCs w:val="24"/>
              </w:rPr>
              <w:t>7、劳动就业</w:t>
            </w:r>
          </w:p>
          <w:p>
            <w:pPr>
              <w:ind w:firstLine="493"/>
              <w:rPr>
                <w:rFonts w:ascii="宋体" w:hAnsi="宋体"/>
                <w:color w:val="000000" w:themeColor="text1"/>
                <w:szCs w:val="24"/>
                <w14:textFill>
                  <w14:solidFill>
                    <w14:schemeClr w14:val="tx1"/>
                  </w14:solidFill>
                </w14:textFill>
              </w:rPr>
            </w:pPr>
            <w:r>
              <w:rPr>
                <w:rFonts w:hint="eastAsia" w:ascii="宋体" w:hAnsi="宋体"/>
                <w:color w:val="auto"/>
                <w:szCs w:val="24"/>
              </w:rPr>
              <w:t>生态农业园需要工作人员共13人，建设单位拟主要聘请周边农民，一方</w:t>
            </w:r>
            <w:r>
              <w:rPr>
                <w:rFonts w:hint="eastAsia" w:ascii="宋体" w:hAnsi="宋体"/>
                <w:color w:val="000000" w:themeColor="text1"/>
                <w:szCs w:val="24"/>
                <w14:textFill>
                  <w14:solidFill>
                    <w14:schemeClr w14:val="tx1"/>
                  </w14:solidFill>
                </w14:textFill>
              </w:rPr>
              <w:t>面为当地的农民提供就业机会，另一方面也可以带动当地农民转变务农方式，使周边农民在获得土地出租租金收益的同时，还可以将剩余劳动力转变成外出务工，以增加农民收入。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931" w:type="dxa"/>
            <w:tcBorders>
              <w:top w:val="single" w:color="auto" w:sz="12" w:space="0"/>
              <w:left w:val="single" w:color="auto" w:sz="12" w:space="0"/>
              <w:bottom w:val="single" w:color="auto" w:sz="12" w:space="0"/>
              <w:right w:val="single" w:color="auto" w:sz="12" w:space="0"/>
            </w:tcBorders>
          </w:tcPr>
          <w:p>
            <w:pPr>
              <w:rPr>
                <w:rFonts w:ascii="宋体" w:hAnsi="宋体"/>
                <w:b/>
                <w:color w:val="auto"/>
                <w:sz w:val="28"/>
                <w:szCs w:val="24"/>
              </w:rPr>
            </w:pPr>
            <w:r>
              <w:rPr>
                <w:rFonts w:hint="eastAsia" w:ascii="宋体" w:hAnsi="宋体"/>
                <w:b/>
                <w:color w:val="auto"/>
                <w:sz w:val="28"/>
                <w:szCs w:val="24"/>
              </w:rPr>
              <w:t>三、与本项目有关的原有污染情况及主要环境问题：</w:t>
            </w:r>
          </w:p>
          <w:p>
            <w:pPr>
              <w:ind w:firstLine="493"/>
              <w:rPr>
                <w:rFonts w:ascii="宋体" w:hAnsi="宋体"/>
                <w:color w:val="auto"/>
                <w:szCs w:val="24"/>
              </w:rPr>
            </w:pPr>
            <w:r>
              <w:rPr>
                <w:rFonts w:hint="eastAsia" w:ascii="宋体" w:hAnsi="宋体"/>
                <w:color w:val="auto"/>
                <w:szCs w:val="24"/>
              </w:rPr>
              <w:t>本项目用地为山地、荒地以及耕地，不存在原有污染情况。</w:t>
            </w:r>
          </w:p>
          <w:p>
            <w:pPr>
              <w:spacing w:line="240" w:lineRule="auto"/>
              <w:rPr>
                <w:rFonts w:ascii="宋体" w:hAnsi="宋体"/>
                <w:sz w:val="28"/>
                <w:szCs w:val="28"/>
              </w:rPr>
            </w:pPr>
          </w:p>
        </w:tc>
      </w:tr>
    </w:tbl>
    <w:p>
      <w:pPr>
        <w:rPr>
          <w:rFonts w:ascii="宋体" w:hAnsi="宋体"/>
          <w:sz w:val="28"/>
          <w:szCs w:val="28"/>
        </w:rPr>
      </w:pPr>
    </w:p>
    <w:tbl>
      <w:tblPr>
        <w:tblStyle w:val="11"/>
        <w:tblW w:w="8931" w:type="dxa"/>
        <w:tblInd w:w="-176"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c>
          <w:tcPr>
            <w:tcW w:w="8931" w:type="dxa"/>
          </w:tcPr>
          <w:p>
            <w:pPr>
              <w:spacing w:line="240" w:lineRule="auto"/>
              <w:ind w:firstLine="495"/>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建设项目所在地自然环境、社会环境简况</w:t>
            </w:r>
          </w:p>
          <w:p>
            <w:pPr>
              <w:spacing w:line="240" w:lineRule="auto"/>
              <w:ind w:firstLine="495"/>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自然环境简况（地形、地貌、地质、气候、气象、水文、植被、生物多样性等）：</w:t>
            </w:r>
          </w:p>
          <w:p>
            <w:pPr>
              <w:spacing w:line="240" w:lineRule="auto"/>
              <w:ind w:firstLine="495"/>
              <w:rPr>
                <w:rFonts w:ascii="宋体" w:hAnsi="宋体"/>
                <w:b/>
                <w:color w:val="000000" w:themeColor="text1"/>
                <w:szCs w:val="28"/>
                <w14:textFill>
                  <w14:solidFill>
                    <w14:schemeClr w14:val="tx1"/>
                  </w14:solidFill>
                </w14:textFill>
              </w:rPr>
            </w:pPr>
            <w:r>
              <w:rPr>
                <w:rFonts w:hint="eastAsia" w:ascii="宋体" w:hAnsi="宋体"/>
                <w:b/>
                <w:color w:val="000000" w:themeColor="text1"/>
                <w:szCs w:val="28"/>
                <w14:textFill>
                  <w14:solidFill>
                    <w14:schemeClr w14:val="tx1"/>
                  </w14:solidFill>
                </w14:textFill>
              </w:rPr>
              <w:t>一、地理位置</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项目位于平江县上塔市镇苍霞村，上塔市镇位于县境北部，北与湖北通城县相连，南毗南江镇。清代属南江乡十三都，民国属南口区十一保。建国后属南江区冬塔乡、冬塔公社，1982年复名乡。2014年3月13日。撤销冬塔乡，设立上塔市镇。该镇属山地丘陵地貌。海拔高度177米。 截止2005年底乡集雨面积60平方公里，耕地147万亩，人口22500人，人口出生率11.52‰，自然增长率87%，综合节育率91.8%，人口自然增长较为稳定。辖18个行政村。地理位置和交通十分便捷，乡村公路纵横交错，西面有106国道、平汝高速、京广线，交通极为方便。</w:t>
            </w:r>
          </w:p>
          <w:p>
            <w:pPr>
              <w:ind w:firstLine="495"/>
              <w:rPr>
                <w:rFonts w:ascii="宋体" w:hAnsi="宋体"/>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二、地形、地貌</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县境地貌以山地和丘陵为主。山地占总面积的28.5%，丘陵占55.9%，岗地占5.8%，平原占9.8%。地势东南部和东北部高，西南部低，相对高度达1500米。境内山丘分属连云山脉和幕阜山脉。连云山主峰海拔1600.3米，为境内最高峰。幕阜山主峰海拔1593.6米。此外，东南部的十八折、黄花尖、下小尖；南面的轿顶山、福寿山、白水坪、甑盖山、十八盘、寒婆坳；东北部的一峰尖、九龙池、云腾寺、黄龙山、只角楼、秋水塘、丘池塘；北部的流水庵、凤凰山、凤凰翅、燕子岩、冬桃山等21座山，海拔均在1000米以上。</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三、水文</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县境内河网密布，分属汨罗江和新墙河两大水系。汨罗江流域面积占96.1%；新墙河流面积占3.9%。汨水自东向西平江城市建设平江城市建设贯穿全境，境内全长192.9公里，有大小支流141条，总长2656.9公里，河网密度0.64公里/平方公里。径流总量32.56亿立方米。141条河流中，一级支流有木瓜河、钟洞河、清水、昌江等50条；二级支流67条；三级支流21条；四级支流3条。</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汨罗江流域降水量充沛，降雨多在4-8月，河水受降水影响明显。根据当地黄旗水文站资料，该河流域历史最高水位为47.69m，最低水位为31.5m，河流断面流量825m3/s，平均流速0.95m/s，水面宽230m，平均水深3.9m，最大水深5.7m，历史未发生特大水灾及断流。伍市溪为汨罗江的一级支流，河流呈南北走向，在邹家园村汇入汨罗江。伍市溪在枯水期流量约0.5m3/s，为农灌、景观用水。</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四、气候、气象</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区域地处湿润的大陆季风气候区，属中亚热带向北亚热带过渡的气候带，全年平均气温为16.8-16.9℃。最热月7月份平均气温为28.6℃，最冷月1月份平均气温为4.5℃，年正积温为6150-6180℃。全年平均日照时数为1700-1780小时，全年太阳辐射总量108.5kca/cm2，全年降水量1310-1430mm，全年降水日为160天左右，其中4-9月份降雨量为880-950mm，占全年的66.8%，易产生局部滞涝，7-9月份雨量220-300mm，仅占全年的19%，又容易形成旱灾；全年平均相对湿度为82%，全年平均风速为2.2m/s。主导风向为西北风，夏季多南风。新城区光热资源丰富，降水充沛，光热水等主要气象要素配合好。</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五、植被、生物多样性</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平江县资源丰富，生物种类繁多，为常绿落叶阔叶混交林，灌丛、草丛和山地常绿阔叶苔藓林。植被乔、灌木种类繁多，原生植被中松科、樟科、杉科、壳斗科、胡桃科、蔷薇科占优势，经过长期人类活动，相当一部分植被逐步被马尾松、油茶、杉木、柑橘、枇杷等所代替。</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主要用材林有杉木、榟树、马尾松、樟树、梧桐、楠木等；主要经济林有油菜、油桐、茶叶、柑桔等；珍稀树种有水杉、银杏、胡桃、鹅掌楸、杜仲、金钱松、红豆杉、民楠、华南五针松等，但都不在评价范围内。粮食作物有9种，品种有127个；油料作物有4种，品种15个；蔬菜14种，品种121个。</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经调查，建设区范围内无重点风景名胜、自然景观、重点文物保护单位等环境敏感点。</w:t>
            </w:r>
          </w:p>
          <w:p>
            <w:pPr>
              <w:spacing w:line="240" w:lineRule="auto"/>
              <w:rPr>
                <w:rFonts w:ascii="宋体" w:hAnsi="宋体"/>
                <w:b/>
                <w:color w:val="000000" w:themeColor="text1"/>
                <w:sz w:val="30"/>
                <w:szCs w:val="30"/>
                <w14:textFill>
                  <w14:solidFill>
                    <w14:schemeClr w14:val="tx1"/>
                  </w14:solidFill>
                </w14:textFill>
              </w:rPr>
            </w:pPr>
          </w:p>
        </w:tc>
      </w:tr>
    </w:tbl>
    <w:p>
      <w:pPr>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br w:type="page"/>
      </w:r>
    </w:p>
    <w:tbl>
      <w:tblPr>
        <w:tblStyle w:val="11"/>
        <w:tblW w:w="8931" w:type="dxa"/>
        <w:tblInd w:w="-31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c>
          <w:tcPr>
            <w:tcW w:w="8931" w:type="dxa"/>
          </w:tcPr>
          <w:p>
            <w:pPr>
              <w:spacing w:line="240" w:lineRule="auto"/>
              <w:ind w:firstLine="495"/>
              <w:rPr>
                <w:rFonts w:ascii="宋体" w:hAnsi="宋体"/>
                <w:b/>
                <w:color w:val="000000" w:themeColor="text1"/>
                <w:sz w:val="28"/>
                <w:szCs w:val="30"/>
                <w14:textFill>
                  <w14:solidFill>
                    <w14:schemeClr w14:val="tx1"/>
                  </w14:solidFill>
                </w14:textFill>
              </w:rPr>
            </w:pPr>
            <w:r>
              <w:rPr>
                <w:rFonts w:hint="eastAsia" w:ascii="宋体" w:hAnsi="宋体"/>
                <w:b/>
                <w:color w:val="000000" w:themeColor="text1"/>
                <w:sz w:val="28"/>
                <w:szCs w:val="30"/>
                <w14:textFill>
                  <w14:solidFill>
                    <w14:schemeClr w14:val="tx1"/>
                  </w14:solidFill>
                </w14:textFill>
              </w:rPr>
              <w:t>社会环境简况（社会经济结构、教育、文化、文物保护等）：</w:t>
            </w:r>
          </w:p>
          <w:p>
            <w:pPr>
              <w:ind w:firstLine="495"/>
              <w:rPr>
                <w:rFonts w:ascii="宋体" w:hAnsi="宋体"/>
                <w:b/>
                <w:color w:val="000000" w:themeColor="text1"/>
                <w:szCs w:val="28"/>
                <w14:textFill>
                  <w14:solidFill>
                    <w14:schemeClr w14:val="tx1"/>
                  </w14:solidFill>
                </w14:textFill>
              </w:rPr>
            </w:pPr>
            <w:r>
              <w:rPr>
                <w:rFonts w:hint="eastAsia" w:ascii="宋体" w:hAnsi="宋体"/>
                <w:b/>
                <w:color w:val="000000" w:themeColor="text1"/>
                <w:szCs w:val="28"/>
                <w14:textFill>
                  <w14:solidFill>
                    <w14:schemeClr w14:val="tx1"/>
                  </w14:solidFill>
                </w14:textFill>
              </w:rPr>
              <w:t>一、行政区划</w:t>
            </w:r>
          </w:p>
          <w:p>
            <w:pPr>
              <w:ind w:firstLine="495"/>
              <w:rPr>
                <w:rFonts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平江县为岳阳市辖县，平江县辖17个镇（三市、长寿、汉昌、嘉义、龙门、安定、伍市、向家、瓮江、虹桥、南江、浯口、梅仙、岑川、童市、福寿山、上塔市）、10个乡（三阳、大坪、三墩、大洲、木金、咏生、余坪、板江、南桥、黄金洞）一个省级工业园和一个国家级风景名胜区。全县总面积4125平方公里，总人口106万。</w:t>
            </w:r>
          </w:p>
          <w:p>
            <w:pPr>
              <w:ind w:firstLine="495"/>
              <w:rPr>
                <w:rFonts w:ascii="宋体" w:hAnsi="宋体"/>
                <w:b/>
                <w:color w:val="000000" w:themeColor="text1"/>
                <w:szCs w:val="28"/>
                <w14:textFill>
                  <w14:solidFill>
                    <w14:schemeClr w14:val="tx1"/>
                  </w14:solidFill>
                </w14:textFill>
              </w:rPr>
            </w:pPr>
            <w:r>
              <w:rPr>
                <w:rFonts w:hint="eastAsia" w:ascii="宋体" w:hAnsi="宋体"/>
                <w:b/>
                <w:color w:val="000000" w:themeColor="text1"/>
                <w:szCs w:val="28"/>
                <w14:textFill>
                  <w14:solidFill>
                    <w14:schemeClr w14:val="tx1"/>
                  </w14:solidFill>
                </w14:textFill>
              </w:rPr>
              <w:t>二、社会经济</w:t>
            </w:r>
          </w:p>
          <w:p>
            <w:pPr>
              <w:ind w:firstLine="495"/>
              <w:rPr>
                <w:rFonts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2013年全县完成GDP182.6亿元，同比增长10.2%。其中第一产业增加值完成34.98亿元，增长2.2%；第二产业增加值完成86.87亿元，增长13.0%；第三产业增加值完成60.75亿元，增长11.1%。产业结构由上年的20.5:47.1:32.4调整为19.2:47.6:33.2，跟上年同期比第一产业减少1.3个百分点，而第二、第三产业分别增长了0.5和0.8个百分点。</w:t>
            </w:r>
          </w:p>
          <w:p>
            <w:pPr>
              <w:ind w:firstLine="495"/>
              <w:rPr>
                <w:rFonts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2013年平江县农业生产发展平稳，完成农林牧渔总产值53.6亿元，同比增长2.5%。实现农业增加值34.98亿元，同比增长2.2%。</w:t>
            </w:r>
          </w:p>
          <w:p>
            <w:pPr>
              <w:ind w:firstLine="495"/>
              <w:rPr>
                <w:rFonts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工业生产企稳向好，全县155家规模以上工业企业（新口径）完成总产值303.81亿元，同比增长20.3 %；规模工业增加值同比增长15.7%，工业增加值占GDP的比重为43.6 %。实现销售产值303.68亿元，同比增长20.3%；规模以上工业实现利润总额13.07亿元，增长3.5%。</w:t>
            </w:r>
          </w:p>
          <w:p>
            <w:pPr>
              <w:ind w:firstLine="495"/>
              <w:rPr>
                <w:rFonts w:ascii="宋体" w:hAnsi="宋体"/>
                <w:b/>
                <w:color w:val="000000" w:themeColor="text1"/>
                <w:szCs w:val="28"/>
                <w14:textFill>
                  <w14:solidFill>
                    <w14:schemeClr w14:val="tx1"/>
                  </w14:solidFill>
                </w14:textFill>
              </w:rPr>
            </w:pPr>
            <w:r>
              <w:rPr>
                <w:rFonts w:hint="eastAsia" w:ascii="宋体" w:hAnsi="宋体"/>
                <w:b/>
                <w:color w:val="000000" w:themeColor="text1"/>
                <w:szCs w:val="28"/>
                <w14:textFill>
                  <w14:solidFill>
                    <w14:schemeClr w14:val="tx1"/>
                  </w14:solidFill>
                </w14:textFill>
              </w:rPr>
              <w:t>三、文化、教育</w:t>
            </w:r>
          </w:p>
          <w:p>
            <w:pPr>
              <w:ind w:firstLine="495"/>
              <w:rPr>
                <w:rFonts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截至2013年，平江县共有基础教育学校642所（其中幼儿园190所，小学393所〈含小学教学点137个〉，初中50所，高中7所，特殊教育学校1 所，成人高中1所），中等职业学校3所，成人教育和职业培训学校28所。在校学生163698人，2013年高考一二本上线1650人。在职在编教职工7738人。全年县财政教育预算支出达69459万元，同比增长7.3%。</w:t>
            </w:r>
          </w:p>
          <w:p>
            <w:pPr>
              <w:ind w:firstLine="495"/>
              <w:rPr>
                <w:rFonts w:ascii="宋体" w:hAnsi="宋体"/>
                <w:b/>
                <w:color w:val="000000" w:themeColor="text1"/>
                <w:szCs w:val="28"/>
                <w14:textFill>
                  <w14:solidFill>
                    <w14:schemeClr w14:val="tx1"/>
                  </w14:solidFill>
                </w14:textFill>
              </w:rPr>
            </w:pPr>
            <w:r>
              <w:rPr>
                <w:rFonts w:hint="eastAsia" w:ascii="宋体" w:hAnsi="宋体"/>
                <w:b/>
                <w:color w:val="000000" w:themeColor="text1"/>
                <w:szCs w:val="28"/>
                <w14:textFill>
                  <w14:solidFill>
                    <w14:schemeClr w14:val="tx1"/>
                  </w14:solidFill>
                </w14:textFill>
              </w:rPr>
              <w:t>四、文物古迹</w:t>
            </w:r>
          </w:p>
          <w:p>
            <w:pPr>
              <w:ind w:firstLine="495"/>
              <w:rPr>
                <w:rFonts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项目所在地附近未发现文物古迹。</w:t>
            </w:r>
          </w:p>
          <w:p>
            <w:pPr>
              <w:spacing w:line="240" w:lineRule="auto"/>
              <w:rPr>
                <w:rFonts w:ascii="宋体" w:hAnsi="宋体"/>
                <w:b/>
                <w:color w:val="000000" w:themeColor="text1"/>
                <w:sz w:val="30"/>
                <w:szCs w:val="30"/>
                <w14:textFill>
                  <w14:solidFill>
                    <w14:schemeClr w14:val="tx1"/>
                  </w14:solidFill>
                </w14:textFill>
              </w:rPr>
            </w:pPr>
          </w:p>
        </w:tc>
      </w:tr>
    </w:tbl>
    <w:p>
      <w:pPr>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tbl>
      <w:tblPr>
        <w:tblStyle w:val="11"/>
        <w:tblW w:w="9073" w:type="dxa"/>
        <w:tblInd w:w="-34"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7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c>
          <w:tcPr>
            <w:tcW w:w="9073" w:type="dxa"/>
          </w:tcPr>
          <w:p>
            <w:pPr>
              <w:spacing w:line="240" w:lineRule="auto"/>
              <w:ind w:firstLine="495"/>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环境质量状况</w:t>
            </w:r>
          </w:p>
          <w:p>
            <w:pPr>
              <w:spacing w:line="240" w:lineRule="auto"/>
              <w:ind w:firstLine="495"/>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建设项目所在地区域环境质量现状（环境空气、地面水、地下水、声环境、生态环境等）：</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一、环境空气质量现状</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（1）监测点设置：厂界上风向1个点，下风向2个点。</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（2）监测因子：SO2、NO2、PM10；</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（3）监测时间：2016年9月27日</w:t>
            </w:r>
            <w:r>
              <w:rPr>
                <w:rFonts w:hint="eastAsia" w:asciiTheme="minorEastAsia" w:hAnsiTheme="minorEastAsia"/>
                <w:color w:val="000000" w:themeColor="text1"/>
                <w:szCs w:val="24"/>
                <w14:textFill>
                  <w14:solidFill>
                    <w14:schemeClr w14:val="tx1"/>
                  </w14:solidFill>
                </w14:textFill>
              </w:rPr>
              <w:t>～</w:t>
            </w:r>
            <w:r>
              <w:rPr>
                <w:rFonts w:hint="eastAsia" w:ascii="宋体" w:hAnsi="宋体"/>
                <w:color w:val="000000" w:themeColor="text1"/>
                <w:szCs w:val="24"/>
                <w14:textFill>
                  <w14:solidFill>
                    <w14:schemeClr w14:val="tx1"/>
                  </w14:solidFill>
                </w14:textFill>
              </w:rPr>
              <w:t>29日；</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（4）监测结果统计：统计结果见表4。</w:t>
            </w:r>
          </w:p>
          <w:p>
            <w:pPr>
              <w:spacing w:line="240" w:lineRule="auto"/>
              <w:ind w:firstLine="495"/>
              <w:jc w:val="center"/>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表4  环境空气质量现状监测结果表</w:t>
            </w:r>
          </w:p>
          <w:tbl>
            <w:tblPr>
              <w:tblStyle w:val="10"/>
              <w:tblW w:w="8870"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23"/>
              <w:gridCol w:w="2075"/>
              <w:gridCol w:w="1701"/>
              <w:gridCol w:w="1784"/>
              <w:gridCol w:w="188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23" w:type="dxa"/>
                  <w:vMerge w:val="restart"/>
                  <w:vAlign w:val="center"/>
                </w:tcPr>
                <w:p>
                  <w:pPr>
                    <w:jc w:val="center"/>
                    <w:rPr>
                      <w:sz w:val="21"/>
                    </w:rPr>
                  </w:pPr>
                  <w:r>
                    <w:rPr>
                      <w:sz w:val="21"/>
                    </w:rPr>
                    <w:t>监测点位</w:t>
                  </w:r>
                </w:p>
              </w:tc>
              <w:tc>
                <w:tcPr>
                  <w:tcW w:w="2075" w:type="dxa"/>
                  <w:vMerge w:val="restart"/>
                  <w:vAlign w:val="center"/>
                </w:tcPr>
                <w:p>
                  <w:pPr>
                    <w:jc w:val="center"/>
                    <w:rPr>
                      <w:sz w:val="21"/>
                    </w:rPr>
                  </w:pPr>
                  <w:r>
                    <w:rPr>
                      <w:sz w:val="21"/>
                    </w:rPr>
                    <w:t>评价项目</w:t>
                  </w:r>
                </w:p>
              </w:tc>
              <w:tc>
                <w:tcPr>
                  <w:tcW w:w="5372" w:type="dxa"/>
                  <w:gridSpan w:val="3"/>
                  <w:vAlign w:val="center"/>
                </w:tcPr>
                <w:p>
                  <w:pPr>
                    <w:jc w:val="center"/>
                    <w:rPr>
                      <w:sz w:val="21"/>
                    </w:rPr>
                  </w:pPr>
                  <w:r>
                    <w:rPr>
                      <w:sz w:val="21"/>
                    </w:rPr>
                    <w:t>监测因子</w:t>
                  </w:r>
                  <w:r>
                    <w:rPr>
                      <w:rFonts w:hint="eastAsia"/>
                      <w:sz w:val="21"/>
                    </w:rPr>
                    <w:t xml:space="preserve"> mg/m</w:t>
                  </w:r>
                  <w:r>
                    <w:rPr>
                      <w:rFonts w:hint="eastAsia"/>
                      <w:sz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23" w:type="dxa"/>
                  <w:vMerge w:val="continue"/>
                  <w:vAlign w:val="center"/>
                </w:tcPr>
                <w:p>
                  <w:pPr>
                    <w:jc w:val="center"/>
                    <w:rPr>
                      <w:sz w:val="21"/>
                    </w:rPr>
                  </w:pPr>
                </w:p>
              </w:tc>
              <w:tc>
                <w:tcPr>
                  <w:tcW w:w="2075" w:type="dxa"/>
                  <w:vMerge w:val="continue"/>
                  <w:vAlign w:val="center"/>
                </w:tcPr>
                <w:p>
                  <w:pPr>
                    <w:jc w:val="center"/>
                    <w:rPr>
                      <w:sz w:val="21"/>
                    </w:rPr>
                  </w:pPr>
                </w:p>
              </w:tc>
              <w:tc>
                <w:tcPr>
                  <w:tcW w:w="1701" w:type="dxa"/>
                  <w:tcBorders>
                    <w:right w:val="single" w:color="auto" w:sz="4" w:space="0"/>
                  </w:tcBorders>
                  <w:vAlign w:val="center"/>
                </w:tcPr>
                <w:p>
                  <w:pPr>
                    <w:jc w:val="center"/>
                    <w:rPr>
                      <w:sz w:val="21"/>
                    </w:rPr>
                  </w:pPr>
                  <w:r>
                    <w:rPr>
                      <w:rFonts w:hint="eastAsia"/>
                      <w:sz w:val="21"/>
                    </w:rPr>
                    <w:t>SO</w:t>
                  </w:r>
                  <w:r>
                    <w:rPr>
                      <w:rFonts w:hint="eastAsia"/>
                      <w:sz w:val="21"/>
                      <w:vertAlign w:val="subscript"/>
                    </w:rPr>
                    <w:t>2</w:t>
                  </w:r>
                  <w:r>
                    <w:rPr>
                      <w:rFonts w:hint="eastAsia"/>
                      <w:sz w:val="21"/>
                    </w:rPr>
                    <w:t>（小时值）</w:t>
                  </w:r>
                </w:p>
              </w:tc>
              <w:tc>
                <w:tcPr>
                  <w:tcW w:w="1784" w:type="dxa"/>
                  <w:tcBorders>
                    <w:left w:val="single" w:color="auto" w:sz="4" w:space="0"/>
                  </w:tcBorders>
                  <w:vAlign w:val="center"/>
                </w:tcPr>
                <w:p>
                  <w:pPr>
                    <w:jc w:val="center"/>
                    <w:rPr>
                      <w:sz w:val="21"/>
                    </w:rPr>
                  </w:pPr>
                  <w:r>
                    <w:rPr>
                      <w:rFonts w:hint="eastAsia"/>
                      <w:sz w:val="21"/>
                    </w:rPr>
                    <w:t>NO</w:t>
                  </w:r>
                  <w:r>
                    <w:rPr>
                      <w:rFonts w:hint="eastAsia"/>
                      <w:sz w:val="21"/>
                      <w:vertAlign w:val="subscript"/>
                    </w:rPr>
                    <w:t>2</w:t>
                  </w:r>
                  <w:r>
                    <w:rPr>
                      <w:rFonts w:hint="eastAsia"/>
                      <w:sz w:val="21"/>
                    </w:rPr>
                    <w:t>（小时值）</w:t>
                  </w:r>
                </w:p>
              </w:tc>
              <w:tc>
                <w:tcPr>
                  <w:tcW w:w="1887" w:type="dxa"/>
                  <w:vAlign w:val="center"/>
                </w:tcPr>
                <w:p>
                  <w:pPr>
                    <w:jc w:val="center"/>
                    <w:rPr>
                      <w:sz w:val="21"/>
                      <w:vertAlign w:val="subscript"/>
                    </w:rPr>
                  </w:pPr>
                  <w:r>
                    <w:rPr>
                      <w:sz w:val="21"/>
                    </w:rPr>
                    <w:t>P</w:t>
                  </w:r>
                  <w:r>
                    <w:rPr>
                      <w:rFonts w:hint="eastAsia"/>
                      <w:sz w:val="21"/>
                    </w:rPr>
                    <w:t>M</w:t>
                  </w:r>
                  <w:r>
                    <w:rPr>
                      <w:rFonts w:hint="eastAsia"/>
                      <w:sz w:val="21"/>
                      <w:vertAlign w:val="subscript"/>
                    </w:rPr>
                    <w:t>10</w:t>
                  </w:r>
                  <w:r>
                    <w:rPr>
                      <w:rFonts w:hint="eastAsia"/>
                      <w:sz w:val="21"/>
                    </w:rPr>
                    <w:t>（日均值）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23" w:type="dxa"/>
                  <w:vMerge w:val="restart"/>
                  <w:vAlign w:val="center"/>
                </w:tcPr>
                <w:p>
                  <w:pPr>
                    <w:jc w:val="center"/>
                    <w:rPr>
                      <w:sz w:val="21"/>
                    </w:rPr>
                  </w:pPr>
                  <w:r>
                    <w:rPr>
                      <w:rFonts w:hint="eastAsia"/>
                      <w:sz w:val="21"/>
                    </w:rPr>
                    <w:t>厂界上风向（1#）</w:t>
                  </w:r>
                </w:p>
              </w:tc>
              <w:tc>
                <w:tcPr>
                  <w:tcW w:w="2075" w:type="dxa"/>
                  <w:vAlign w:val="center"/>
                </w:tcPr>
                <w:p>
                  <w:pPr>
                    <w:jc w:val="center"/>
                    <w:rPr>
                      <w:sz w:val="21"/>
                    </w:rPr>
                  </w:pPr>
                  <w:r>
                    <w:rPr>
                      <w:sz w:val="21"/>
                    </w:rPr>
                    <w:t>监测值范围</w:t>
                  </w:r>
                </w:p>
              </w:tc>
              <w:tc>
                <w:tcPr>
                  <w:tcW w:w="1701" w:type="dxa"/>
                  <w:tcBorders>
                    <w:right w:val="single" w:color="auto" w:sz="4" w:space="0"/>
                  </w:tcBorders>
                  <w:vAlign w:val="center"/>
                </w:tcPr>
                <w:p>
                  <w:pPr>
                    <w:jc w:val="center"/>
                    <w:rPr>
                      <w:sz w:val="21"/>
                    </w:rPr>
                  </w:pPr>
                  <w:r>
                    <w:rPr>
                      <w:rFonts w:hint="eastAsia"/>
                      <w:sz w:val="21"/>
                    </w:rPr>
                    <w:t>ND</w:t>
                  </w:r>
                </w:p>
              </w:tc>
              <w:tc>
                <w:tcPr>
                  <w:tcW w:w="1784" w:type="dxa"/>
                  <w:tcBorders>
                    <w:left w:val="single" w:color="auto" w:sz="4" w:space="0"/>
                  </w:tcBorders>
                  <w:vAlign w:val="center"/>
                </w:tcPr>
                <w:p>
                  <w:pPr>
                    <w:jc w:val="center"/>
                    <w:rPr>
                      <w:sz w:val="21"/>
                    </w:rPr>
                  </w:pPr>
                  <w:r>
                    <w:rPr>
                      <w:rFonts w:hint="eastAsia"/>
                      <w:sz w:val="21"/>
                    </w:rPr>
                    <w:t>0.016~0.028</w:t>
                  </w:r>
                </w:p>
              </w:tc>
              <w:tc>
                <w:tcPr>
                  <w:tcW w:w="1887" w:type="dxa"/>
                  <w:vAlign w:val="center"/>
                </w:tcPr>
                <w:p>
                  <w:pPr>
                    <w:jc w:val="center"/>
                    <w:rPr>
                      <w:sz w:val="21"/>
                    </w:rPr>
                  </w:pPr>
                  <w:r>
                    <w:rPr>
                      <w:rFonts w:hint="eastAsia"/>
                      <w:sz w:val="21"/>
                    </w:rPr>
                    <w:t>0.026~0.037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23" w:type="dxa"/>
                  <w:vMerge w:val="continue"/>
                  <w:vAlign w:val="center"/>
                </w:tcPr>
                <w:p>
                  <w:pPr>
                    <w:jc w:val="center"/>
                    <w:rPr>
                      <w:sz w:val="21"/>
                    </w:rPr>
                  </w:pPr>
                </w:p>
              </w:tc>
              <w:tc>
                <w:tcPr>
                  <w:tcW w:w="2075" w:type="dxa"/>
                  <w:vAlign w:val="center"/>
                </w:tcPr>
                <w:p>
                  <w:pPr>
                    <w:jc w:val="center"/>
                    <w:rPr>
                      <w:bCs/>
                      <w:sz w:val="21"/>
                    </w:rPr>
                  </w:pPr>
                  <w:r>
                    <w:rPr>
                      <w:bCs/>
                      <w:sz w:val="21"/>
                    </w:rPr>
                    <w:t>超标率</w:t>
                  </w:r>
                </w:p>
              </w:tc>
              <w:tc>
                <w:tcPr>
                  <w:tcW w:w="1701" w:type="dxa"/>
                  <w:tcBorders>
                    <w:right w:val="single" w:color="auto" w:sz="4" w:space="0"/>
                  </w:tcBorders>
                  <w:vAlign w:val="center"/>
                </w:tcPr>
                <w:p>
                  <w:pPr>
                    <w:jc w:val="center"/>
                    <w:rPr>
                      <w:bCs/>
                      <w:sz w:val="21"/>
                    </w:rPr>
                  </w:pPr>
                  <w:r>
                    <w:rPr>
                      <w:rFonts w:hint="eastAsia"/>
                      <w:bCs/>
                      <w:sz w:val="21"/>
                    </w:rPr>
                    <w:t>0</w:t>
                  </w:r>
                </w:p>
              </w:tc>
              <w:tc>
                <w:tcPr>
                  <w:tcW w:w="1784" w:type="dxa"/>
                  <w:tcBorders>
                    <w:left w:val="single" w:color="auto" w:sz="4" w:space="0"/>
                  </w:tcBorders>
                  <w:vAlign w:val="center"/>
                </w:tcPr>
                <w:p>
                  <w:pPr>
                    <w:jc w:val="center"/>
                    <w:rPr>
                      <w:bCs/>
                      <w:sz w:val="21"/>
                    </w:rPr>
                  </w:pPr>
                  <w:r>
                    <w:rPr>
                      <w:rFonts w:hint="eastAsia"/>
                      <w:bCs/>
                      <w:sz w:val="21"/>
                    </w:rPr>
                    <w:t>0</w:t>
                  </w:r>
                </w:p>
              </w:tc>
              <w:tc>
                <w:tcPr>
                  <w:tcW w:w="1887" w:type="dxa"/>
                  <w:vAlign w:val="center"/>
                </w:tcPr>
                <w:p>
                  <w:pPr>
                    <w:jc w:val="center"/>
                    <w:rPr>
                      <w:bCs/>
                      <w:sz w:val="21"/>
                    </w:rPr>
                  </w:pPr>
                  <w:r>
                    <w:rPr>
                      <w:rFonts w:hint="eastAsia"/>
                      <w:bCs/>
                      <w:sz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23" w:type="dxa"/>
                  <w:vMerge w:val="continue"/>
                  <w:vAlign w:val="center"/>
                </w:tcPr>
                <w:p>
                  <w:pPr>
                    <w:jc w:val="center"/>
                    <w:rPr>
                      <w:sz w:val="21"/>
                    </w:rPr>
                  </w:pPr>
                </w:p>
              </w:tc>
              <w:tc>
                <w:tcPr>
                  <w:tcW w:w="2075" w:type="dxa"/>
                  <w:vAlign w:val="center"/>
                </w:tcPr>
                <w:p>
                  <w:pPr>
                    <w:jc w:val="center"/>
                    <w:rPr>
                      <w:bCs/>
                      <w:sz w:val="21"/>
                    </w:rPr>
                  </w:pPr>
                  <w:r>
                    <w:rPr>
                      <w:bCs/>
                      <w:sz w:val="21"/>
                    </w:rPr>
                    <w:t>最大超标倍数</w:t>
                  </w:r>
                </w:p>
              </w:tc>
              <w:tc>
                <w:tcPr>
                  <w:tcW w:w="1701" w:type="dxa"/>
                  <w:tcBorders>
                    <w:right w:val="single" w:color="auto" w:sz="4" w:space="0"/>
                  </w:tcBorders>
                  <w:vAlign w:val="center"/>
                </w:tcPr>
                <w:p>
                  <w:pPr>
                    <w:jc w:val="center"/>
                    <w:rPr>
                      <w:bCs/>
                      <w:sz w:val="21"/>
                    </w:rPr>
                  </w:pPr>
                  <w:r>
                    <w:rPr>
                      <w:rFonts w:hint="eastAsia"/>
                      <w:bCs/>
                      <w:sz w:val="21"/>
                    </w:rPr>
                    <w:t>0</w:t>
                  </w:r>
                </w:p>
              </w:tc>
              <w:tc>
                <w:tcPr>
                  <w:tcW w:w="1784" w:type="dxa"/>
                  <w:tcBorders>
                    <w:left w:val="single" w:color="auto" w:sz="4" w:space="0"/>
                  </w:tcBorders>
                  <w:vAlign w:val="center"/>
                </w:tcPr>
                <w:p>
                  <w:pPr>
                    <w:jc w:val="center"/>
                    <w:rPr>
                      <w:bCs/>
                      <w:sz w:val="21"/>
                    </w:rPr>
                  </w:pPr>
                  <w:r>
                    <w:rPr>
                      <w:rFonts w:hint="eastAsia"/>
                      <w:bCs/>
                      <w:sz w:val="21"/>
                    </w:rPr>
                    <w:t>0</w:t>
                  </w:r>
                </w:p>
              </w:tc>
              <w:tc>
                <w:tcPr>
                  <w:tcW w:w="1887" w:type="dxa"/>
                  <w:vAlign w:val="center"/>
                </w:tcPr>
                <w:p>
                  <w:pPr>
                    <w:jc w:val="center"/>
                    <w:rPr>
                      <w:bCs/>
                      <w:sz w:val="21"/>
                    </w:rPr>
                  </w:pPr>
                  <w:r>
                    <w:rPr>
                      <w:rFonts w:hint="eastAsia"/>
                      <w:bCs/>
                      <w:sz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23" w:type="dxa"/>
                  <w:vMerge w:val="restart"/>
                  <w:vAlign w:val="center"/>
                </w:tcPr>
                <w:p>
                  <w:pPr>
                    <w:jc w:val="center"/>
                    <w:rPr>
                      <w:sz w:val="21"/>
                    </w:rPr>
                  </w:pPr>
                  <w:r>
                    <w:rPr>
                      <w:rFonts w:hint="eastAsia"/>
                      <w:sz w:val="21"/>
                    </w:rPr>
                    <w:t>厂界下风向（1#）</w:t>
                  </w:r>
                </w:p>
              </w:tc>
              <w:tc>
                <w:tcPr>
                  <w:tcW w:w="2075" w:type="dxa"/>
                  <w:vAlign w:val="center"/>
                </w:tcPr>
                <w:p>
                  <w:pPr>
                    <w:jc w:val="center"/>
                    <w:rPr>
                      <w:sz w:val="21"/>
                    </w:rPr>
                  </w:pPr>
                  <w:r>
                    <w:rPr>
                      <w:sz w:val="21"/>
                    </w:rPr>
                    <w:t>监测值范围</w:t>
                  </w:r>
                </w:p>
              </w:tc>
              <w:tc>
                <w:tcPr>
                  <w:tcW w:w="1701" w:type="dxa"/>
                  <w:tcBorders>
                    <w:right w:val="single" w:color="auto" w:sz="4" w:space="0"/>
                  </w:tcBorders>
                  <w:vAlign w:val="center"/>
                </w:tcPr>
                <w:p>
                  <w:pPr>
                    <w:jc w:val="center"/>
                    <w:rPr>
                      <w:sz w:val="21"/>
                    </w:rPr>
                  </w:pPr>
                  <w:r>
                    <w:rPr>
                      <w:rFonts w:hint="eastAsia"/>
                      <w:sz w:val="21"/>
                    </w:rPr>
                    <w:t>ND</w:t>
                  </w:r>
                </w:p>
              </w:tc>
              <w:tc>
                <w:tcPr>
                  <w:tcW w:w="1784" w:type="dxa"/>
                  <w:tcBorders>
                    <w:left w:val="single" w:color="auto" w:sz="4" w:space="0"/>
                  </w:tcBorders>
                  <w:vAlign w:val="center"/>
                </w:tcPr>
                <w:p>
                  <w:pPr>
                    <w:jc w:val="center"/>
                    <w:rPr>
                      <w:sz w:val="21"/>
                    </w:rPr>
                  </w:pPr>
                  <w:r>
                    <w:rPr>
                      <w:rFonts w:hint="eastAsia"/>
                      <w:sz w:val="21"/>
                    </w:rPr>
                    <w:t>0.035~0.045</w:t>
                  </w:r>
                </w:p>
              </w:tc>
              <w:tc>
                <w:tcPr>
                  <w:tcW w:w="1887" w:type="dxa"/>
                  <w:vAlign w:val="center"/>
                </w:tcPr>
                <w:p>
                  <w:pPr>
                    <w:jc w:val="center"/>
                    <w:rPr>
                      <w:sz w:val="21"/>
                    </w:rPr>
                  </w:pPr>
                  <w:r>
                    <w:rPr>
                      <w:rFonts w:hint="eastAsia"/>
                      <w:sz w:val="21"/>
                    </w:rPr>
                    <w:t>0.048~0.066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23" w:type="dxa"/>
                  <w:vMerge w:val="continue"/>
                  <w:vAlign w:val="center"/>
                </w:tcPr>
                <w:p>
                  <w:pPr>
                    <w:jc w:val="center"/>
                    <w:rPr>
                      <w:sz w:val="21"/>
                    </w:rPr>
                  </w:pPr>
                </w:p>
              </w:tc>
              <w:tc>
                <w:tcPr>
                  <w:tcW w:w="2075" w:type="dxa"/>
                  <w:vAlign w:val="center"/>
                </w:tcPr>
                <w:p>
                  <w:pPr>
                    <w:jc w:val="center"/>
                    <w:rPr>
                      <w:bCs/>
                      <w:sz w:val="21"/>
                    </w:rPr>
                  </w:pPr>
                  <w:r>
                    <w:rPr>
                      <w:bCs/>
                      <w:sz w:val="21"/>
                    </w:rPr>
                    <w:t>超标率</w:t>
                  </w:r>
                </w:p>
              </w:tc>
              <w:tc>
                <w:tcPr>
                  <w:tcW w:w="1701" w:type="dxa"/>
                  <w:tcBorders>
                    <w:right w:val="single" w:color="auto" w:sz="4" w:space="0"/>
                  </w:tcBorders>
                  <w:vAlign w:val="center"/>
                </w:tcPr>
                <w:p>
                  <w:pPr>
                    <w:jc w:val="center"/>
                    <w:rPr>
                      <w:bCs/>
                      <w:sz w:val="21"/>
                    </w:rPr>
                  </w:pPr>
                  <w:r>
                    <w:rPr>
                      <w:rFonts w:hint="eastAsia"/>
                      <w:bCs/>
                      <w:sz w:val="21"/>
                    </w:rPr>
                    <w:t>0</w:t>
                  </w:r>
                </w:p>
              </w:tc>
              <w:tc>
                <w:tcPr>
                  <w:tcW w:w="1784" w:type="dxa"/>
                  <w:tcBorders>
                    <w:left w:val="single" w:color="auto" w:sz="4" w:space="0"/>
                  </w:tcBorders>
                  <w:vAlign w:val="center"/>
                </w:tcPr>
                <w:p>
                  <w:pPr>
                    <w:jc w:val="center"/>
                    <w:rPr>
                      <w:bCs/>
                      <w:sz w:val="21"/>
                    </w:rPr>
                  </w:pPr>
                  <w:r>
                    <w:rPr>
                      <w:rFonts w:hint="eastAsia"/>
                      <w:bCs/>
                      <w:sz w:val="21"/>
                    </w:rPr>
                    <w:t>0</w:t>
                  </w:r>
                </w:p>
              </w:tc>
              <w:tc>
                <w:tcPr>
                  <w:tcW w:w="1887" w:type="dxa"/>
                  <w:vAlign w:val="center"/>
                </w:tcPr>
                <w:p>
                  <w:pPr>
                    <w:jc w:val="center"/>
                    <w:rPr>
                      <w:bCs/>
                      <w:sz w:val="21"/>
                    </w:rPr>
                  </w:pPr>
                  <w:r>
                    <w:rPr>
                      <w:rFonts w:hint="eastAsia"/>
                      <w:bCs/>
                      <w:sz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23" w:type="dxa"/>
                  <w:vMerge w:val="continue"/>
                  <w:vAlign w:val="center"/>
                </w:tcPr>
                <w:p>
                  <w:pPr>
                    <w:jc w:val="center"/>
                    <w:rPr>
                      <w:sz w:val="21"/>
                    </w:rPr>
                  </w:pPr>
                </w:p>
              </w:tc>
              <w:tc>
                <w:tcPr>
                  <w:tcW w:w="2075" w:type="dxa"/>
                  <w:vAlign w:val="center"/>
                </w:tcPr>
                <w:p>
                  <w:pPr>
                    <w:jc w:val="center"/>
                    <w:rPr>
                      <w:bCs/>
                      <w:sz w:val="21"/>
                    </w:rPr>
                  </w:pPr>
                  <w:r>
                    <w:rPr>
                      <w:bCs/>
                      <w:sz w:val="21"/>
                    </w:rPr>
                    <w:t>最大超标倍数</w:t>
                  </w:r>
                </w:p>
              </w:tc>
              <w:tc>
                <w:tcPr>
                  <w:tcW w:w="1701" w:type="dxa"/>
                  <w:tcBorders>
                    <w:right w:val="single" w:color="auto" w:sz="4" w:space="0"/>
                  </w:tcBorders>
                  <w:vAlign w:val="center"/>
                </w:tcPr>
                <w:p>
                  <w:pPr>
                    <w:jc w:val="center"/>
                    <w:rPr>
                      <w:bCs/>
                      <w:sz w:val="21"/>
                    </w:rPr>
                  </w:pPr>
                  <w:r>
                    <w:rPr>
                      <w:rFonts w:hint="eastAsia"/>
                      <w:bCs/>
                      <w:sz w:val="21"/>
                    </w:rPr>
                    <w:t>0</w:t>
                  </w:r>
                </w:p>
              </w:tc>
              <w:tc>
                <w:tcPr>
                  <w:tcW w:w="1784" w:type="dxa"/>
                  <w:tcBorders>
                    <w:left w:val="single" w:color="auto" w:sz="4" w:space="0"/>
                  </w:tcBorders>
                  <w:vAlign w:val="center"/>
                </w:tcPr>
                <w:p>
                  <w:pPr>
                    <w:jc w:val="center"/>
                    <w:rPr>
                      <w:bCs/>
                      <w:sz w:val="21"/>
                    </w:rPr>
                  </w:pPr>
                  <w:r>
                    <w:rPr>
                      <w:rFonts w:hint="eastAsia"/>
                      <w:bCs/>
                      <w:sz w:val="21"/>
                    </w:rPr>
                    <w:t>0</w:t>
                  </w:r>
                </w:p>
              </w:tc>
              <w:tc>
                <w:tcPr>
                  <w:tcW w:w="1887" w:type="dxa"/>
                  <w:vAlign w:val="center"/>
                </w:tcPr>
                <w:p>
                  <w:pPr>
                    <w:jc w:val="center"/>
                    <w:rPr>
                      <w:bCs/>
                      <w:sz w:val="21"/>
                    </w:rPr>
                  </w:pPr>
                  <w:r>
                    <w:rPr>
                      <w:rFonts w:hint="eastAsia"/>
                      <w:bCs/>
                      <w:sz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23" w:type="dxa"/>
                  <w:vMerge w:val="restart"/>
                  <w:vAlign w:val="center"/>
                </w:tcPr>
                <w:p>
                  <w:pPr>
                    <w:jc w:val="center"/>
                    <w:rPr>
                      <w:sz w:val="21"/>
                    </w:rPr>
                  </w:pPr>
                  <w:r>
                    <w:rPr>
                      <w:rFonts w:hint="eastAsia"/>
                      <w:sz w:val="21"/>
                    </w:rPr>
                    <w:t>厂界下风向（2#）</w:t>
                  </w:r>
                </w:p>
              </w:tc>
              <w:tc>
                <w:tcPr>
                  <w:tcW w:w="2075" w:type="dxa"/>
                  <w:vAlign w:val="center"/>
                </w:tcPr>
                <w:p>
                  <w:pPr>
                    <w:jc w:val="center"/>
                    <w:rPr>
                      <w:sz w:val="21"/>
                    </w:rPr>
                  </w:pPr>
                  <w:r>
                    <w:rPr>
                      <w:sz w:val="21"/>
                    </w:rPr>
                    <w:t>监测值范围</w:t>
                  </w:r>
                </w:p>
              </w:tc>
              <w:tc>
                <w:tcPr>
                  <w:tcW w:w="1701" w:type="dxa"/>
                  <w:tcBorders>
                    <w:right w:val="single" w:color="auto" w:sz="4" w:space="0"/>
                  </w:tcBorders>
                  <w:vAlign w:val="center"/>
                </w:tcPr>
                <w:p>
                  <w:pPr>
                    <w:jc w:val="center"/>
                    <w:rPr>
                      <w:sz w:val="21"/>
                    </w:rPr>
                  </w:pPr>
                  <w:r>
                    <w:rPr>
                      <w:rFonts w:hint="eastAsia"/>
                      <w:sz w:val="21"/>
                    </w:rPr>
                    <w:t>ND</w:t>
                  </w:r>
                </w:p>
              </w:tc>
              <w:tc>
                <w:tcPr>
                  <w:tcW w:w="1784" w:type="dxa"/>
                  <w:tcBorders>
                    <w:left w:val="single" w:color="auto" w:sz="4" w:space="0"/>
                  </w:tcBorders>
                  <w:vAlign w:val="center"/>
                </w:tcPr>
                <w:p>
                  <w:pPr>
                    <w:jc w:val="center"/>
                    <w:rPr>
                      <w:sz w:val="21"/>
                    </w:rPr>
                  </w:pPr>
                  <w:r>
                    <w:rPr>
                      <w:rFonts w:hint="eastAsia"/>
                      <w:sz w:val="21"/>
                    </w:rPr>
                    <w:t>0.032~0.044</w:t>
                  </w:r>
                </w:p>
              </w:tc>
              <w:tc>
                <w:tcPr>
                  <w:tcW w:w="1887" w:type="dxa"/>
                  <w:vAlign w:val="center"/>
                </w:tcPr>
                <w:p>
                  <w:pPr>
                    <w:jc w:val="center"/>
                    <w:rPr>
                      <w:sz w:val="21"/>
                    </w:rPr>
                  </w:pPr>
                  <w:r>
                    <w:rPr>
                      <w:rFonts w:hint="eastAsia"/>
                      <w:sz w:val="21"/>
                    </w:rPr>
                    <w:t>0.049~0.068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23" w:type="dxa"/>
                  <w:vMerge w:val="continue"/>
                  <w:vAlign w:val="center"/>
                </w:tcPr>
                <w:p>
                  <w:pPr>
                    <w:jc w:val="center"/>
                    <w:rPr>
                      <w:sz w:val="21"/>
                    </w:rPr>
                  </w:pPr>
                </w:p>
              </w:tc>
              <w:tc>
                <w:tcPr>
                  <w:tcW w:w="2075" w:type="dxa"/>
                  <w:vAlign w:val="center"/>
                </w:tcPr>
                <w:p>
                  <w:pPr>
                    <w:jc w:val="center"/>
                    <w:rPr>
                      <w:bCs/>
                      <w:sz w:val="21"/>
                    </w:rPr>
                  </w:pPr>
                  <w:r>
                    <w:rPr>
                      <w:bCs/>
                      <w:sz w:val="21"/>
                    </w:rPr>
                    <w:t>超标率</w:t>
                  </w:r>
                </w:p>
              </w:tc>
              <w:tc>
                <w:tcPr>
                  <w:tcW w:w="1701" w:type="dxa"/>
                  <w:tcBorders>
                    <w:right w:val="single" w:color="auto" w:sz="4" w:space="0"/>
                  </w:tcBorders>
                  <w:vAlign w:val="center"/>
                </w:tcPr>
                <w:p>
                  <w:pPr>
                    <w:jc w:val="center"/>
                    <w:rPr>
                      <w:bCs/>
                      <w:sz w:val="21"/>
                    </w:rPr>
                  </w:pPr>
                  <w:r>
                    <w:rPr>
                      <w:rFonts w:hint="eastAsia"/>
                      <w:bCs/>
                      <w:sz w:val="21"/>
                    </w:rPr>
                    <w:t>0</w:t>
                  </w:r>
                </w:p>
              </w:tc>
              <w:tc>
                <w:tcPr>
                  <w:tcW w:w="1784" w:type="dxa"/>
                  <w:tcBorders>
                    <w:left w:val="single" w:color="auto" w:sz="4" w:space="0"/>
                  </w:tcBorders>
                  <w:vAlign w:val="center"/>
                </w:tcPr>
                <w:p>
                  <w:pPr>
                    <w:jc w:val="center"/>
                    <w:rPr>
                      <w:bCs/>
                      <w:sz w:val="21"/>
                    </w:rPr>
                  </w:pPr>
                  <w:r>
                    <w:rPr>
                      <w:rFonts w:hint="eastAsia"/>
                      <w:bCs/>
                      <w:sz w:val="21"/>
                    </w:rPr>
                    <w:t>0</w:t>
                  </w:r>
                </w:p>
              </w:tc>
              <w:tc>
                <w:tcPr>
                  <w:tcW w:w="1887" w:type="dxa"/>
                  <w:vAlign w:val="center"/>
                </w:tcPr>
                <w:p>
                  <w:pPr>
                    <w:jc w:val="center"/>
                    <w:rPr>
                      <w:bCs/>
                      <w:sz w:val="21"/>
                    </w:rPr>
                  </w:pPr>
                  <w:r>
                    <w:rPr>
                      <w:rFonts w:hint="eastAsia"/>
                      <w:bCs/>
                      <w:sz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423" w:type="dxa"/>
                  <w:vMerge w:val="continue"/>
                  <w:vAlign w:val="center"/>
                </w:tcPr>
                <w:p>
                  <w:pPr>
                    <w:jc w:val="center"/>
                    <w:rPr>
                      <w:sz w:val="21"/>
                    </w:rPr>
                  </w:pPr>
                </w:p>
              </w:tc>
              <w:tc>
                <w:tcPr>
                  <w:tcW w:w="2075" w:type="dxa"/>
                  <w:vAlign w:val="center"/>
                </w:tcPr>
                <w:p>
                  <w:pPr>
                    <w:jc w:val="center"/>
                    <w:rPr>
                      <w:bCs/>
                      <w:sz w:val="21"/>
                    </w:rPr>
                  </w:pPr>
                  <w:r>
                    <w:rPr>
                      <w:bCs/>
                      <w:sz w:val="21"/>
                    </w:rPr>
                    <w:t>最大超标倍数</w:t>
                  </w:r>
                </w:p>
              </w:tc>
              <w:tc>
                <w:tcPr>
                  <w:tcW w:w="1701" w:type="dxa"/>
                  <w:tcBorders>
                    <w:right w:val="single" w:color="auto" w:sz="4" w:space="0"/>
                  </w:tcBorders>
                  <w:vAlign w:val="center"/>
                </w:tcPr>
                <w:p>
                  <w:pPr>
                    <w:jc w:val="center"/>
                    <w:rPr>
                      <w:bCs/>
                      <w:sz w:val="21"/>
                    </w:rPr>
                  </w:pPr>
                  <w:r>
                    <w:rPr>
                      <w:rFonts w:hint="eastAsia"/>
                      <w:bCs/>
                      <w:sz w:val="21"/>
                    </w:rPr>
                    <w:t>0</w:t>
                  </w:r>
                </w:p>
              </w:tc>
              <w:tc>
                <w:tcPr>
                  <w:tcW w:w="1784" w:type="dxa"/>
                  <w:tcBorders>
                    <w:left w:val="single" w:color="auto" w:sz="4" w:space="0"/>
                  </w:tcBorders>
                  <w:vAlign w:val="center"/>
                </w:tcPr>
                <w:p>
                  <w:pPr>
                    <w:jc w:val="center"/>
                    <w:rPr>
                      <w:bCs/>
                      <w:sz w:val="21"/>
                    </w:rPr>
                  </w:pPr>
                  <w:r>
                    <w:rPr>
                      <w:rFonts w:hint="eastAsia"/>
                      <w:bCs/>
                      <w:sz w:val="21"/>
                    </w:rPr>
                    <w:t>0</w:t>
                  </w:r>
                </w:p>
              </w:tc>
              <w:tc>
                <w:tcPr>
                  <w:tcW w:w="1887" w:type="dxa"/>
                  <w:vAlign w:val="center"/>
                </w:tcPr>
                <w:p>
                  <w:pPr>
                    <w:jc w:val="center"/>
                    <w:rPr>
                      <w:bCs/>
                      <w:sz w:val="21"/>
                    </w:rPr>
                  </w:pPr>
                  <w:r>
                    <w:rPr>
                      <w:rFonts w:hint="eastAsia"/>
                      <w:bCs/>
                      <w:sz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3498" w:type="dxa"/>
                  <w:gridSpan w:val="2"/>
                  <w:vAlign w:val="center"/>
                </w:tcPr>
                <w:p>
                  <w:pPr>
                    <w:jc w:val="center"/>
                    <w:rPr>
                      <w:sz w:val="21"/>
                    </w:rPr>
                  </w:pPr>
                  <w:r>
                    <w:rPr>
                      <w:rFonts w:hint="eastAsia"/>
                      <w:sz w:val="21"/>
                    </w:rPr>
                    <w:t>标准值</w:t>
                  </w:r>
                </w:p>
              </w:tc>
              <w:tc>
                <w:tcPr>
                  <w:tcW w:w="1701" w:type="dxa"/>
                  <w:tcBorders>
                    <w:right w:val="single" w:color="auto" w:sz="4" w:space="0"/>
                  </w:tcBorders>
                  <w:vAlign w:val="center"/>
                </w:tcPr>
                <w:p>
                  <w:pPr>
                    <w:jc w:val="center"/>
                    <w:rPr>
                      <w:sz w:val="21"/>
                    </w:rPr>
                  </w:pPr>
                  <w:r>
                    <w:rPr>
                      <w:rFonts w:hint="eastAsia"/>
                      <w:sz w:val="21"/>
                    </w:rPr>
                    <w:t>0.5</w:t>
                  </w:r>
                </w:p>
              </w:tc>
              <w:tc>
                <w:tcPr>
                  <w:tcW w:w="1784" w:type="dxa"/>
                  <w:tcBorders>
                    <w:left w:val="single" w:color="auto" w:sz="4" w:space="0"/>
                  </w:tcBorders>
                  <w:vAlign w:val="center"/>
                </w:tcPr>
                <w:p>
                  <w:pPr>
                    <w:jc w:val="center"/>
                    <w:rPr>
                      <w:sz w:val="21"/>
                    </w:rPr>
                  </w:pPr>
                  <w:r>
                    <w:rPr>
                      <w:rFonts w:hint="eastAsia"/>
                      <w:sz w:val="21"/>
                    </w:rPr>
                    <w:t>0.2</w:t>
                  </w:r>
                </w:p>
              </w:tc>
              <w:tc>
                <w:tcPr>
                  <w:tcW w:w="1887" w:type="dxa"/>
                  <w:vAlign w:val="center"/>
                </w:tcPr>
                <w:p>
                  <w:pPr>
                    <w:jc w:val="center"/>
                    <w:rPr>
                      <w:sz w:val="21"/>
                    </w:rPr>
                  </w:pPr>
                  <w:r>
                    <w:rPr>
                      <w:rFonts w:hint="eastAsia"/>
                      <w:sz w:val="21"/>
                    </w:rPr>
                    <w:t>0.15</w:t>
                  </w:r>
                </w:p>
              </w:tc>
            </w:tr>
          </w:tbl>
          <w:p>
            <w:pPr>
              <w:ind w:firstLine="480" w:firstLineChars="200"/>
              <w:rPr>
                <w:rFonts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本项目所在地属二类环境功能区，目前环境空气质量能达到《环境空气质量标准》（GB3095-2012）二级标准的要求。</w:t>
            </w:r>
          </w:p>
          <w:p>
            <w:pPr>
              <w:ind w:firstLine="495"/>
              <w:rPr>
                <w:rFonts w:ascii="宋体" w:hAnsi="宋体"/>
                <w:b/>
                <w:color w:val="000000" w:themeColor="text1"/>
                <w:szCs w:val="28"/>
                <w14:textFill>
                  <w14:solidFill>
                    <w14:schemeClr w14:val="tx1"/>
                  </w14:solidFill>
                </w14:textFill>
              </w:rPr>
            </w:pPr>
            <w:r>
              <w:rPr>
                <w:rFonts w:hint="eastAsia" w:ascii="宋体" w:hAnsi="宋体"/>
                <w:b/>
                <w:color w:val="000000" w:themeColor="text1"/>
                <w:szCs w:val="28"/>
                <w14:textFill>
                  <w14:solidFill>
                    <w14:schemeClr w14:val="tx1"/>
                  </w14:solidFill>
                </w14:textFill>
              </w:rPr>
              <w:t>二、水环境质量现状</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（1）监测点设置：办公室后200米处山塘1个点，项目的水塘下游100米处1点，办公室旁井水1个点。</w:t>
            </w:r>
          </w:p>
          <w:p>
            <w:pPr>
              <w:spacing w:line="240" w:lineRule="auto"/>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（2）监测因子：</w:t>
            </w:r>
            <w:r>
              <w:rPr>
                <w:rFonts w:ascii="宋体" w:hAnsi="宋体"/>
                <w:color w:val="000000" w:themeColor="text1"/>
                <w:szCs w:val="24"/>
                <w14:textFill>
                  <w14:solidFill>
                    <w14:schemeClr w14:val="tx1"/>
                  </w14:solidFill>
                </w14:textFill>
              </w:rPr>
              <w:t>PH</w:t>
            </w:r>
            <w:r>
              <w:rPr>
                <w:rFonts w:hint="eastAsia" w:ascii="宋体" w:hAnsi="宋体"/>
                <w:color w:val="000000" w:themeColor="text1"/>
                <w:szCs w:val="24"/>
                <w14:textFill>
                  <w14:solidFill>
                    <w14:schemeClr w14:val="tx1"/>
                  </w14:solidFill>
                </w14:textFill>
              </w:rPr>
              <w:t>、学需氧量、总磷、粪大肠菌群、BOD5、悬浮物、氨氮。</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（3）监测时间：2016年9月27日～29日；</w:t>
            </w:r>
          </w:p>
          <w:p>
            <w:pPr>
              <w:spacing w:line="240" w:lineRule="auto"/>
              <w:ind w:firstLine="495"/>
              <w:jc w:val="center"/>
              <w:rPr>
                <w:rFonts w:ascii="宋体" w:hAnsi="宋体"/>
                <w:b/>
                <w:color w:val="000000" w:themeColor="text1"/>
                <w:szCs w:val="28"/>
                <w14:textFill>
                  <w14:solidFill>
                    <w14:schemeClr w14:val="tx1"/>
                  </w14:solidFill>
                </w14:textFill>
              </w:rPr>
            </w:pPr>
            <w:r>
              <w:rPr>
                <w:rFonts w:hint="eastAsia" w:ascii="宋体" w:hAnsi="宋体"/>
                <w:b/>
                <w:color w:val="000000" w:themeColor="text1"/>
                <w:szCs w:val="28"/>
                <w14:textFill>
                  <w14:solidFill>
                    <w14:schemeClr w14:val="tx1"/>
                  </w14:solidFill>
                </w14:textFill>
              </w:rPr>
              <w:t>表5  水环境质量现状监测结果</w:t>
            </w:r>
          </w:p>
          <w:tbl>
            <w:tblPr>
              <w:tblStyle w:val="10"/>
              <w:tblW w:w="8699" w:type="dxa"/>
              <w:jc w:val="center"/>
              <w:tblInd w:w="20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835"/>
              <w:gridCol w:w="1134"/>
              <w:gridCol w:w="1134"/>
              <w:gridCol w:w="1134"/>
              <w:gridCol w:w="11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tcBorders>
                    <w:left w:val="single" w:color="auto" w:sz="4" w:space="0"/>
                  </w:tcBorders>
                  <w:vAlign w:val="center"/>
                </w:tcPr>
                <w:p>
                  <w:pPr>
                    <w:adjustRightInd w:val="0"/>
                    <w:jc w:val="center"/>
                    <w:rPr>
                      <w:sz w:val="21"/>
                    </w:rPr>
                  </w:pPr>
                  <w:r>
                    <w:rPr>
                      <w:rFonts w:hint="eastAsia"/>
                      <w:sz w:val="21"/>
                    </w:rPr>
                    <w:t>监测因子</w:t>
                  </w:r>
                </w:p>
              </w:tc>
              <w:tc>
                <w:tcPr>
                  <w:tcW w:w="2835" w:type="dxa"/>
                  <w:vAlign w:val="center"/>
                </w:tcPr>
                <w:p>
                  <w:pPr>
                    <w:jc w:val="center"/>
                    <w:rPr>
                      <w:spacing w:val="4"/>
                      <w:sz w:val="21"/>
                    </w:rPr>
                  </w:pPr>
                  <w:r>
                    <w:rPr>
                      <w:rFonts w:hint="eastAsia"/>
                      <w:spacing w:val="4"/>
                      <w:sz w:val="21"/>
                    </w:rPr>
                    <w:t>监测点</w:t>
                  </w:r>
                </w:p>
              </w:tc>
              <w:tc>
                <w:tcPr>
                  <w:tcW w:w="1134" w:type="dxa"/>
                  <w:vAlign w:val="center"/>
                </w:tcPr>
                <w:p>
                  <w:pPr>
                    <w:jc w:val="center"/>
                    <w:rPr>
                      <w:spacing w:val="4"/>
                      <w:sz w:val="21"/>
                    </w:rPr>
                  </w:pPr>
                  <w:r>
                    <w:rPr>
                      <w:rFonts w:hint="eastAsia"/>
                      <w:spacing w:val="4"/>
                      <w:sz w:val="21"/>
                    </w:rPr>
                    <w:t>三日平均值</w:t>
                  </w:r>
                </w:p>
              </w:tc>
              <w:tc>
                <w:tcPr>
                  <w:tcW w:w="1134" w:type="dxa"/>
                  <w:vAlign w:val="center"/>
                </w:tcPr>
                <w:p>
                  <w:pPr>
                    <w:jc w:val="center"/>
                    <w:rPr>
                      <w:spacing w:val="4"/>
                      <w:sz w:val="21"/>
                    </w:rPr>
                  </w:pPr>
                  <w:r>
                    <w:rPr>
                      <w:rFonts w:hint="eastAsia"/>
                      <w:spacing w:val="4"/>
                      <w:sz w:val="21"/>
                    </w:rPr>
                    <w:t>超标率</w:t>
                  </w:r>
                  <w:r>
                    <w:rPr>
                      <w:spacing w:val="4"/>
                      <w:sz w:val="21"/>
                    </w:rPr>
                    <w:t>（％）</w:t>
                  </w:r>
                </w:p>
              </w:tc>
              <w:tc>
                <w:tcPr>
                  <w:tcW w:w="1134" w:type="dxa"/>
                  <w:vAlign w:val="center"/>
                </w:tcPr>
                <w:p>
                  <w:pPr>
                    <w:jc w:val="center"/>
                    <w:rPr>
                      <w:spacing w:val="4"/>
                      <w:sz w:val="21"/>
                    </w:rPr>
                  </w:pPr>
                  <w:r>
                    <w:rPr>
                      <w:rFonts w:hint="eastAsia"/>
                      <w:spacing w:val="4"/>
                      <w:sz w:val="21"/>
                    </w:rPr>
                    <w:t>超标倍数</w:t>
                  </w:r>
                </w:p>
              </w:tc>
              <w:tc>
                <w:tcPr>
                  <w:tcW w:w="1186" w:type="dxa"/>
                  <w:tcBorders>
                    <w:right w:val="single" w:color="auto" w:sz="4" w:space="0"/>
                  </w:tcBorders>
                  <w:vAlign w:val="center"/>
                </w:tcPr>
                <w:p>
                  <w:pPr>
                    <w:jc w:val="center"/>
                    <w:rPr>
                      <w:spacing w:val="4"/>
                      <w:sz w:val="21"/>
                    </w:rPr>
                  </w:pPr>
                  <w:r>
                    <w:rPr>
                      <w:rFonts w:hint="eastAsia"/>
                      <w:spacing w:val="4"/>
                      <w:sz w:val="21"/>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restart"/>
                  <w:tcBorders>
                    <w:left w:val="single" w:color="auto" w:sz="4" w:space="0"/>
                  </w:tcBorders>
                  <w:vAlign w:val="center"/>
                </w:tcPr>
                <w:p>
                  <w:pPr>
                    <w:tabs>
                      <w:tab w:val="left" w:pos="3600"/>
                      <w:tab w:val="left" w:pos="5220"/>
                    </w:tabs>
                    <w:jc w:val="center"/>
                    <w:rPr>
                      <w:sz w:val="21"/>
                    </w:rPr>
                  </w:pPr>
                  <w:r>
                    <w:rPr>
                      <w:sz w:val="21"/>
                    </w:rPr>
                    <w:t>pH</w:t>
                  </w:r>
                </w:p>
                <w:p>
                  <w:pPr>
                    <w:adjustRightInd w:val="0"/>
                    <w:jc w:val="center"/>
                    <w:rPr>
                      <w:sz w:val="21"/>
                    </w:rPr>
                  </w:pPr>
                  <w:r>
                    <w:rPr>
                      <w:sz w:val="21"/>
                    </w:rPr>
                    <w:t>（无量纲</w:t>
                  </w:r>
                  <w:r>
                    <w:rPr>
                      <w:rFonts w:hint="eastAsia"/>
                      <w:sz w:val="21"/>
                    </w:rPr>
                    <w:t>）</w:t>
                  </w:r>
                </w:p>
              </w:tc>
              <w:tc>
                <w:tcPr>
                  <w:tcW w:w="2835" w:type="dxa"/>
                  <w:vAlign w:val="center"/>
                </w:tcPr>
                <w:p>
                  <w:pPr>
                    <w:jc w:val="center"/>
                    <w:rPr>
                      <w:spacing w:val="4"/>
                      <w:sz w:val="21"/>
                    </w:rPr>
                  </w:pPr>
                  <w:r>
                    <w:rPr>
                      <w:rFonts w:hint="eastAsia"/>
                      <w:spacing w:val="4"/>
                      <w:sz w:val="21"/>
                    </w:rPr>
                    <w:t>办公室后200米处山塘</w:t>
                  </w:r>
                </w:p>
              </w:tc>
              <w:tc>
                <w:tcPr>
                  <w:tcW w:w="1134" w:type="dxa"/>
                  <w:vAlign w:val="center"/>
                </w:tcPr>
                <w:p>
                  <w:pPr>
                    <w:jc w:val="center"/>
                    <w:rPr>
                      <w:spacing w:val="4"/>
                      <w:sz w:val="21"/>
                    </w:rPr>
                  </w:pPr>
                  <w:r>
                    <w:rPr>
                      <w:rFonts w:hint="eastAsia"/>
                      <w:spacing w:val="4"/>
                      <w:sz w:val="21"/>
                    </w:rPr>
                    <w:t>6.67</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vMerge w:val="restart"/>
                  <w:tcBorders>
                    <w:right w:val="single" w:color="auto" w:sz="4" w:space="0"/>
                  </w:tcBorders>
                  <w:vAlign w:val="center"/>
                </w:tcPr>
                <w:p>
                  <w:pPr>
                    <w:jc w:val="center"/>
                    <w:rPr>
                      <w:spacing w:val="4"/>
                      <w:sz w:val="21"/>
                    </w:rPr>
                  </w:pPr>
                  <w:r>
                    <w:rPr>
                      <w:spacing w:val="4"/>
                      <w:sz w:val="21"/>
                    </w:rPr>
                    <w:t>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continue"/>
                  <w:tcBorders>
                    <w:left w:val="single" w:color="auto" w:sz="4" w:space="0"/>
                  </w:tcBorders>
                  <w:vAlign w:val="center"/>
                </w:tcPr>
                <w:p>
                  <w:pPr>
                    <w:tabs>
                      <w:tab w:val="left" w:pos="3600"/>
                      <w:tab w:val="left" w:pos="5220"/>
                    </w:tabs>
                    <w:jc w:val="center"/>
                    <w:rPr>
                      <w:sz w:val="21"/>
                    </w:rPr>
                  </w:pPr>
                </w:p>
              </w:tc>
              <w:tc>
                <w:tcPr>
                  <w:tcW w:w="2835" w:type="dxa"/>
                  <w:vAlign w:val="center"/>
                </w:tcPr>
                <w:p>
                  <w:pPr>
                    <w:jc w:val="center"/>
                    <w:rPr>
                      <w:spacing w:val="4"/>
                      <w:sz w:val="21"/>
                    </w:rPr>
                  </w:pPr>
                  <w:r>
                    <w:rPr>
                      <w:rFonts w:hint="eastAsia"/>
                      <w:spacing w:val="4"/>
                      <w:sz w:val="21"/>
                    </w:rPr>
                    <w:t>项目的水塘下游100米处</w:t>
                  </w:r>
                </w:p>
              </w:tc>
              <w:tc>
                <w:tcPr>
                  <w:tcW w:w="1134" w:type="dxa"/>
                  <w:vAlign w:val="center"/>
                </w:tcPr>
                <w:p>
                  <w:pPr>
                    <w:jc w:val="center"/>
                    <w:rPr>
                      <w:spacing w:val="4"/>
                      <w:sz w:val="21"/>
                    </w:rPr>
                  </w:pPr>
                  <w:r>
                    <w:rPr>
                      <w:rFonts w:hint="eastAsia"/>
                      <w:spacing w:val="4"/>
                      <w:sz w:val="21"/>
                    </w:rPr>
                    <w:t>6.64</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vMerge w:val="continue"/>
                  <w:tcBorders>
                    <w:right w:val="single" w:color="auto" w:sz="4" w:space="0"/>
                  </w:tcBorders>
                  <w:vAlign w:val="center"/>
                </w:tcPr>
                <w:p>
                  <w:pPr>
                    <w:jc w:val="center"/>
                    <w:rPr>
                      <w:spacing w:val="4"/>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continue"/>
                  <w:tcBorders>
                    <w:left w:val="single" w:color="auto" w:sz="4" w:space="0"/>
                  </w:tcBorders>
                  <w:vAlign w:val="center"/>
                </w:tcPr>
                <w:p>
                  <w:pPr>
                    <w:adjustRightInd w:val="0"/>
                    <w:jc w:val="center"/>
                    <w:rPr>
                      <w:sz w:val="21"/>
                    </w:rPr>
                  </w:pPr>
                </w:p>
              </w:tc>
              <w:tc>
                <w:tcPr>
                  <w:tcW w:w="2835" w:type="dxa"/>
                  <w:vAlign w:val="center"/>
                </w:tcPr>
                <w:p>
                  <w:pPr>
                    <w:jc w:val="center"/>
                    <w:rPr>
                      <w:spacing w:val="4"/>
                      <w:sz w:val="21"/>
                    </w:rPr>
                  </w:pPr>
                  <w:r>
                    <w:rPr>
                      <w:rFonts w:hint="eastAsia"/>
                      <w:spacing w:val="4"/>
                      <w:sz w:val="21"/>
                    </w:rPr>
                    <w:t>办公室旁井水</w:t>
                  </w:r>
                </w:p>
              </w:tc>
              <w:tc>
                <w:tcPr>
                  <w:tcW w:w="1134" w:type="dxa"/>
                  <w:vAlign w:val="center"/>
                </w:tcPr>
                <w:p>
                  <w:pPr>
                    <w:jc w:val="center"/>
                    <w:rPr>
                      <w:spacing w:val="4"/>
                      <w:sz w:val="21"/>
                    </w:rPr>
                  </w:pPr>
                  <w:r>
                    <w:rPr>
                      <w:rFonts w:hint="eastAsia"/>
                      <w:spacing w:val="4"/>
                      <w:sz w:val="21"/>
                    </w:rPr>
                    <w:t>7.25</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tcBorders>
                    <w:right w:val="single" w:color="auto" w:sz="4" w:space="0"/>
                  </w:tcBorders>
                  <w:vAlign w:val="center"/>
                </w:tcPr>
                <w:p>
                  <w:pPr>
                    <w:jc w:val="center"/>
                    <w:rPr>
                      <w:spacing w:val="4"/>
                      <w:sz w:val="21"/>
                    </w:rPr>
                  </w:pPr>
                  <w:r>
                    <w:rPr>
                      <w:spacing w:val="4"/>
                      <w:sz w:val="21"/>
                    </w:rPr>
                    <w:t>6</w:t>
                  </w:r>
                  <w:r>
                    <w:rPr>
                      <w:rFonts w:hint="eastAsia"/>
                      <w:spacing w:val="4"/>
                      <w:sz w:val="21"/>
                    </w:rPr>
                    <w:t>.5</w:t>
                  </w:r>
                  <w:r>
                    <w:rPr>
                      <w:spacing w:val="4"/>
                      <w:sz w:val="21"/>
                    </w:rPr>
                    <w:t>~</w:t>
                  </w:r>
                  <w:r>
                    <w:rPr>
                      <w:rFonts w:hint="eastAsia"/>
                      <w:spacing w:val="4"/>
                      <w:sz w:val="21"/>
                    </w:rPr>
                    <w:t>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restart"/>
                  <w:tcBorders>
                    <w:left w:val="single" w:color="auto" w:sz="4" w:space="0"/>
                  </w:tcBorders>
                  <w:vAlign w:val="center"/>
                </w:tcPr>
                <w:p>
                  <w:pPr>
                    <w:adjustRightInd w:val="0"/>
                    <w:jc w:val="center"/>
                    <w:rPr>
                      <w:sz w:val="21"/>
                    </w:rPr>
                  </w:pPr>
                  <w:r>
                    <w:rPr>
                      <w:sz w:val="21"/>
                    </w:rPr>
                    <w:t>COD</w:t>
                  </w:r>
                  <w:r>
                    <w:rPr>
                      <w:rFonts w:hint="eastAsia"/>
                      <w:sz w:val="21"/>
                    </w:rPr>
                    <w:t>（mg/L）</w:t>
                  </w:r>
                </w:p>
              </w:tc>
              <w:tc>
                <w:tcPr>
                  <w:tcW w:w="2835" w:type="dxa"/>
                  <w:vAlign w:val="center"/>
                </w:tcPr>
                <w:p>
                  <w:pPr>
                    <w:jc w:val="center"/>
                    <w:rPr>
                      <w:spacing w:val="4"/>
                      <w:sz w:val="21"/>
                    </w:rPr>
                  </w:pPr>
                  <w:r>
                    <w:rPr>
                      <w:rFonts w:hint="eastAsia"/>
                      <w:spacing w:val="4"/>
                      <w:sz w:val="21"/>
                    </w:rPr>
                    <w:t>办公室后200米处山塘</w:t>
                  </w:r>
                </w:p>
              </w:tc>
              <w:tc>
                <w:tcPr>
                  <w:tcW w:w="1134" w:type="dxa"/>
                  <w:vAlign w:val="center"/>
                </w:tcPr>
                <w:p>
                  <w:pPr>
                    <w:jc w:val="center"/>
                    <w:rPr>
                      <w:spacing w:val="4"/>
                      <w:sz w:val="21"/>
                    </w:rPr>
                  </w:pPr>
                  <w:r>
                    <w:rPr>
                      <w:rFonts w:hint="eastAsia"/>
                      <w:spacing w:val="4"/>
                      <w:sz w:val="21"/>
                    </w:rPr>
                    <w:t>12.47</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vMerge w:val="restart"/>
                  <w:tcBorders>
                    <w:right w:val="single" w:color="auto" w:sz="4" w:space="0"/>
                  </w:tcBorders>
                  <w:vAlign w:val="center"/>
                </w:tcPr>
                <w:p>
                  <w:pPr>
                    <w:jc w:val="center"/>
                    <w:rPr>
                      <w:spacing w:val="4"/>
                      <w:sz w:val="21"/>
                    </w:rPr>
                  </w:pPr>
                  <w:r>
                    <w:rPr>
                      <w:rFonts w:hint="eastAsia"/>
                      <w:spacing w:val="4"/>
                      <w:sz w:val="21"/>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continue"/>
                  <w:tcBorders>
                    <w:left w:val="single" w:color="auto" w:sz="4" w:space="0"/>
                  </w:tcBorders>
                  <w:vAlign w:val="center"/>
                </w:tcPr>
                <w:p>
                  <w:pPr>
                    <w:adjustRightInd w:val="0"/>
                    <w:jc w:val="center"/>
                    <w:rPr>
                      <w:sz w:val="21"/>
                    </w:rPr>
                  </w:pPr>
                </w:p>
              </w:tc>
              <w:tc>
                <w:tcPr>
                  <w:tcW w:w="2835" w:type="dxa"/>
                  <w:vAlign w:val="center"/>
                </w:tcPr>
                <w:p>
                  <w:pPr>
                    <w:jc w:val="center"/>
                    <w:rPr>
                      <w:spacing w:val="4"/>
                      <w:sz w:val="21"/>
                    </w:rPr>
                  </w:pPr>
                  <w:r>
                    <w:rPr>
                      <w:rFonts w:hint="eastAsia"/>
                      <w:spacing w:val="4"/>
                      <w:sz w:val="21"/>
                    </w:rPr>
                    <w:t>项目的水塘下游100米处</w:t>
                  </w:r>
                </w:p>
              </w:tc>
              <w:tc>
                <w:tcPr>
                  <w:tcW w:w="1134" w:type="dxa"/>
                  <w:vAlign w:val="center"/>
                </w:tcPr>
                <w:p>
                  <w:pPr>
                    <w:jc w:val="center"/>
                    <w:rPr>
                      <w:spacing w:val="4"/>
                      <w:sz w:val="21"/>
                    </w:rPr>
                  </w:pPr>
                  <w:r>
                    <w:rPr>
                      <w:rFonts w:hint="eastAsia"/>
                      <w:spacing w:val="4"/>
                      <w:sz w:val="21"/>
                    </w:rPr>
                    <w:t>12.33</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vMerge w:val="continue"/>
                  <w:tcBorders>
                    <w:right w:val="single" w:color="auto" w:sz="4" w:space="0"/>
                  </w:tcBorders>
                  <w:vAlign w:val="center"/>
                </w:tcPr>
                <w:p>
                  <w:pPr>
                    <w:jc w:val="center"/>
                    <w:rPr>
                      <w:spacing w:val="4"/>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continue"/>
                  <w:tcBorders>
                    <w:left w:val="single" w:color="auto" w:sz="4" w:space="0"/>
                  </w:tcBorders>
                  <w:vAlign w:val="center"/>
                </w:tcPr>
                <w:p>
                  <w:pPr>
                    <w:adjustRightInd w:val="0"/>
                    <w:jc w:val="center"/>
                    <w:rPr>
                      <w:sz w:val="21"/>
                    </w:rPr>
                  </w:pPr>
                </w:p>
              </w:tc>
              <w:tc>
                <w:tcPr>
                  <w:tcW w:w="2835" w:type="dxa"/>
                  <w:vAlign w:val="center"/>
                </w:tcPr>
                <w:p>
                  <w:pPr>
                    <w:jc w:val="center"/>
                    <w:rPr>
                      <w:spacing w:val="4"/>
                      <w:sz w:val="21"/>
                    </w:rPr>
                  </w:pPr>
                  <w:r>
                    <w:rPr>
                      <w:rFonts w:hint="eastAsia"/>
                      <w:spacing w:val="4"/>
                      <w:sz w:val="21"/>
                    </w:rPr>
                    <w:t>办公室旁井水</w:t>
                  </w:r>
                </w:p>
              </w:tc>
              <w:tc>
                <w:tcPr>
                  <w:tcW w:w="1134" w:type="dxa"/>
                  <w:vAlign w:val="center"/>
                </w:tcPr>
                <w:p>
                  <w:pPr>
                    <w:jc w:val="center"/>
                    <w:rPr>
                      <w:spacing w:val="4"/>
                      <w:sz w:val="21"/>
                    </w:rPr>
                  </w:pPr>
                  <w:r>
                    <w:rPr>
                      <w:rFonts w:hint="eastAsia"/>
                      <w:spacing w:val="4"/>
                      <w:sz w:val="21"/>
                    </w:rPr>
                    <w:t>/</w:t>
                  </w:r>
                </w:p>
              </w:tc>
              <w:tc>
                <w:tcPr>
                  <w:tcW w:w="1134" w:type="dxa"/>
                  <w:vAlign w:val="center"/>
                </w:tcPr>
                <w:p>
                  <w:pPr>
                    <w:jc w:val="center"/>
                    <w:rPr>
                      <w:spacing w:val="4"/>
                      <w:sz w:val="21"/>
                    </w:rPr>
                  </w:pPr>
                  <w:r>
                    <w:rPr>
                      <w:rFonts w:hint="eastAsia"/>
                      <w:spacing w:val="4"/>
                      <w:sz w:val="21"/>
                    </w:rPr>
                    <w:t>/</w:t>
                  </w:r>
                </w:p>
              </w:tc>
              <w:tc>
                <w:tcPr>
                  <w:tcW w:w="1134" w:type="dxa"/>
                  <w:vAlign w:val="center"/>
                </w:tcPr>
                <w:p>
                  <w:pPr>
                    <w:jc w:val="center"/>
                    <w:rPr>
                      <w:spacing w:val="4"/>
                      <w:sz w:val="21"/>
                    </w:rPr>
                  </w:pPr>
                  <w:r>
                    <w:rPr>
                      <w:rFonts w:hint="eastAsia"/>
                      <w:spacing w:val="4"/>
                      <w:sz w:val="21"/>
                    </w:rPr>
                    <w:t>/</w:t>
                  </w:r>
                </w:p>
              </w:tc>
              <w:tc>
                <w:tcPr>
                  <w:tcW w:w="1186" w:type="dxa"/>
                  <w:tcBorders>
                    <w:right w:val="single" w:color="auto" w:sz="4" w:space="0"/>
                  </w:tcBorders>
                  <w:vAlign w:val="center"/>
                </w:tcPr>
                <w:p>
                  <w:pPr>
                    <w:jc w:val="center"/>
                    <w:rPr>
                      <w:spacing w:val="4"/>
                      <w:sz w:val="21"/>
                    </w:rPr>
                  </w:pPr>
                  <w:r>
                    <w:rPr>
                      <w:rFonts w:hint="eastAsia"/>
                      <w:spacing w:val="4"/>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restart"/>
                  <w:tcBorders>
                    <w:left w:val="single" w:color="auto" w:sz="4" w:space="0"/>
                  </w:tcBorders>
                  <w:vAlign w:val="center"/>
                </w:tcPr>
                <w:p>
                  <w:pPr>
                    <w:adjustRightInd w:val="0"/>
                    <w:jc w:val="center"/>
                    <w:rPr>
                      <w:sz w:val="21"/>
                    </w:rPr>
                  </w:pPr>
                  <w:r>
                    <w:rPr>
                      <w:rFonts w:hint="eastAsia"/>
                      <w:sz w:val="21"/>
                    </w:rPr>
                    <w:t>BOD</w:t>
                  </w:r>
                  <w:r>
                    <w:rPr>
                      <w:rFonts w:hint="eastAsia"/>
                      <w:sz w:val="21"/>
                      <w:vertAlign w:val="subscript"/>
                    </w:rPr>
                    <w:t>5</w:t>
                  </w:r>
                  <w:r>
                    <w:rPr>
                      <w:rFonts w:hint="eastAsia"/>
                      <w:sz w:val="21"/>
                    </w:rPr>
                    <w:t>（mg/L）</w:t>
                  </w:r>
                </w:p>
              </w:tc>
              <w:tc>
                <w:tcPr>
                  <w:tcW w:w="2835" w:type="dxa"/>
                  <w:vAlign w:val="center"/>
                </w:tcPr>
                <w:p>
                  <w:pPr>
                    <w:jc w:val="center"/>
                    <w:rPr>
                      <w:spacing w:val="4"/>
                      <w:sz w:val="21"/>
                    </w:rPr>
                  </w:pPr>
                  <w:r>
                    <w:rPr>
                      <w:rFonts w:hint="eastAsia"/>
                      <w:spacing w:val="4"/>
                      <w:sz w:val="21"/>
                    </w:rPr>
                    <w:t>办公室后200米处山塘</w:t>
                  </w:r>
                </w:p>
              </w:tc>
              <w:tc>
                <w:tcPr>
                  <w:tcW w:w="1134" w:type="dxa"/>
                  <w:vAlign w:val="center"/>
                </w:tcPr>
                <w:p>
                  <w:pPr>
                    <w:jc w:val="center"/>
                    <w:rPr>
                      <w:spacing w:val="4"/>
                      <w:sz w:val="21"/>
                    </w:rPr>
                  </w:pPr>
                  <w:r>
                    <w:rPr>
                      <w:rFonts w:hint="eastAsia"/>
                      <w:spacing w:val="4"/>
                      <w:sz w:val="21"/>
                    </w:rPr>
                    <w:t>2.60</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vMerge w:val="restart"/>
                  <w:tcBorders>
                    <w:right w:val="single" w:color="auto" w:sz="4" w:space="0"/>
                  </w:tcBorders>
                  <w:vAlign w:val="center"/>
                </w:tcPr>
                <w:p>
                  <w:pPr>
                    <w:jc w:val="center"/>
                    <w:rPr>
                      <w:spacing w:val="4"/>
                      <w:sz w:val="21"/>
                    </w:rPr>
                  </w:pPr>
                  <w:r>
                    <w:rPr>
                      <w:rFonts w:hint="eastAsia"/>
                      <w:spacing w:val="4"/>
                      <w:sz w:val="21"/>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continue"/>
                  <w:tcBorders>
                    <w:left w:val="single" w:color="auto" w:sz="4" w:space="0"/>
                  </w:tcBorders>
                  <w:vAlign w:val="center"/>
                </w:tcPr>
                <w:p>
                  <w:pPr>
                    <w:adjustRightInd w:val="0"/>
                    <w:jc w:val="center"/>
                    <w:rPr>
                      <w:sz w:val="21"/>
                    </w:rPr>
                  </w:pPr>
                </w:p>
              </w:tc>
              <w:tc>
                <w:tcPr>
                  <w:tcW w:w="2835" w:type="dxa"/>
                  <w:vAlign w:val="center"/>
                </w:tcPr>
                <w:p>
                  <w:pPr>
                    <w:jc w:val="center"/>
                    <w:rPr>
                      <w:spacing w:val="4"/>
                      <w:sz w:val="21"/>
                    </w:rPr>
                  </w:pPr>
                  <w:r>
                    <w:rPr>
                      <w:rFonts w:hint="eastAsia"/>
                      <w:spacing w:val="4"/>
                      <w:sz w:val="21"/>
                    </w:rPr>
                    <w:t>项目的水塘下游100米处</w:t>
                  </w:r>
                </w:p>
              </w:tc>
              <w:tc>
                <w:tcPr>
                  <w:tcW w:w="1134" w:type="dxa"/>
                  <w:vAlign w:val="center"/>
                </w:tcPr>
                <w:p>
                  <w:pPr>
                    <w:jc w:val="center"/>
                    <w:rPr>
                      <w:spacing w:val="4"/>
                      <w:sz w:val="21"/>
                    </w:rPr>
                  </w:pPr>
                  <w:r>
                    <w:rPr>
                      <w:rFonts w:hint="eastAsia"/>
                      <w:spacing w:val="4"/>
                      <w:sz w:val="21"/>
                    </w:rPr>
                    <w:t>2.70</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vMerge w:val="continue"/>
                  <w:tcBorders>
                    <w:right w:val="single" w:color="auto" w:sz="4" w:space="0"/>
                  </w:tcBorders>
                  <w:vAlign w:val="center"/>
                </w:tcPr>
                <w:p>
                  <w:pPr>
                    <w:jc w:val="center"/>
                    <w:rPr>
                      <w:spacing w:val="4"/>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continue"/>
                  <w:tcBorders>
                    <w:left w:val="single" w:color="auto" w:sz="4" w:space="0"/>
                  </w:tcBorders>
                  <w:vAlign w:val="center"/>
                </w:tcPr>
                <w:p>
                  <w:pPr>
                    <w:adjustRightInd w:val="0"/>
                    <w:jc w:val="center"/>
                    <w:rPr>
                      <w:sz w:val="21"/>
                    </w:rPr>
                  </w:pPr>
                </w:p>
              </w:tc>
              <w:tc>
                <w:tcPr>
                  <w:tcW w:w="2835" w:type="dxa"/>
                  <w:vAlign w:val="center"/>
                </w:tcPr>
                <w:p>
                  <w:pPr>
                    <w:jc w:val="center"/>
                    <w:rPr>
                      <w:spacing w:val="4"/>
                      <w:sz w:val="21"/>
                    </w:rPr>
                  </w:pPr>
                  <w:r>
                    <w:rPr>
                      <w:rFonts w:hint="eastAsia"/>
                      <w:spacing w:val="4"/>
                      <w:sz w:val="21"/>
                    </w:rPr>
                    <w:t>办公室旁井水</w:t>
                  </w:r>
                </w:p>
              </w:tc>
              <w:tc>
                <w:tcPr>
                  <w:tcW w:w="1134" w:type="dxa"/>
                  <w:vAlign w:val="center"/>
                </w:tcPr>
                <w:p>
                  <w:pPr>
                    <w:jc w:val="center"/>
                    <w:rPr>
                      <w:spacing w:val="4"/>
                      <w:sz w:val="21"/>
                    </w:rPr>
                  </w:pPr>
                  <w:r>
                    <w:rPr>
                      <w:rFonts w:hint="eastAsia"/>
                      <w:spacing w:val="4"/>
                      <w:sz w:val="21"/>
                    </w:rPr>
                    <w:t>/</w:t>
                  </w:r>
                </w:p>
              </w:tc>
              <w:tc>
                <w:tcPr>
                  <w:tcW w:w="1134" w:type="dxa"/>
                  <w:vAlign w:val="center"/>
                </w:tcPr>
                <w:p>
                  <w:pPr>
                    <w:jc w:val="center"/>
                    <w:rPr>
                      <w:spacing w:val="4"/>
                      <w:sz w:val="21"/>
                    </w:rPr>
                  </w:pPr>
                  <w:r>
                    <w:rPr>
                      <w:rFonts w:hint="eastAsia"/>
                      <w:spacing w:val="4"/>
                      <w:sz w:val="21"/>
                    </w:rPr>
                    <w:t>/</w:t>
                  </w:r>
                </w:p>
              </w:tc>
              <w:tc>
                <w:tcPr>
                  <w:tcW w:w="1134" w:type="dxa"/>
                  <w:vAlign w:val="center"/>
                </w:tcPr>
                <w:p>
                  <w:pPr>
                    <w:jc w:val="center"/>
                    <w:rPr>
                      <w:spacing w:val="4"/>
                      <w:sz w:val="21"/>
                    </w:rPr>
                  </w:pPr>
                  <w:r>
                    <w:rPr>
                      <w:rFonts w:hint="eastAsia"/>
                      <w:spacing w:val="4"/>
                      <w:sz w:val="21"/>
                    </w:rPr>
                    <w:t>/</w:t>
                  </w:r>
                </w:p>
              </w:tc>
              <w:tc>
                <w:tcPr>
                  <w:tcW w:w="1186" w:type="dxa"/>
                  <w:tcBorders>
                    <w:right w:val="single" w:color="auto" w:sz="4" w:space="0"/>
                  </w:tcBorders>
                  <w:vAlign w:val="center"/>
                </w:tcPr>
                <w:p>
                  <w:pPr>
                    <w:jc w:val="center"/>
                    <w:rPr>
                      <w:spacing w:val="4"/>
                      <w:sz w:val="21"/>
                    </w:rPr>
                  </w:pPr>
                  <w:r>
                    <w:rPr>
                      <w:rFonts w:hint="eastAsia"/>
                      <w:spacing w:val="4"/>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restart"/>
                  <w:tcBorders>
                    <w:left w:val="single" w:color="auto" w:sz="4" w:space="0"/>
                  </w:tcBorders>
                  <w:vAlign w:val="center"/>
                </w:tcPr>
                <w:p>
                  <w:pPr>
                    <w:adjustRightInd w:val="0"/>
                    <w:jc w:val="center"/>
                    <w:rPr>
                      <w:sz w:val="21"/>
                    </w:rPr>
                  </w:pPr>
                  <w:r>
                    <w:rPr>
                      <w:sz w:val="21"/>
                    </w:rPr>
                    <w:t>NH</w:t>
                  </w:r>
                  <w:r>
                    <w:rPr>
                      <w:sz w:val="21"/>
                      <w:vertAlign w:val="subscript"/>
                    </w:rPr>
                    <w:t>3</w:t>
                  </w:r>
                  <w:r>
                    <w:rPr>
                      <w:sz w:val="21"/>
                    </w:rPr>
                    <w:t>-N</w:t>
                  </w:r>
                  <w:r>
                    <w:rPr>
                      <w:rFonts w:hint="eastAsia"/>
                      <w:sz w:val="21"/>
                    </w:rPr>
                    <w:t>（mg/L）</w:t>
                  </w:r>
                </w:p>
              </w:tc>
              <w:tc>
                <w:tcPr>
                  <w:tcW w:w="2835" w:type="dxa"/>
                  <w:vAlign w:val="center"/>
                </w:tcPr>
                <w:p>
                  <w:pPr>
                    <w:jc w:val="center"/>
                    <w:rPr>
                      <w:spacing w:val="4"/>
                      <w:sz w:val="21"/>
                    </w:rPr>
                  </w:pPr>
                  <w:r>
                    <w:rPr>
                      <w:rFonts w:hint="eastAsia"/>
                      <w:spacing w:val="4"/>
                      <w:sz w:val="21"/>
                    </w:rPr>
                    <w:t>办公室后200米处山塘</w:t>
                  </w:r>
                </w:p>
              </w:tc>
              <w:tc>
                <w:tcPr>
                  <w:tcW w:w="1134" w:type="dxa"/>
                  <w:vAlign w:val="center"/>
                </w:tcPr>
                <w:p>
                  <w:pPr>
                    <w:jc w:val="center"/>
                    <w:rPr>
                      <w:spacing w:val="4"/>
                      <w:sz w:val="21"/>
                    </w:rPr>
                  </w:pPr>
                  <w:r>
                    <w:rPr>
                      <w:rFonts w:hint="eastAsia"/>
                      <w:spacing w:val="4"/>
                      <w:sz w:val="21"/>
                    </w:rPr>
                    <w:t>0.41</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vMerge w:val="restart"/>
                  <w:tcBorders>
                    <w:right w:val="single" w:color="auto" w:sz="4" w:space="0"/>
                  </w:tcBorders>
                  <w:vAlign w:val="center"/>
                </w:tcPr>
                <w:p>
                  <w:pPr>
                    <w:jc w:val="center"/>
                    <w:rPr>
                      <w:spacing w:val="4"/>
                      <w:sz w:val="21"/>
                    </w:rPr>
                  </w:pPr>
                  <w:r>
                    <w:rPr>
                      <w:rFonts w:hint="eastAsia"/>
                      <w:spacing w:val="4"/>
                      <w:sz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continue"/>
                  <w:tcBorders>
                    <w:left w:val="single" w:color="auto" w:sz="4" w:space="0"/>
                  </w:tcBorders>
                  <w:vAlign w:val="center"/>
                </w:tcPr>
                <w:p>
                  <w:pPr>
                    <w:adjustRightInd w:val="0"/>
                    <w:jc w:val="center"/>
                    <w:rPr>
                      <w:sz w:val="21"/>
                    </w:rPr>
                  </w:pPr>
                </w:p>
              </w:tc>
              <w:tc>
                <w:tcPr>
                  <w:tcW w:w="2835" w:type="dxa"/>
                  <w:vAlign w:val="center"/>
                </w:tcPr>
                <w:p>
                  <w:pPr>
                    <w:jc w:val="center"/>
                    <w:rPr>
                      <w:spacing w:val="4"/>
                      <w:sz w:val="21"/>
                    </w:rPr>
                  </w:pPr>
                  <w:r>
                    <w:rPr>
                      <w:rFonts w:hint="eastAsia"/>
                      <w:spacing w:val="4"/>
                      <w:sz w:val="21"/>
                    </w:rPr>
                    <w:t>项目的水塘下游100米处</w:t>
                  </w:r>
                </w:p>
              </w:tc>
              <w:tc>
                <w:tcPr>
                  <w:tcW w:w="1134" w:type="dxa"/>
                  <w:vAlign w:val="center"/>
                </w:tcPr>
                <w:p>
                  <w:pPr>
                    <w:jc w:val="center"/>
                    <w:rPr>
                      <w:spacing w:val="4"/>
                      <w:sz w:val="21"/>
                    </w:rPr>
                  </w:pPr>
                  <w:r>
                    <w:rPr>
                      <w:rFonts w:hint="eastAsia"/>
                      <w:spacing w:val="4"/>
                      <w:sz w:val="21"/>
                    </w:rPr>
                    <w:t>0.38</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vMerge w:val="continue"/>
                  <w:tcBorders>
                    <w:right w:val="single" w:color="auto" w:sz="4" w:space="0"/>
                  </w:tcBorders>
                  <w:vAlign w:val="center"/>
                </w:tcPr>
                <w:p>
                  <w:pPr>
                    <w:jc w:val="center"/>
                    <w:rPr>
                      <w:spacing w:val="4"/>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continue"/>
                  <w:tcBorders>
                    <w:left w:val="single" w:color="auto" w:sz="4" w:space="0"/>
                  </w:tcBorders>
                  <w:vAlign w:val="center"/>
                </w:tcPr>
                <w:p>
                  <w:pPr>
                    <w:adjustRightInd w:val="0"/>
                    <w:jc w:val="center"/>
                    <w:rPr>
                      <w:sz w:val="21"/>
                    </w:rPr>
                  </w:pPr>
                </w:p>
              </w:tc>
              <w:tc>
                <w:tcPr>
                  <w:tcW w:w="2835" w:type="dxa"/>
                  <w:vAlign w:val="center"/>
                </w:tcPr>
                <w:p>
                  <w:pPr>
                    <w:jc w:val="center"/>
                    <w:rPr>
                      <w:spacing w:val="4"/>
                      <w:sz w:val="21"/>
                    </w:rPr>
                  </w:pPr>
                  <w:r>
                    <w:rPr>
                      <w:rFonts w:hint="eastAsia"/>
                      <w:spacing w:val="4"/>
                      <w:sz w:val="21"/>
                    </w:rPr>
                    <w:t>办公室旁井水</w:t>
                  </w:r>
                </w:p>
              </w:tc>
              <w:tc>
                <w:tcPr>
                  <w:tcW w:w="1134" w:type="dxa"/>
                  <w:vAlign w:val="center"/>
                </w:tcPr>
                <w:p>
                  <w:pPr>
                    <w:jc w:val="center"/>
                    <w:rPr>
                      <w:spacing w:val="4"/>
                      <w:sz w:val="21"/>
                    </w:rPr>
                  </w:pPr>
                  <w:r>
                    <w:rPr>
                      <w:rFonts w:hint="eastAsia"/>
                      <w:spacing w:val="4"/>
                      <w:sz w:val="21"/>
                    </w:rPr>
                    <w:t>/</w:t>
                  </w:r>
                </w:p>
              </w:tc>
              <w:tc>
                <w:tcPr>
                  <w:tcW w:w="1134" w:type="dxa"/>
                  <w:vAlign w:val="center"/>
                </w:tcPr>
                <w:p>
                  <w:pPr>
                    <w:jc w:val="center"/>
                    <w:rPr>
                      <w:spacing w:val="4"/>
                      <w:sz w:val="21"/>
                    </w:rPr>
                  </w:pPr>
                  <w:r>
                    <w:rPr>
                      <w:rFonts w:hint="eastAsia"/>
                      <w:spacing w:val="4"/>
                      <w:sz w:val="21"/>
                    </w:rPr>
                    <w:t>/</w:t>
                  </w:r>
                </w:p>
              </w:tc>
              <w:tc>
                <w:tcPr>
                  <w:tcW w:w="1134" w:type="dxa"/>
                  <w:vAlign w:val="center"/>
                </w:tcPr>
                <w:p>
                  <w:pPr>
                    <w:jc w:val="center"/>
                    <w:rPr>
                      <w:spacing w:val="4"/>
                      <w:sz w:val="21"/>
                    </w:rPr>
                  </w:pPr>
                  <w:r>
                    <w:rPr>
                      <w:rFonts w:hint="eastAsia"/>
                      <w:spacing w:val="4"/>
                      <w:sz w:val="21"/>
                    </w:rPr>
                    <w:t>/</w:t>
                  </w:r>
                </w:p>
              </w:tc>
              <w:tc>
                <w:tcPr>
                  <w:tcW w:w="1186" w:type="dxa"/>
                  <w:tcBorders>
                    <w:right w:val="single" w:color="auto" w:sz="4" w:space="0"/>
                  </w:tcBorders>
                  <w:vAlign w:val="center"/>
                </w:tcPr>
                <w:p>
                  <w:pPr>
                    <w:jc w:val="center"/>
                    <w:rPr>
                      <w:spacing w:val="4"/>
                      <w:sz w:val="21"/>
                    </w:rPr>
                  </w:pPr>
                  <w:r>
                    <w:rPr>
                      <w:rFonts w:hint="eastAsia"/>
                      <w:spacing w:val="4"/>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restart"/>
                  <w:tcBorders>
                    <w:left w:val="single" w:color="auto" w:sz="4" w:space="0"/>
                  </w:tcBorders>
                  <w:vAlign w:val="center"/>
                </w:tcPr>
                <w:p>
                  <w:pPr>
                    <w:adjustRightInd w:val="0"/>
                    <w:jc w:val="center"/>
                    <w:rPr>
                      <w:sz w:val="21"/>
                    </w:rPr>
                  </w:pPr>
                  <w:r>
                    <w:rPr>
                      <w:rFonts w:hint="eastAsia"/>
                      <w:sz w:val="21"/>
                    </w:rPr>
                    <w:t>SS（mg/L）</w:t>
                  </w:r>
                </w:p>
              </w:tc>
              <w:tc>
                <w:tcPr>
                  <w:tcW w:w="2835" w:type="dxa"/>
                  <w:vAlign w:val="center"/>
                </w:tcPr>
                <w:p>
                  <w:pPr>
                    <w:jc w:val="center"/>
                    <w:rPr>
                      <w:spacing w:val="4"/>
                      <w:sz w:val="21"/>
                    </w:rPr>
                  </w:pPr>
                  <w:r>
                    <w:rPr>
                      <w:rFonts w:hint="eastAsia"/>
                      <w:spacing w:val="4"/>
                      <w:sz w:val="21"/>
                    </w:rPr>
                    <w:t>办公室后200米处山塘</w:t>
                  </w:r>
                </w:p>
              </w:tc>
              <w:tc>
                <w:tcPr>
                  <w:tcW w:w="1134" w:type="dxa"/>
                  <w:vAlign w:val="center"/>
                </w:tcPr>
                <w:p>
                  <w:pPr>
                    <w:jc w:val="center"/>
                    <w:rPr>
                      <w:spacing w:val="4"/>
                      <w:sz w:val="21"/>
                    </w:rPr>
                  </w:pPr>
                  <w:r>
                    <w:rPr>
                      <w:rFonts w:hint="eastAsia"/>
                      <w:spacing w:val="4"/>
                      <w:sz w:val="21"/>
                    </w:rPr>
                    <w:t>18.33</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vMerge w:val="restart"/>
                  <w:tcBorders>
                    <w:right w:val="single" w:color="auto" w:sz="4" w:space="0"/>
                  </w:tcBorders>
                  <w:vAlign w:val="center"/>
                </w:tcPr>
                <w:p>
                  <w:pPr>
                    <w:jc w:val="center"/>
                    <w:rPr>
                      <w:spacing w:val="4"/>
                      <w:sz w:val="21"/>
                    </w:rPr>
                  </w:pPr>
                  <w:r>
                    <w:rPr>
                      <w:rFonts w:hint="eastAsia"/>
                      <w:spacing w:val="4"/>
                      <w:sz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continue"/>
                  <w:tcBorders>
                    <w:left w:val="single" w:color="auto" w:sz="4" w:space="0"/>
                  </w:tcBorders>
                  <w:vAlign w:val="center"/>
                </w:tcPr>
                <w:p>
                  <w:pPr>
                    <w:adjustRightInd w:val="0"/>
                    <w:jc w:val="center"/>
                    <w:rPr>
                      <w:sz w:val="21"/>
                    </w:rPr>
                  </w:pPr>
                </w:p>
              </w:tc>
              <w:tc>
                <w:tcPr>
                  <w:tcW w:w="2835" w:type="dxa"/>
                  <w:vAlign w:val="center"/>
                </w:tcPr>
                <w:p>
                  <w:pPr>
                    <w:jc w:val="center"/>
                    <w:rPr>
                      <w:spacing w:val="4"/>
                      <w:sz w:val="21"/>
                    </w:rPr>
                  </w:pPr>
                  <w:r>
                    <w:rPr>
                      <w:rFonts w:hint="eastAsia"/>
                      <w:spacing w:val="4"/>
                      <w:sz w:val="21"/>
                    </w:rPr>
                    <w:t>项目的水塘下游100米处</w:t>
                  </w:r>
                </w:p>
              </w:tc>
              <w:tc>
                <w:tcPr>
                  <w:tcW w:w="1134" w:type="dxa"/>
                  <w:vAlign w:val="center"/>
                </w:tcPr>
                <w:p>
                  <w:pPr>
                    <w:jc w:val="center"/>
                    <w:rPr>
                      <w:spacing w:val="4"/>
                      <w:sz w:val="21"/>
                    </w:rPr>
                  </w:pPr>
                  <w:r>
                    <w:rPr>
                      <w:rFonts w:hint="eastAsia"/>
                      <w:spacing w:val="4"/>
                      <w:sz w:val="21"/>
                    </w:rPr>
                    <w:t>17.67</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vMerge w:val="continue"/>
                  <w:tcBorders>
                    <w:right w:val="single" w:color="auto" w:sz="4" w:space="0"/>
                  </w:tcBorders>
                  <w:vAlign w:val="center"/>
                </w:tcPr>
                <w:p>
                  <w:pPr>
                    <w:jc w:val="center"/>
                    <w:rPr>
                      <w:spacing w:val="4"/>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continue"/>
                  <w:tcBorders>
                    <w:left w:val="single" w:color="auto" w:sz="4" w:space="0"/>
                  </w:tcBorders>
                  <w:vAlign w:val="center"/>
                </w:tcPr>
                <w:p>
                  <w:pPr>
                    <w:adjustRightInd w:val="0"/>
                    <w:jc w:val="center"/>
                    <w:rPr>
                      <w:sz w:val="21"/>
                    </w:rPr>
                  </w:pPr>
                </w:p>
              </w:tc>
              <w:tc>
                <w:tcPr>
                  <w:tcW w:w="2835" w:type="dxa"/>
                  <w:vAlign w:val="center"/>
                </w:tcPr>
                <w:p>
                  <w:pPr>
                    <w:jc w:val="center"/>
                    <w:rPr>
                      <w:spacing w:val="4"/>
                      <w:sz w:val="21"/>
                    </w:rPr>
                  </w:pPr>
                  <w:r>
                    <w:rPr>
                      <w:rFonts w:hint="eastAsia"/>
                      <w:spacing w:val="4"/>
                      <w:sz w:val="21"/>
                    </w:rPr>
                    <w:t>办公室旁井水</w:t>
                  </w:r>
                </w:p>
              </w:tc>
              <w:tc>
                <w:tcPr>
                  <w:tcW w:w="1134" w:type="dxa"/>
                  <w:vAlign w:val="center"/>
                </w:tcPr>
                <w:p>
                  <w:pPr>
                    <w:jc w:val="center"/>
                    <w:rPr>
                      <w:spacing w:val="4"/>
                      <w:sz w:val="21"/>
                    </w:rPr>
                  </w:pPr>
                  <w:r>
                    <w:rPr>
                      <w:rFonts w:hint="eastAsia"/>
                      <w:spacing w:val="4"/>
                      <w:sz w:val="21"/>
                    </w:rPr>
                    <w:t>/</w:t>
                  </w:r>
                </w:p>
              </w:tc>
              <w:tc>
                <w:tcPr>
                  <w:tcW w:w="1134" w:type="dxa"/>
                  <w:vAlign w:val="center"/>
                </w:tcPr>
                <w:p>
                  <w:pPr>
                    <w:jc w:val="center"/>
                    <w:rPr>
                      <w:spacing w:val="4"/>
                      <w:sz w:val="21"/>
                    </w:rPr>
                  </w:pPr>
                  <w:r>
                    <w:rPr>
                      <w:rFonts w:hint="eastAsia"/>
                      <w:spacing w:val="4"/>
                      <w:sz w:val="21"/>
                    </w:rPr>
                    <w:t>/</w:t>
                  </w:r>
                </w:p>
              </w:tc>
              <w:tc>
                <w:tcPr>
                  <w:tcW w:w="1134" w:type="dxa"/>
                  <w:vAlign w:val="center"/>
                </w:tcPr>
                <w:p>
                  <w:pPr>
                    <w:jc w:val="center"/>
                    <w:rPr>
                      <w:spacing w:val="4"/>
                      <w:sz w:val="21"/>
                    </w:rPr>
                  </w:pPr>
                  <w:r>
                    <w:rPr>
                      <w:rFonts w:hint="eastAsia"/>
                      <w:spacing w:val="4"/>
                      <w:sz w:val="21"/>
                    </w:rPr>
                    <w:t>/</w:t>
                  </w:r>
                </w:p>
              </w:tc>
              <w:tc>
                <w:tcPr>
                  <w:tcW w:w="1186" w:type="dxa"/>
                  <w:tcBorders>
                    <w:right w:val="single" w:color="auto" w:sz="4" w:space="0"/>
                  </w:tcBorders>
                  <w:vAlign w:val="center"/>
                </w:tcPr>
                <w:p>
                  <w:pPr>
                    <w:jc w:val="center"/>
                    <w:rPr>
                      <w:spacing w:val="4"/>
                      <w:sz w:val="21"/>
                    </w:rPr>
                  </w:pPr>
                  <w:r>
                    <w:rPr>
                      <w:rFonts w:hint="eastAsia"/>
                      <w:spacing w:val="4"/>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restart"/>
                  <w:tcBorders>
                    <w:left w:val="single" w:color="auto" w:sz="4" w:space="0"/>
                  </w:tcBorders>
                  <w:vAlign w:val="center"/>
                </w:tcPr>
                <w:p>
                  <w:pPr>
                    <w:jc w:val="center"/>
                    <w:rPr>
                      <w:sz w:val="21"/>
                    </w:rPr>
                  </w:pPr>
                  <w:r>
                    <w:rPr>
                      <w:rFonts w:hint="eastAsia"/>
                      <w:spacing w:val="4"/>
                      <w:sz w:val="21"/>
                    </w:rPr>
                    <w:t>粪大肠菌群(个/L)</w:t>
                  </w:r>
                </w:p>
              </w:tc>
              <w:tc>
                <w:tcPr>
                  <w:tcW w:w="2835" w:type="dxa"/>
                  <w:vAlign w:val="center"/>
                </w:tcPr>
                <w:p>
                  <w:pPr>
                    <w:jc w:val="center"/>
                    <w:rPr>
                      <w:spacing w:val="4"/>
                      <w:sz w:val="21"/>
                    </w:rPr>
                  </w:pPr>
                  <w:r>
                    <w:rPr>
                      <w:rFonts w:hint="eastAsia"/>
                      <w:spacing w:val="4"/>
                      <w:sz w:val="21"/>
                    </w:rPr>
                    <w:t>办公室后200米处山塘</w:t>
                  </w:r>
                </w:p>
              </w:tc>
              <w:tc>
                <w:tcPr>
                  <w:tcW w:w="1134" w:type="dxa"/>
                  <w:vAlign w:val="center"/>
                </w:tcPr>
                <w:p>
                  <w:pPr>
                    <w:jc w:val="center"/>
                    <w:rPr>
                      <w:spacing w:val="4"/>
                      <w:sz w:val="21"/>
                    </w:rPr>
                  </w:pPr>
                  <w:r>
                    <w:rPr>
                      <w:rFonts w:hint="eastAsia"/>
                      <w:spacing w:val="4"/>
                      <w:sz w:val="21"/>
                    </w:rPr>
                    <w:t>1700</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vMerge w:val="restart"/>
                  <w:tcBorders>
                    <w:right w:val="single" w:color="auto" w:sz="4" w:space="0"/>
                  </w:tcBorders>
                  <w:vAlign w:val="center"/>
                </w:tcPr>
                <w:p>
                  <w:pPr>
                    <w:jc w:val="center"/>
                    <w:rPr>
                      <w:spacing w:val="4"/>
                      <w:sz w:val="21"/>
                    </w:rPr>
                  </w:pPr>
                  <w:r>
                    <w:rPr>
                      <w:rFonts w:hint="eastAsia"/>
                      <w:spacing w:val="4"/>
                      <w:sz w:val="21"/>
                    </w:rPr>
                    <w:t>≤10000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continue"/>
                  <w:tcBorders>
                    <w:left w:val="single" w:color="auto" w:sz="4" w:space="0"/>
                  </w:tcBorders>
                  <w:vAlign w:val="center"/>
                </w:tcPr>
                <w:p>
                  <w:pPr>
                    <w:jc w:val="center"/>
                    <w:rPr>
                      <w:spacing w:val="4"/>
                      <w:sz w:val="21"/>
                    </w:rPr>
                  </w:pPr>
                </w:p>
              </w:tc>
              <w:tc>
                <w:tcPr>
                  <w:tcW w:w="2835" w:type="dxa"/>
                  <w:vAlign w:val="center"/>
                </w:tcPr>
                <w:p>
                  <w:pPr>
                    <w:jc w:val="center"/>
                    <w:rPr>
                      <w:spacing w:val="4"/>
                      <w:sz w:val="21"/>
                    </w:rPr>
                  </w:pPr>
                  <w:r>
                    <w:rPr>
                      <w:rFonts w:hint="eastAsia"/>
                      <w:spacing w:val="4"/>
                      <w:sz w:val="21"/>
                    </w:rPr>
                    <w:t>项目的水塘下游100米处</w:t>
                  </w:r>
                </w:p>
              </w:tc>
              <w:tc>
                <w:tcPr>
                  <w:tcW w:w="1134" w:type="dxa"/>
                  <w:vAlign w:val="center"/>
                </w:tcPr>
                <w:p>
                  <w:pPr>
                    <w:jc w:val="center"/>
                    <w:rPr>
                      <w:spacing w:val="4"/>
                      <w:sz w:val="21"/>
                    </w:rPr>
                  </w:pPr>
                  <w:r>
                    <w:rPr>
                      <w:rFonts w:hint="eastAsia"/>
                      <w:spacing w:val="4"/>
                      <w:sz w:val="21"/>
                    </w:rPr>
                    <w:t>1700</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vMerge w:val="continue"/>
                  <w:tcBorders>
                    <w:right w:val="single" w:color="auto" w:sz="4" w:space="0"/>
                  </w:tcBorders>
                  <w:vAlign w:val="center"/>
                </w:tcPr>
                <w:p>
                  <w:pPr>
                    <w:jc w:val="center"/>
                    <w:rPr>
                      <w:spacing w:val="4"/>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tcBorders>
                    <w:left w:val="single" w:color="auto" w:sz="4" w:space="0"/>
                  </w:tcBorders>
                  <w:vAlign w:val="center"/>
                </w:tcPr>
                <w:p>
                  <w:pPr>
                    <w:jc w:val="center"/>
                    <w:rPr>
                      <w:spacing w:val="4"/>
                      <w:sz w:val="21"/>
                    </w:rPr>
                  </w:pPr>
                  <w:r>
                    <w:rPr>
                      <w:rFonts w:hint="eastAsia"/>
                      <w:spacing w:val="4"/>
                      <w:sz w:val="21"/>
                    </w:rPr>
                    <w:t>总大肠菌群(个/L)</w:t>
                  </w:r>
                </w:p>
              </w:tc>
              <w:tc>
                <w:tcPr>
                  <w:tcW w:w="2835" w:type="dxa"/>
                  <w:vAlign w:val="center"/>
                </w:tcPr>
                <w:p>
                  <w:pPr>
                    <w:jc w:val="center"/>
                    <w:rPr>
                      <w:spacing w:val="4"/>
                      <w:sz w:val="21"/>
                    </w:rPr>
                  </w:pPr>
                  <w:r>
                    <w:rPr>
                      <w:rFonts w:hint="eastAsia"/>
                      <w:spacing w:val="4"/>
                      <w:sz w:val="21"/>
                    </w:rPr>
                    <w:t>办公室旁井水</w:t>
                  </w:r>
                </w:p>
              </w:tc>
              <w:tc>
                <w:tcPr>
                  <w:tcW w:w="1134" w:type="dxa"/>
                  <w:vAlign w:val="center"/>
                </w:tcPr>
                <w:p>
                  <w:pPr>
                    <w:jc w:val="center"/>
                    <w:rPr>
                      <w:spacing w:val="4"/>
                      <w:sz w:val="21"/>
                    </w:rPr>
                  </w:pPr>
                  <w:r>
                    <w:rPr>
                      <w:rFonts w:hint="eastAsia"/>
                      <w:spacing w:val="4"/>
                      <w:sz w:val="21"/>
                    </w:rPr>
                    <w:t>1.33</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tcBorders>
                    <w:right w:val="single" w:color="auto" w:sz="4" w:space="0"/>
                  </w:tcBorders>
                  <w:vAlign w:val="center"/>
                </w:tcPr>
                <w:p>
                  <w:pPr>
                    <w:jc w:val="center"/>
                    <w:rPr>
                      <w:spacing w:val="4"/>
                      <w:sz w:val="21"/>
                    </w:rPr>
                  </w:pPr>
                  <w:r>
                    <w:rPr>
                      <w:rFonts w:hint="eastAsia"/>
                      <w:spacing w:val="4"/>
                      <w:sz w:val="21"/>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restart"/>
                  <w:tcBorders>
                    <w:left w:val="single" w:color="auto" w:sz="4" w:space="0"/>
                  </w:tcBorders>
                  <w:vAlign w:val="center"/>
                </w:tcPr>
                <w:p>
                  <w:pPr>
                    <w:adjustRightInd w:val="0"/>
                    <w:jc w:val="center"/>
                    <w:rPr>
                      <w:sz w:val="21"/>
                    </w:rPr>
                  </w:pPr>
                  <w:r>
                    <w:rPr>
                      <w:rFonts w:hint="eastAsia"/>
                      <w:sz w:val="21"/>
                    </w:rPr>
                    <w:t>总磷（mg/L）</w:t>
                  </w:r>
                </w:p>
              </w:tc>
              <w:tc>
                <w:tcPr>
                  <w:tcW w:w="2835" w:type="dxa"/>
                  <w:vAlign w:val="center"/>
                </w:tcPr>
                <w:p>
                  <w:pPr>
                    <w:jc w:val="center"/>
                    <w:rPr>
                      <w:spacing w:val="4"/>
                      <w:sz w:val="21"/>
                    </w:rPr>
                  </w:pPr>
                  <w:r>
                    <w:rPr>
                      <w:rFonts w:hint="eastAsia"/>
                      <w:spacing w:val="4"/>
                      <w:sz w:val="21"/>
                    </w:rPr>
                    <w:t>办公室后200米处山塘</w:t>
                  </w:r>
                </w:p>
              </w:tc>
              <w:tc>
                <w:tcPr>
                  <w:tcW w:w="1134" w:type="dxa"/>
                  <w:vAlign w:val="center"/>
                </w:tcPr>
                <w:p>
                  <w:pPr>
                    <w:jc w:val="center"/>
                    <w:rPr>
                      <w:spacing w:val="4"/>
                      <w:sz w:val="21"/>
                    </w:rPr>
                  </w:pPr>
                  <w:r>
                    <w:rPr>
                      <w:rFonts w:hint="eastAsia"/>
                      <w:spacing w:val="4"/>
                      <w:sz w:val="21"/>
                    </w:rPr>
                    <w:t>ND</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vMerge w:val="restart"/>
                  <w:tcBorders>
                    <w:right w:val="single" w:color="auto" w:sz="4" w:space="0"/>
                  </w:tcBorders>
                  <w:vAlign w:val="center"/>
                </w:tcPr>
                <w:p>
                  <w:pPr>
                    <w:jc w:val="center"/>
                    <w:rPr>
                      <w:spacing w:val="4"/>
                      <w:sz w:val="21"/>
                    </w:rPr>
                  </w:pPr>
                  <w:r>
                    <w:rPr>
                      <w:rFonts w:hint="eastAsia"/>
                      <w:spacing w:val="4"/>
                      <w:sz w:val="21"/>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continue"/>
                  <w:tcBorders>
                    <w:left w:val="single" w:color="auto" w:sz="4" w:space="0"/>
                  </w:tcBorders>
                  <w:vAlign w:val="center"/>
                </w:tcPr>
                <w:p>
                  <w:pPr>
                    <w:adjustRightInd w:val="0"/>
                    <w:jc w:val="center"/>
                    <w:rPr>
                      <w:sz w:val="21"/>
                    </w:rPr>
                  </w:pPr>
                </w:p>
              </w:tc>
              <w:tc>
                <w:tcPr>
                  <w:tcW w:w="2835" w:type="dxa"/>
                  <w:vAlign w:val="center"/>
                </w:tcPr>
                <w:p>
                  <w:pPr>
                    <w:jc w:val="center"/>
                    <w:rPr>
                      <w:spacing w:val="4"/>
                      <w:sz w:val="21"/>
                    </w:rPr>
                  </w:pPr>
                  <w:r>
                    <w:rPr>
                      <w:rFonts w:hint="eastAsia"/>
                      <w:spacing w:val="4"/>
                      <w:sz w:val="21"/>
                    </w:rPr>
                    <w:t>项目的水塘下游100米处</w:t>
                  </w:r>
                </w:p>
              </w:tc>
              <w:tc>
                <w:tcPr>
                  <w:tcW w:w="1134" w:type="dxa"/>
                  <w:vAlign w:val="center"/>
                </w:tcPr>
                <w:p>
                  <w:pPr>
                    <w:jc w:val="center"/>
                  </w:pPr>
                  <w:r>
                    <w:rPr>
                      <w:rFonts w:hint="eastAsia"/>
                      <w:spacing w:val="4"/>
                      <w:sz w:val="21"/>
                    </w:rPr>
                    <w:t>ND</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vMerge w:val="continue"/>
                  <w:tcBorders>
                    <w:right w:val="single" w:color="auto" w:sz="4" w:space="0"/>
                  </w:tcBorders>
                  <w:vAlign w:val="center"/>
                </w:tcPr>
                <w:p>
                  <w:pPr>
                    <w:jc w:val="center"/>
                    <w:rPr>
                      <w:spacing w:val="4"/>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vMerge w:val="continue"/>
                  <w:tcBorders>
                    <w:left w:val="single" w:color="auto" w:sz="4" w:space="0"/>
                  </w:tcBorders>
                  <w:vAlign w:val="center"/>
                </w:tcPr>
                <w:p>
                  <w:pPr>
                    <w:adjustRightInd w:val="0"/>
                    <w:jc w:val="center"/>
                    <w:rPr>
                      <w:sz w:val="21"/>
                    </w:rPr>
                  </w:pPr>
                </w:p>
              </w:tc>
              <w:tc>
                <w:tcPr>
                  <w:tcW w:w="2835" w:type="dxa"/>
                  <w:vAlign w:val="center"/>
                </w:tcPr>
                <w:p>
                  <w:pPr>
                    <w:jc w:val="center"/>
                    <w:rPr>
                      <w:spacing w:val="4"/>
                      <w:sz w:val="21"/>
                    </w:rPr>
                  </w:pPr>
                  <w:r>
                    <w:rPr>
                      <w:rFonts w:hint="eastAsia"/>
                      <w:spacing w:val="4"/>
                      <w:sz w:val="21"/>
                    </w:rPr>
                    <w:t>办公室旁井水</w:t>
                  </w:r>
                </w:p>
              </w:tc>
              <w:tc>
                <w:tcPr>
                  <w:tcW w:w="1134" w:type="dxa"/>
                  <w:vAlign w:val="center"/>
                </w:tcPr>
                <w:p>
                  <w:pPr>
                    <w:jc w:val="center"/>
                  </w:pPr>
                  <w:r>
                    <w:rPr>
                      <w:rFonts w:hint="eastAsia"/>
                      <w:spacing w:val="4"/>
                      <w:sz w:val="21"/>
                    </w:rPr>
                    <w:t>ND</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tcBorders>
                    <w:right w:val="single" w:color="auto" w:sz="4" w:space="0"/>
                  </w:tcBorders>
                  <w:vAlign w:val="center"/>
                </w:tcPr>
                <w:p>
                  <w:pPr>
                    <w:jc w:val="center"/>
                    <w:rPr>
                      <w:spacing w:val="4"/>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276" w:type="dxa"/>
                  <w:tcBorders>
                    <w:left w:val="single" w:color="auto" w:sz="4" w:space="0"/>
                  </w:tcBorders>
                  <w:vAlign w:val="center"/>
                </w:tcPr>
                <w:p>
                  <w:pPr>
                    <w:adjustRightInd w:val="0"/>
                    <w:jc w:val="center"/>
                    <w:rPr>
                      <w:sz w:val="21"/>
                    </w:rPr>
                  </w:pPr>
                  <w:r>
                    <w:rPr>
                      <w:rFonts w:hint="eastAsia"/>
                      <w:sz w:val="21"/>
                    </w:rPr>
                    <w:t>高锰酸盐指数（mg/L）</w:t>
                  </w:r>
                </w:p>
              </w:tc>
              <w:tc>
                <w:tcPr>
                  <w:tcW w:w="2835" w:type="dxa"/>
                  <w:vAlign w:val="center"/>
                </w:tcPr>
                <w:p>
                  <w:pPr>
                    <w:jc w:val="center"/>
                    <w:rPr>
                      <w:spacing w:val="4"/>
                      <w:sz w:val="21"/>
                    </w:rPr>
                  </w:pPr>
                  <w:r>
                    <w:rPr>
                      <w:rFonts w:hint="eastAsia"/>
                      <w:spacing w:val="4"/>
                      <w:sz w:val="21"/>
                    </w:rPr>
                    <w:t>办公室旁井水</w:t>
                  </w:r>
                </w:p>
              </w:tc>
              <w:tc>
                <w:tcPr>
                  <w:tcW w:w="1134" w:type="dxa"/>
                  <w:vAlign w:val="center"/>
                </w:tcPr>
                <w:p>
                  <w:pPr>
                    <w:jc w:val="center"/>
                    <w:rPr>
                      <w:spacing w:val="4"/>
                      <w:sz w:val="21"/>
                    </w:rPr>
                  </w:pPr>
                  <w:r>
                    <w:rPr>
                      <w:rFonts w:hint="eastAsia"/>
                      <w:spacing w:val="4"/>
                      <w:sz w:val="21"/>
                    </w:rPr>
                    <w:t>1.75</w:t>
                  </w:r>
                </w:p>
              </w:tc>
              <w:tc>
                <w:tcPr>
                  <w:tcW w:w="1134" w:type="dxa"/>
                  <w:vAlign w:val="center"/>
                </w:tcPr>
                <w:p>
                  <w:pPr>
                    <w:jc w:val="center"/>
                    <w:rPr>
                      <w:spacing w:val="4"/>
                      <w:sz w:val="21"/>
                    </w:rPr>
                  </w:pPr>
                  <w:r>
                    <w:rPr>
                      <w:rFonts w:hint="eastAsia"/>
                      <w:spacing w:val="4"/>
                      <w:sz w:val="21"/>
                    </w:rPr>
                    <w:t>0</w:t>
                  </w:r>
                </w:p>
              </w:tc>
              <w:tc>
                <w:tcPr>
                  <w:tcW w:w="1134" w:type="dxa"/>
                  <w:vAlign w:val="center"/>
                </w:tcPr>
                <w:p>
                  <w:pPr>
                    <w:jc w:val="center"/>
                    <w:rPr>
                      <w:spacing w:val="4"/>
                      <w:sz w:val="21"/>
                    </w:rPr>
                  </w:pPr>
                  <w:r>
                    <w:rPr>
                      <w:rFonts w:hint="eastAsia"/>
                      <w:spacing w:val="4"/>
                      <w:sz w:val="21"/>
                    </w:rPr>
                    <w:t>0</w:t>
                  </w:r>
                </w:p>
              </w:tc>
              <w:tc>
                <w:tcPr>
                  <w:tcW w:w="1186" w:type="dxa"/>
                  <w:tcBorders>
                    <w:right w:val="single" w:color="auto" w:sz="4" w:space="0"/>
                  </w:tcBorders>
                  <w:vAlign w:val="center"/>
                </w:tcPr>
                <w:p>
                  <w:pPr>
                    <w:jc w:val="center"/>
                    <w:rPr>
                      <w:spacing w:val="4"/>
                      <w:sz w:val="21"/>
                    </w:rPr>
                  </w:pPr>
                  <w:r>
                    <w:rPr>
                      <w:rFonts w:hint="eastAsia"/>
                      <w:spacing w:val="4"/>
                      <w:sz w:val="21"/>
                    </w:rPr>
                    <w:t>≤3.0</w:t>
                  </w:r>
                </w:p>
              </w:tc>
            </w:tr>
          </w:tbl>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由监测结果可以看出，地表水环境质量各项指标均达到了《地表水环境质量标准》(GB3838-2002)Ⅲ类标准要求；地下水质量各项指标均达到了《地下水质量标准》(GB/T14848-93)Ⅲ类标准要求。SS参照执行《地表水资源质量标准》（SL63-94）。</w:t>
            </w:r>
          </w:p>
          <w:p>
            <w:pPr>
              <w:spacing w:line="240" w:lineRule="auto"/>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三、声环境质量现状</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为了解项目区域声环境质量现状，湖南亿科检测技术有限公司于2016年9月27日与28日对项目所在区域四周进行了现状监测，监测结果如下表：</w:t>
            </w:r>
          </w:p>
          <w:p>
            <w:pPr>
              <w:spacing w:line="240" w:lineRule="auto"/>
              <w:ind w:firstLine="495"/>
              <w:jc w:val="center"/>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表6 声环境质量现状监测结果</w:t>
            </w:r>
          </w:p>
          <w:tbl>
            <w:tblPr>
              <w:tblStyle w:val="10"/>
              <w:tblW w:w="7324" w:type="dxa"/>
              <w:jc w:val="center"/>
              <w:tblInd w:w="0" w:type="dxa"/>
              <w:tblLayout w:type="fixed"/>
              <w:tblCellMar>
                <w:top w:w="0" w:type="dxa"/>
                <w:left w:w="108" w:type="dxa"/>
                <w:bottom w:w="0" w:type="dxa"/>
                <w:right w:w="108" w:type="dxa"/>
              </w:tblCellMar>
            </w:tblPr>
            <w:tblGrid>
              <w:gridCol w:w="723"/>
              <w:gridCol w:w="1220"/>
              <w:gridCol w:w="2451"/>
              <w:gridCol w:w="1232"/>
              <w:gridCol w:w="1698"/>
            </w:tblGrid>
            <w:tr>
              <w:tblPrEx>
                <w:tblLayout w:type="fixed"/>
                <w:tblCellMar>
                  <w:top w:w="0" w:type="dxa"/>
                  <w:left w:w="108" w:type="dxa"/>
                  <w:bottom w:w="0" w:type="dxa"/>
                  <w:right w:w="108" w:type="dxa"/>
                </w:tblCellMar>
              </w:tblPrEx>
              <w:trPr>
                <w:trHeight w:val="466" w:hRule="atLeast"/>
                <w:jc w:val="center"/>
              </w:trPr>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编号</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监测点位</w:t>
                  </w:r>
                </w:p>
              </w:tc>
              <w:tc>
                <w:tcPr>
                  <w:tcW w:w="24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监测日期</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监测时间</w:t>
                  </w:r>
                </w:p>
              </w:tc>
              <w:tc>
                <w:tcPr>
                  <w:tcW w:w="169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Leq dB(A)</w:t>
                  </w:r>
                </w:p>
              </w:tc>
            </w:tr>
            <w:tr>
              <w:tblPrEx>
                <w:tblLayout w:type="fixed"/>
                <w:tblCellMar>
                  <w:top w:w="0" w:type="dxa"/>
                  <w:left w:w="108" w:type="dxa"/>
                  <w:bottom w:w="0" w:type="dxa"/>
                  <w:right w:w="108" w:type="dxa"/>
                </w:tblCellMar>
              </w:tblPrEx>
              <w:trPr>
                <w:trHeight w:val="417" w:hRule="atLeast"/>
                <w:jc w:val="center"/>
              </w:trPr>
              <w:tc>
                <w:tcPr>
                  <w:tcW w:w="723" w:type="dxa"/>
                  <w:vMerge w:val="restart"/>
                  <w:tcBorders>
                    <w:top w:val="nil"/>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a</w:t>
                  </w:r>
                </w:p>
              </w:tc>
              <w:tc>
                <w:tcPr>
                  <w:tcW w:w="1220" w:type="dxa"/>
                  <w:vMerge w:val="restart"/>
                  <w:tcBorders>
                    <w:top w:val="single" w:color="auto" w:sz="4" w:space="0"/>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厂界东</w:t>
                  </w:r>
                </w:p>
              </w:tc>
              <w:tc>
                <w:tcPr>
                  <w:tcW w:w="2451" w:type="dxa"/>
                  <w:vMerge w:val="restart"/>
                  <w:tcBorders>
                    <w:top w:val="nil"/>
                    <w:left w:val="nil"/>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2016年9月27日</w:t>
                  </w: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昼间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52.3</w:t>
                  </w:r>
                </w:p>
              </w:tc>
            </w:tr>
            <w:tr>
              <w:tblPrEx>
                <w:tblLayout w:type="fixed"/>
                <w:tblCellMar>
                  <w:top w:w="0" w:type="dxa"/>
                  <w:left w:w="108" w:type="dxa"/>
                  <w:bottom w:w="0" w:type="dxa"/>
                  <w:right w:w="108" w:type="dxa"/>
                </w:tblCellMar>
              </w:tblPrEx>
              <w:trPr>
                <w:trHeight w:val="225" w:hRule="atLeast"/>
                <w:jc w:val="center"/>
              </w:trPr>
              <w:tc>
                <w:tcPr>
                  <w:tcW w:w="72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continue"/>
                  <w:tcBorders>
                    <w:left w:val="nil"/>
                    <w:bottom w:val="single" w:color="auto" w:sz="4" w:space="0"/>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夜间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42.6</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restart"/>
                  <w:tcBorders>
                    <w:left w:val="nil"/>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2016年9月28日</w:t>
                  </w: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昼间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54.6</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continue"/>
                  <w:tcBorders>
                    <w:left w:val="nil"/>
                    <w:bottom w:val="single" w:color="auto" w:sz="4" w:space="0"/>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夜间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41.9</w:t>
                  </w:r>
                </w:p>
              </w:tc>
            </w:tr>
            <w:tr>
              <w:tblPrEx>
                <w:tblLayout w:type="fixed"/>
              </w:tblPrEx>
              <w:trPr>
                <w:trHeight w:val="405" w:hRule="atLeast"/>
                <w:jc w:val="center"/>
              </w:trPr>
              <w:tc>
                <w:tcPr>
                  <w:tcW w:w="72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restart"/>
                  <w:tcBorders>
                    <w:left w:val="nil"/>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2016年9月29日</w:t>
                  </w: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昼间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52.8</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continue"/>
                  <w:tcBorders>
                    <w:left w:val="nil"/>
                    <w:bottom w:val="single" w:color="auto" w:sz="4" w:space="0"/>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夜间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43.5</w:t>
                  </w:r>
                </w:p>
              </w:tc>
            </w:tr>
            <w:tr>
              <w:tblPrEx>
                <w:tblLayout w:type="fixed"/>
                <w:tblCellMar>
                  <w:top w:w="0" w:type="dxa"/>
                  <w:left w:w="108" w:type="dxa"/>
                  <w:bottom w:w="0" w:type="dxa"/>
                  <w:right w:w="108" w:type="dxa"/>
                </w:tblCellMar>
              </w:tblPrEx>
              <w:trPr>
                <w:trHeight w:val="405" w:hRule="atLeast"/>
                <w:jc w:val="center"/>
              </w:trPr>
              <w:tc>
                <w:tcPr>
                  <w:tcW w:w="723" w:type="dxa"/>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b</w:t>
                  </w:r>
                </w:p>
              </w:tc>
              <w:tc>
                <w:tcPr>
                  <w:tcW w:w="1220" w:type="dxa"/>
                  <w:vMerge w:val="restart"/>
                  <w:tcBorders>
                    <w:top w:val="single" w:color="auto" w:sz="4" w:space="0"/>
                    <w:left w:val="nil"/>
                    <w:right w:val="single" w:color="auto" w:sz="4" w:space="0"/>
                  </w:tcBorders>
                  <w:shd w:val="clear" w:color="auto" w:fill="auto"/>
                  <w:vAlign w:val="center"/>
                </w:tcPr>
                <w:p>
                  <w:pPr>
                    <w:jc w:val="center"/>
                    <w:rPr>
                      <w:color w:val="000000" w:themeColor="text1"/>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厂界南</w:t>
                  </w:r>
                </w:p>
              </w:tc>
              <w:tc>
                <w:tcPr>
                  <w:tcW w:w="2451" w:type="dxa"/>
                  <w:vMerge w:val="restart"/>
                  <w:tcBorders>
                    <w:top w:val="single" w:color="auto" w:sz="4" w:space="0"/>
                    <w:left w:val="nil"/>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2016年9月27日</w:t>
                  </w: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昼间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42.8</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continue"/>
                  <w:tcBorders>
                    <w:left w:val="nil"/>
                    <w:bottom w:val="single" w:color="auto" w:sz="4" w:space="0"/>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夜间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35.6</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restart"/>
                  <w:tcBorders>
                    <w:left w:val="nil"/>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2016年9月28日</w:t>
                  </w: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昼间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43.6</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continue"/>
                  <w:tcBorders>
                    <w:left w:val="nil"/>
                    <w:bottom w:val="single" w:color="auto" w:sz="4" w:space="0"/>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夜间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37.8</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restart"/>
                  <w:tcBorders>
                    <w:left w:val="nil"/>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2016年9月29日</w:t>
                  </w: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昼间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44.5</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continue"/>
                  <w:tcBorders>
                    <w:left w:val="nil"/>
                    <w:bottom w:val="single" w:color="auto" w:sz="4" w:space="0"/>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夜间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42.3</w:t>
                  </w:r>
                </w:p>
              </w:tc>
            </w:tr>
            <w:tr>
              <w:tblPrEx>
                <w:tblLayout w:type="fixed"/>
              </w:tblPrEx>
              <w:trPr>
                <w:trHeight w:val="405" w:hRule="atLeast"/>
                <w:jc w:val="center"/>
              </w:trPr>
              <w:tc>
                <w:tcPr>
                  <w:tcW w:w="723" w:type="dxa"/>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c</w:t>
                  </w:r>
                </w:p>
              </w:tc>
              <w:tc>
                <w:tcPr>
                  <w:tcW w:w="1220" w:type="dxa"/>
                  <w:vMerge w:val="restart"/>
                  <w:tcBorders>
                    <w:top w:val="single" w:color="auto" w:sz="4" w:space="0"/>
                    <w:left w:val="nil"/>
                    <w:right w:val="single" w:color="auto" w:sz="4" w:space="0"/>
                  </w:tcBorders>
                  <w:shd w:val="clear" w:color="auto" w:fill="auto"/>
                  <w:vAlign w:val="center"/>
                </w:tcPr>
                <w:p>
                  <w:pPr>
                    <w:jc w:val="center"/>
                    <w:rPr>
                      <w:color w:val="000000" w:themeColor="text1"/>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厂界西</w:t>
                  </w:r>
                </w:p>
              </w:tc>
              <w:tc>
                <w:tcPr>
                  <w:tcW w:w="2451" w:type="dxa"/>
                  <w:vMerge w:val="restart"/>
                  <w:tcBorders>
                    <w:top w:val="nil"/>
                    <w:left w:val="nil"/>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2016年9月27日</w:t>
                  </w: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昼间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46.5</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continue"/>
                  <w:tcBorders>
                    <w:left w:val="nil"/>
                    <w:bottom w:val="single" w:color="auto" w:sz="4" w:space="0"/>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夜间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42.5</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restart"/>
                  <w:tcBorders>
                    <w:left w:val="nil"/>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2016年9月28日</w:t>
                  </w: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昼间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44.8</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continue"/>
                  <w:tcBorders>
                    <w:left w:val="nil"/>
                    <w:bottom w:val="single" w:color="auto" w:sz="4" w:space="0"/>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夜间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41.3</w:t>
                  </w:r>
                </w:p>
              </w:tc>
            </w:tr>
            <w:tr>
              <w:tblPrEx>
                <w:tblLayout w:type="fixed"/>
              </w:tblPrEx>
              <w:trPr>
                <w:trHeight w:val="405" w:hRule="atLeast"/>
                <w:jc w:val="center"/>
              </w:trPr>
              <w:tc>
                <w:tcPr>
                  <w:tcW w:w="72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restart"/>
                  <w:tcBorders>
                    <w:top w:val="single" w:color="auto" w:sz="4" w:space="0"/>
                    <w:left w:val="nil"/>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2016年9月29日</w:t>
                  </w:r>
                </w:p>
              </w:tc>
              <w:tc>
                <w:tcPr>
                  <w:tcW w:w="123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昼间</w:t>
                  </w:r>
                </w:p>
              </w:tc>
              <w:tc>
                <w:tcPr>
                  <w:tcW w:w="169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46.8</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continue"/>
                  <w:tcBorders>
                    <w:left w:val="nil"/>
                    <w:bottom w:val="single" w:color="auto" w:sz="4" w:space="0"/>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夜间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40.8</w:t>
                  </w:r>
                </w:p>
              </w:tc>
            </w:tr>
            <w:tr>
              <w:tblPrEx>
                <w:tblLayout w:type="fixed"/>
                <w:tblCellMar>
                  <w:top w:w="0" w:type="dxa"/>
                  <w:left w:w="108" w:type="dxa"/>
                  <w:bottom w:w="0" w:type="dxa"/>
                  <w:right w:w="108" w:type="dxa"/>
                </w:tblCellMar>
              </w:tblPrEx>
              <w:trPr>
                <w:trHeight w:val="405" w:hRule="atLeast"/>
                <w:jc w:val="center"/>
              </w:trPr>
              <w:tc>
                <w:tcPr>
                  <w:tcW w:w="723" w:type="dxa"/>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d</w:t>
                  </w:r>
                </w:p>
              </w:tc>
              <w:tc>
                <w:tcPr>
                  <w:tcW w:w="1220" w:type="dxa"/>
                  <w:vMerge w:val="restart"/>
                  <w:tcBorders>
                    <w:top w:val="single" w:color="auto" w:sz="4" w:space="0"/>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厂界北</w:t>
                  </w:r>
                </w:p>
              </w:tc>
              <w:tc>
                <w:tcPr>
                  <w:tcW w:w="2451" w:type="dxa"/>
                  <w:vMerge w:val="restart"/>
                  <w:tcBorders>
                    <w:top w:val="single" w:color="auto" w:sz="4" w:space="0"/>
                    <w:left w:val="nil"/>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2016年9月27日</w:t>
                  </w:r>
                </w:p>
              </w:tc>
              <w:tc>
                <w:tcPr>
                  <w:tcW w:w="123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昼间</w:t>
                  </w:r>
                </w:p>
              </w:tc>
              <w:tc>
                <w:tcPr>
                  <w:tcW w:w="169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43.6</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continue"/>
                  <w:tcBorders>
                    <w:left w:val="nil"/>
                    <w:bottom w:val="single" w:color="auto" w:sz="4" w:space="0"/>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p>
              </w:tc>
              <w:tc>
                <w:tcPr>
                  <w:tcW w:w="123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夜间</w:t>
                  </w:r>
                </w:p>
              </w:tc>
              <w:tc>
                <w:tcPr>
                  <w:tcW w:w="169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38.6</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restart"/>
                  <w:tcBorders>
                    <w:left w:val="nil"/>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2016年9月28日</w:t>
                  </w: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昼间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44.9</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continue"/>
                  <w:tcBorders>
                    <w:left w:val="nil"/>
                    <w:bottom w:val="single" w:color="auto" w:sz="4" w:space="0"/>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夜间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39.7</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right w:val="single" w:color="auto" w:sz="4" w:space="0"/>
                  </w:tcBorders>
                  <w:shd w:val="clear" w:color="auto" w:fill="auto"/>
                  <w:vAlign w:val="center"/>
                </w:tcPr>
                <w:p>
                  <w:pPr>
                    <w:jc w:val="center"/>
                    <w:rPr>
                      <w:color w:val="000000" w:themeColor="text1"/>
                      <w:sz w:val="21"/>
                      <w14:textFill>
                        <w14:solidFill>
                          <w14:schemeClr w14:val="tx1"/>
                        </w14:solidFill>
                      </w14:textFill>
                    </w:rPr>
                  </w:pPr>
                </w:p>
              </w:tc>
              <w:tc>
                <w:tcPr>
                  <w:tcW w:w="2451" w:type="dxa"/>
                  <w:vMerge w:val="restart"/>
                  <w:tcBorders>
                    <w:top w:val="single" w:color="auto" w:sz="4" w:space="0"/>
                    <w:left w:val="nil"/>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2016年9月29日</w:t>
                  </w: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昼间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45.6</w:t>
                  </w:r>
                </w:p>
              </w:tc>
            </w:tr>
            <w:tr>
              <w:tblPrEx>
                <w:tblLayout w:type="fixed"/>
                <w:tblCellMar>
                  <w:top w:w="0" w:type="dxa"/>
                  <w:left w:w="108" w:type="dxa"/>
                  <w:bottom w:w="0" w:type="dxa"/>
                  <w:right w:w="108" w:type="dxa"/>
                </w:tblCellMar>
              </w:tblPrEx>
              <w:trPr>
                <w:trHeight w:val="405" w:hRule="atLeast"/>
                <w:jc w:val="center"/>
              </w:trPr>
              <w:tc>
                <w:tcPr>
                  <w:tcW w:w="723"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1220" w:type="dxa"/>
                  <w:vMerge w:val="continue"/>
                  <w:tcBorders>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p>
              </w:tc>
              <w:tc>
                <w:tcPr>
                  <w:tcW w:w="2451" w:type="dxa"/>
                  <w:vMerge w:val="continue"/>
                  <w:tcBorders>
                    <w:left w:val="nil"/>
                    <w:bottom w:val="single" w:color="auto" w:sz="4" w:space="0"/>
                    <w:right w:val="single" w:color="auto" w:sz="4" w:space="0"/>
                  </w:tcBorders>
                  <w:shd w:val="clear" w:color="auto" w:fill="auto"/>
                  <w:vAlign w:val="center"/>
                </w:tcPr>
                <w:p>
                  <w:pPr>
                    <w:jc w:val="center"/>
                    <w:rPr>
                      <w:color w:val="000000" w:themeColor="text1"/>
                      <w:kern w:val="0"/>
                      <w:sz w:val="21"/>
                      <w14:textFill>
                        <w14:solidFill>
                          <w14:schemeClr w14:val="tx1"/>
                        </w14:solidFill>
                      </w14:textFill>
                    </w:rPr>
                  </w:pPr>
                </w:p>
              </w:tc>
              <w:tc>
                <w:tcPr>
                  <w:tcW w:w="123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夜间</w:t>
                  </w:r>
                </w:p>
              </w:tc>
              <w:tc>
                <w:tcPr>
                  <w:tcW w:w="16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kern w:val="0"/>
                      <w:sz w:val="21"/>
                      <w14:textFill>
                        <w14:solidFill>
                          <w14:schemeClr w14:val="tx1"/>
                        </w14:solidFill>
                      </w14:textFill>
                    </w:rPr>
                  </w:pPr>
                  <w:r>
                    <w:rPr>
                      <w:rFonts w:hint="eastAsia" w:ascii="宋体" w:hAnsi="宋体" w:cs="宋体"/>
                      <w:color w:val="000000" w:themeColor="text1"/>
                      <w:kern w:val="0"/>
                      <w:sz w:val="21"/>
                      <w14:textFill>
                        <w14:solidFill>
                          <w14:schemeClr w14:val="tx1"/>
                        </w14:solidFill>
                      </w14:textFill>
                    </w:rPr>
                    <w:t>41.2</w:t>
                  </w:r>
                </w:p>
              </w:tc>
            </w:tr>
          </w:tbl>
          <w:p>
            <w:pPr>
              <w:ind w:firstLine="495"/>
              <w:rPr>
                <w:rFonts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建设项目位于</w:t>
            </w:r>
            <w:r>
              <w:rPr>
                <w:rFonts w:hint="eastAsia" w:ascii="Times New Roman" w:hAnsi="Times New Roman" w:cs="Times New Roman"/>
                <w:color w:val="000000" w:themeColor="text1"/>
                <w:szCs w:val="28"/>
                <w14:textFill>
                  <w14:solidFill>
                    <w14:schemeClr w14:val="tx1"/>
                  </w14:solidFill>
                </w14:textFill>
              </w:rPr>
              <w:t>平江县上塔市镇苍霞村</w:t>
            </w:r>
            <w:r>
              <w:rPr>
                <w:rFonts w:hint="eastAsia" w:ascii="宋体" w:hAnsi="宋体"/>
                <w:color w:val="000000" w:themeColor="text1"/>
                <w:szCs w:val="28"/>
                <w14:textFill>
                  <w14:solidFill>
                    <w14:schemeClr w14:val="tx1"/>
                  </w14:solidFill>
                </w14:textFill>
              </w:rPr>
              <w:t>，周围主要为林地、坡耕地及荒地。属2类声环境功能区，目前噪声等效声级Leq（A）能达到《声环境质量标准》（GB3096-2008）2类标准。</w:t>
            </w:r>
          </w:p>
          <w:p>
            <w:pPr>
              <w:ind w:firstLine="495"/>
              <w:rPr>
                <w:rFonts w:ascii="宋体" w:hAnsi="宋体"/>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四、生态环境现状</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本项目区域群山环绕，属农村生态环境，植物覆盖率较高，周围生态环境质量良好</w:t>
            </w:r>
          </w:p>
          <w:p>
            <w:pPr>
              <w:ind w:firstLine="495"/>
              <w:jc w:val="left"/>
              <w:rPr>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五、</w:t>
            </w:r>
            <w:r>
              <w:rPr>
                <w:rFonts w:hint="eastAsia"/>
                <w:b/>
                <w:color w:val="000000" w:themeColor="text1"/>
                <w:szCs w:val="24"/>
                <w14:textFill>
                  <w14:solidFill>
                    <w14:schemeClr w14:val="tx1"/>
                  </w14:solidFill>
                </w14:textFill>
              </w:rPr>
              <w:t>主要环境保护目标（列出名单及保护级别）：</w:t>
            </w:r>
          </w:p>
          <w:p>
            <w:pPr>
              <w:ind w:firstLine="495"/>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本项目为牡丹花种植，在本项目评价范围内有两处大气环境保护目标，项目附近主要环境敏感点详见表4。</w:t>
            </w:r>
          </w:p>
          <w:p>
            <w:pPr>
              <w:spacing w:line="240" w:lineRule="auto"/>
              <w:ind w:firstLine="495"/>
              <w:jc w:val="center"/>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表4  主要环境保护目标一览表</w:t>
            </w:r>
          </w:p>
          <w:tbl>
            <w:tblPr>
              <w:tblStyle w:val="11"/>
              <w:tblW w:w="853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009"/>
              <w:gridCol w:w="1110"/>
              <w:gridCol w:w="1343"/>
              <w:gridCol w:w="26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trPr>
              <w:tc>
                <w:tcPr>
                  <w:tcW w:w="1384"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环境要素</w:t>
                  </w:r>
                </w:p>
              </w:tc>
              <w:tc>
                <w:tcPr>
                  <w:tcW w:w="2009"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保护目标名称</w:t>
                  </w:r>
                </w:p>
              </w:tc>
              <w:tc>
                <w:tcPr>
                  <w:tcW w:w="1110"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方位</w:t>
                  </w:r>
                </w:p>
              </w:tc>
              <w:tc>
                <w:tcPr>
                  <w:tcW w:w="1343"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距离（m）</w:t>
                  </w:r>
                </w:p>
              </w:tc>
              <w:tc>
                <w:tcPr>
                  <w:tcW w:w="2693"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保护级别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84" w:type="dxa"/>
                  <w:vMerge w:val="restart"/>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大气环境</w:t>
                  </w:r>
                </w:p>
              </w:tc>
              <w:tc>
                <w:tcPr>
                  <w:tcW w:w="2009"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居民（约10户）</w:t>
                  </w:r>
                </w:p>
              </w:tc>
              <w:tc>
                <w:tcPr>
                  <w:tcW w:w="1110"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S</w:t>
                  </w:r>
                </w:p>
              </w:tc>
              <w:tc>
                <w:tcPr>
                  <w:tcW w:w="1343"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600</w:t>
                  </w:r>
                  <w:r>
                    <w:rPr>
                      <w:rFonts w:hint="eastAsia" w:ascii="宋体" w:hAnsi="宋体" w:eastAsia="宋体"/>
                      <w:color w:val="000000" w:themeColor="text1"/>
                      <w:sz w:val="21"/>
                      <w14:textFill>
                        <w14:solidFill>
                          <w14:schemeClr w14:val="tx1"/>
                        </w14:solidFill>
                      </w14:textFill>
                    </w:rPr>
                    <w:t>～</w:t>
                  </w:r>
                  <w:r>
                    <w:rPr>
                      <w:rFonts w:hint="eastAsia" w:ascii="宋体" w:hAnsi="宋体"/>
                      <w:color w:val="000000" w:themeColor="text1"/>
                      <w:sz w:val="21"/>
                      <w14:textFill>
                        <w14:solidFill>
                          <w14:schemeClr w14:val="tx1"/>
                        </w14:solidFill>
                      </w14:textFill>
                    </w:rPr>
                    <w:t>800</w:t>
                  </w:r>
                </w:p>
              </w:tc>
              <w:tc>
                <w:tcPr>
                  <w:tcW w:w="2693" w:type="dxa"/>
                  <w:vMerge w:val="restart"/>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（GB3095-2012）二级标准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84"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c>
                <w:tcPr>
                  <w:tcW w:w="2009"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居民（约15户）</w:t>
                  </w:r>
                </w:p>
              </w:tc>
              <w:tc>
                <w:tcPr>
                  <w:tcW w:w="1110"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N</w:t>
                  </w:r>
                </w:p>
              </w:tc>
              <w:tc>
                <w:tcPr>
                  <w:tcW w:w="1343"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600</w:t>
                  </w:r>
                  <w:r>
                    <w:rPr>
                      <w:rFonts w:hint="eastAsia" w:ascii="宋体" w:hAnsi="宋体" w:eastAsia="宋体"/>
                      <w:color w:val="000000" w:themeColor="text1"/>
                      <w:sz w:val="21"/>
                      <w14:textFill>
                        <w14:solidFill>
                          <w14:schemeClr w14:val="tx1"/>
                        </w14:solidFill>
                      </w14:textFill>
                    </w:rPr>
                    <w:t>～</w:t>
                  </w:r>
                  <w:r>
                    <w:rPr>
                      <w:rFonts w:hint="eastAsia" w:ascii="宋体" w:hAnsi="宋体"/>
                      <w:color w:val="000000" w:themeColor="text1"/>
                      <w:sz w:val="21"/>
                      <w14:textFill>
                        <w14:solidFill>
                          <w14:schemeClr w14:val="tx1"/>
                        </w14:solidFill>
                      </w14:textFill>
                    </w:rPr>
                    <w:t>800</w:t>
                  </w:r>
                </w:p>
              </w:tc>
              <w:tc>
                <w:tcPr>
                  <w:tcW w:w="2693"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r>
          </w:tbl>
          <w:p>
            <w:pPr>
              <w:spacing w:line="240" w:lineRule="auto"/>
              <w:rPr>
                <w:rFonts w:ascii="宋体" w:hAnsi="宋体"/>
                <w:b/>
                <w:color w:val="000000" w:themeColor="text1"/>
                <w:sz w:val="30"/>
                <w:szCs w:val="30"/>
                <w14:textFill>
                  <w14:solidFill>
                    <w14:schemeClr w14:val="tx1"/>
                  </w14:solidFill>
                </w14:textFill>
              </w:rPr>
            </w:pPr>
          </w:p>
        </w:tc>
      </w:tr>
    </w:tbl>
    <w:p>
      <w:pPr>
        <w:spacing w:line="240" w:lineRule="auto"/>
        <w:jc w:val="center"/>
        <w:rPr>
          <w:rFonts w:ascii="宋体" w:hAnsi="宋体"/>
          <w:color w:val="000000" w:themeColor="text1"/>
          <w:sz w:val="21"/>
          <w14:textFill>
            <w14:solidFill>
              <w14:schemeClr w14:val="tx1"/>
            </w14:solidFill>
          </w14:textFill>
        </w:rPr>
      </w:pPr>
    </w:p>
    <w:p>
      <w:pPr>
        <w:rPr>
          <w:rFonts w:ascii="宋体" w:hAnsi="宋体"/>
          <w:b/>
          <w:color w:val="000000" w:themeColor="text1"/>
          <w:szCs w:val="24"/>
          <w14:textFill>
            <w14:solidFill>
              <w14:schemeClr w14:val="tx1"/>
            </w14:solidFill>
          </w14:textFill>
        </w:rPr>
      </w:pPr>
    </w:p>
    <w:p>
      <w:pPr>
        <w:rPr>
          <w:rFonts w:ascii="宋体" w:hAnsi="宋体"/>
          <w:b/>
          <w:color w:val="000000" w:themeColor="text1"/>
          <w:szCs w:val="24"/>
          <w14:textFill>
            <w14:solidFill>
              <w14:schemeClr w14:val="tx1"/>
            </w14:solidFill>
          </w14:textFill>
        </w:rPr>
      </w:pPr>
    </w:p>
    <w:p>
      <w:pPr>
        <w:rPr>
          <w:rFonts w:ascii="宋体" w:hAnsi="宋体"/>
          <w:b/>
          <w:color w:val="000000" w:themeColor="text1"/>
          <w:szCs w:val="24"/>
          <w14:textFill>
            <w14:solidFill>
              <w14:schemeClr w14:val="tx1"/>
            </w14:solidFill>
          </w14:textFill>
        </w:rPr>
      </w:pPr>
    </w:p>
    <w:p>
      <w:pPr>
        <w:rPr>
          <w:rFonts w:ascii="宋体" w:hAnsi="宋体"/>
          <w:b/>
          <w:color w:val="000000" w:themeColor="text1"/>
          <w:szCs w:val="24"/>
          <w14:textFill>
            <w14:solidFill>
              <w14:schemeClr w14:val="tx1"/>
            </w14:solidFill>
          </w14:textFill>
        </w:rPr>
      </w:pPr>
    </w:p>
    <w:p>
      <w:pPr>
        <w:rPr>
          <w:rFonts w:ascii="宋体" w:hAnsi="宋体"/>
          <w:b/>
          <w:color w:val="000000" w:themeColor="text1"/>
          <w:szCs w:val="24"/>
          <w14:textFill>
            <w14:solidFill>
              <w14:schemeClr w14:val="tx1"/>
            </w14:solidFill>
          </w14:textFill>
        </w:rPr>
      </w:pPr>
    </w:p>
    <w:p>
      <w:pPr>
        <w:rPr>
          <w:rFonts w:ascii="宋体" w:hAnsi="宋体"/>
          <w:b/>
          <w:color w:val="000000" w:themeColor="text1"/>
          <w:szCs w:val="24"/>
          <w14:textFill>
            <w14:solidFill>
              <w14:schemeClr w14:val="tx1"/>
            </w14:solidFill>
          </w14:textFill>
        </w:rPr>
      </w:pPr>
    </w:p>
    <w:p>
      <w:pPr>
        <w:rPr>
          <w:rFonts w:ascii="宋体" w:hAnsi="宋体"/>
          <w:b/>
          <w:color w:val="000000" w:themeColor="text1"/>
          <w:szCs w:val="24"/>
          <w14:textFill>
            <w14:solidFill>
              <w14:schemeClr w14:val="tx1"/>
            </w14:solidFill>
          </w14:textFill>
        </w:rPr>
      </w:pPr>
    </w:p>
    <w:p>
      <w:pPr>
        <w:rPr>
          <w:rFonts w:ascii="宋体" w:hAnsi="宋体"/>
          <w:b/>
          <w:color w:val="000000" w:themeColor="text1"/>
          <w:szCs w:val="24"/>
          <w14:textFill>
            <w14:solidFill>
              <w14:schemeClr w14:val="tx1"/>
            </w14:solidFill>
          </w14:textFill>
        </w:rPr>
      </w:pPr>
    </w:p>
    <w:p>
      <w:pPr>
        <w:rPr>
          <w:rFonts w:ascii="宋体" w:hAnsi="宋体"/>
          <w:b/>
          <w:color w:val="000000" w:themeColor="text1"/>
          <w:szCs w:val="24"/>
          <w14:textFill>
            <w14:solidFill>
              <w14:schemeClr w14:val="tx1"/>
            </w14:solidFill>
          </w14:textFill>
        </w:rPr>
      </w:pPr>
    </w:p>
    <w:p>
      <w:pPr>
        <w:rPr>
          <w:rFonts w:ascii="宋体" w:hAnsi="宋体"/>
          <w:b/>
          <w:color w:val="000000" w:themeColor="text1"/>
          <w:szCs w:val="24"/>
          <w14:textFill>
            <w14:solidFill>
              <w14:schemeClr w14:val="tx1"/>
            </w14:solidFill>
          </w14:textFill>
        </w:rPr>
      </w:pPr>
    </w:p>
    <w:p>
      <w:pPr>
        <w:rPr>
          <w:rFonts w:ascii="宋体" w:hAnsi="宋体"/>
          <w:b/>
          <w:color w:val="000000" w:themeColor="text1"/>
          <w:szCs w:val="24"/>
          <w14:textFill>
            <w14:solidFill>
              <w14:schemeClr w14:val="tx1"/>
            </w14:solidFill>
          </w14:textFill>
        </w:rPr>
      </w:pPr>
    </w:p>
    <w:p>
      <w:pPr>
        <w:rPr>
          <w:rFonts w:ascii="宋体" w:hAnsi="宋体"/>
          <w:b/>
          <w:color w:val="000000" w:themeColor="text1"/>
          <w:szCs w:val="24"/>
          <w14:textFill>
            <w14:solidFill>
              <w14:schemeClr w14:val="tx1"/>
            </w14:solidFill>
          </w14:textFill>
        </w:rPr>
      </w:pPr>
    </w:p>
    <w:p>
      <w:pPr>
        <w:rPr>
          <w:rFonts w:ascii="宋体" w:hAnsi="宋体"/>
          <w:b/>
          <w:color w:val="000000" w:themeColor="text1"/>
          <w:szCs w:val="24"/>
          <w14:textFill>
            <w14:solidFill>
              <w14:schemeClr w14:val="tx1"/>
            </w14:solidFill>
          </w14:textFill>
        </w:rPr>
      </w:pPr>
    </w:p>
    <w:p>
      <w:pPr>
        <w:rPr>
          <w:rFonts w:ascii="宋体" w:hAnsi="宋体"/>
          <w:b/>
          <w:color w:val="000000" w:themeColor="text1"/>
          <w:szCs w:val="24"/>
          <w14:textFill>
            <w14:solidFill>
              <w14:schemeClr w14:val="tx1"/>
            </w14:solidFill>
          </w14:textFill>
        </w:rPr>
      </w:pPr>
    </w:p>
    <w:p>
      <w:pPr>
        <w:rPr>
          <w:rFonts w:ascii="宋体" w:hAnsi="宋体"/>
          <w:b/>
          <w:color w:val="000000" w:themeColor="text1"/>
          <w:szCs w:val="24"/>
          <w14:textFill>
            <w14:solidFill>
              <w14:schemeClr w14:val="tx1"/>
            </w14:solidFill>
          </w14:textFill>
        </w:rPr>
      </w:pPr>
    </w:p>
    <w:p>
      <w:pPr>
        <w:ind w:firstLine="482" w:firstLineChars="200"/>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六、评价适用标准</w:t>
      </w:r>
    </w:p>
    <w:tbl>
      <w:tblPr>
        <w:tblStyle w:val="11"/>
        <w:tblW w:w="8789" w:type="dxa"/>
        <w:tblInd w:w="10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09"/>
        <w:gridCol w:w="808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3762" w:hRule="atLeast"/>
        </w:trPr>
        <w:tc>
          <w:tcPr>
            <w:tcW w:w="709" w:type="dxa"/>
            <w:tcBorders>
              <w:bottom w:val="single" w:color="auto" w:sz="8" w:space="0"/>
              <w:right w:val="single" w:color="auto" w:sz="8" w:space="0"/>
            </w:tcBorders>
            <w:vAlign w:val="center"/>
          </w:tcPr>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环</w:t>
            </w:r>
          </w:p>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境</w:t>
            </w:r>
          </w:p>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质</w:t>
            </w:r>
          </w:p>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量</w:t>
            </w:r>
          </w:p>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标</w:t>
            </w:r>
          </w:p>
          <w:p>
            <w:pPr>
              <w:spacing w:line="240" w:lineRule="auto"/>
              <w:jc w:val="center"/>
              <w:rPr>
                <w:rFonts w:ascii="宋体" w:hAnsi="宋体"/>
                <w:b/>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准</w:t>
            </w:r>
          </w:p>
        </w:tc>
        <w:tc>
          <w:tcPr>
            <w:tcW w:w="8080" w:type="dxa"/>
            <w:tcBorders>
              <w:left w:val="single" w:color="auto" w:sz="8" w:space="0"/>
              <w:bottom w:val="single" w:color="auto" w:sz="8" w:space="0"/>
            </w:tcBorders>
            <w:vAlign w:val="center"/>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《环境空气质量标准》（GB3095-2012）二级标准。</w:t>
            </w:r>
          </w:p>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《地表水环境质量标准》（GB3838-2002）Ⅲ类标准</w:t>
            </w:r>
          </w:p>
          <w:p>
            <w:pPr>
              <w:rPr>
                <w:rFonts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《地下水质量标准》(GB/T14848-93)Ⅲ类标准</w:t>
            </w:r>
          </w:p>
          <w:p>
            <w:pPr>
              <w:rPr>
                <w:rFonts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《声环境质量标准》（GB3096-2008）2类标准</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4005" w:hRule="atLeast"/>
        </w:trPr>
        <w:tc>
          <w:tcPr>
            <w:tcW w:w="709" w:type="dxa"/>
            <w:tcBorders>
              <w:top w:val="single" w:color="auto" w:sz="8" w:space="0"/>
              <w:bottom w:val="single" w:color="auto" w:sz="8" w:space="0"/>
              <w:right w:val="single" w:color="auto" w:sz="8" w:space="0"/>
            </w:tcBorders>
            <w:vAlign w:val="center"/>
          </w:tcPr>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污</w:t>
            </w:r>
          </w:p>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染</w:t>
            </w:r>
          </w:p>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物</w:t>
            </w:r>
          </w:p>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排</w:t>
            </w:r>
          </w:p>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放</w:t>
            </w:r>
          </w:p>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标</w:t>
            </w:r>
          </w:p>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准</w:t>
            </w:r>
          </w:p>
        </w:tc>
        <w:tc>
          <w:tcPr>
            <w:tcW w:w="8080" w:type="dxa"/>
            <w:tcBorders>
              <w:top w:val="single" w:color="auto" w:sz="8" w:space="0"/>
              <w:left w:val="single" w:color="auto" w:sz="8" w:space="0"/>
              <w:bottom w:val="single" w:color="auto" w:sz="8" w:space="0"/>
            </w:tcBorders>
            <w:vAlign w:val="center"/>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《污水综合排放标准》GB8978-1996二级标准</w:t>
            </w:r>
          </w:p>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《建筑施工场界环境噪声排放标准》（GB12523-2011）</w:t>
            </w:r>
          </w:p>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《工业企业厂界环境噪声排放标准》（B12348-2008）2类标准</w:t>
            </w:r>
          </w:p>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《大气污染物排放标准》GB16297-1996二级标准。</w:t>
            </w:r>
          </w:p>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《饮食油烟排放标准》（GB18483-2001）中的要求</w:t>
            </w:r>
          </w:p>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《危险废物贮存污染控制标准》（GB18597-2001</w:t>
            </w:r>
            <w:r>
              <w:rPr>
                <w:rFonts w:ascii="宋体" w:hAnsi="宋体"/>
                <w:color w:val="000000" w:themeColor="text1"/>
                <w:szCs w:val="24"/>
                <w14:textFill>
                  <w14:solidFill>
                    <w14:schemeClr w14:val="tx1"/>
                  </w14:solidFill>
                </w14:textFill>
              </w:rPr>
              <w:t>）</w:t>
            </w:r>
            <w:r>
              <w:rPr>
                <w:rFonts w:hint="eastAsia" w:ascii="宋体" w:hAnsi="宋体"/>
                <w:color w:val="000000" w:themeColor="text1"/>
                <w:szCs w:val="24"/>
                <w14:textFill>
                  <w14:solidFill>
                    <w14:schemeClr w14:val="tx1"/>
                  </w14:solidFill>
                </w14:textFill>
              </w:rPr>
              <w:t>及2013年修改单相关要求</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4709" w:hRule="atLeast"/>
        </w:trPr>
        <w:tc>
          <w:tcPr>
            <w:tcW w:w="709" w:type="dxa"/>
            <w:tcBorders>
              <w:top w:val="single" w:color="auto" w:sz="8" w:space="0"/>
              <w:right w:val="single" w:color="auto" w:sz="8" w:space="0"/>
            </w:tcBorders>
            <w:vAlign w:val="center"/>
          </w:tcPr>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总</w:t>
            </w:r>
          </w:p>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量</w:t>
            </w:r>
          </w:p>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控</w:t>
            </w:r>
          </w:p>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制</w:t>
            </w:r>
          </w:p>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指</w:t>
            </w:r>
          </w:p>
          <w:p>
            <w:pPr>
              <w:spacing w:line="240" w:lineRule="auto"/>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标</w:t>
            </w:r>
          </w:p>
        </w:tc>
        <w:tc>
          <w:tcPr>
            <w:tcW w:w="8080" w:type="dxa"/>
            <w:tcBorders>
              <w:top w:val="single" w:color="auto" w:sz="8" w:space="0"/>
              <w:left w:val="single" w:color="auto" w:sz="8" w:space="0"/>
            </w:tcBorders>
            <w:vAlign w:val="center"/>
          </w:tcPr>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本项目建议不设置总量控制指标</w:t>
            </w:r>
          </w:p>
        </w:tc>
      </w:tr>
    </w:tbl>
    <w:p>
      <w:pPr>
        <w:rPr>
          <w:rFonts w:ascii="宋体" w:hAnsi="宋体"/>
          <w:b/>
          <w:color w:val="000000" w:themeColor="text1"/>
          <w:sz w:val="30"/>
          <w:szCs w:val="30"/>
          <w14:textFill>
            <w14:solidFill>
              <w14:schemeClr w14:val="tx1"/>
            </w14:solidFill>
          </w14:textFill>
        </w:rPr>
      </w:pPr>
    </w:p>
    <w:tbl>
      <w:tblPr>
        <w:tblStyle w:val="11"/>
        <w:tblW w:w="921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14" w:hRule="atLeast"/>
        </w:trPr>
        <w:tc>
          <w:tcPr>
            <w:tcW w:w="9215" w:type="dxa"/>
            <w:tcBorders>
              <w:top w:val="single" w:color="auto" w:sz="12" w:space="0"/>
              <w:left w:val="single" w:color="auto" w:sz="12" w:space="0"/>
              <w:right w:val="single" w:color="auto" w:sz="12" w:space="0"/>
            </w:tcBorders>
          </w:tcPr>
          <w:p>
            <w:pPr>
              <w:ind w:firstLine="482" w:firstLineChars="200"/>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项目施工期工艺流程简介</w:t>
            </w:r>
          </w:p>
          <w:p>
            <w:pPr>
              <w:ind w:firstLine="495"/>
              <w:jc w:val="center"/>
              <w:rPr>
                <w:rFonts w:ascii="宋体" w:hAnsi="宋体"/>
                <w:color w:val="000000" w:themeColor="text1"/>
                <w:szCs w:val="24"/>
                <w14:textFill>
                  <w14:solidFill>
                    <w14:schemeClr w14:val="tx1"/>
                  </w14:solidFill>
                </w14:textFill>
              </w:rPr>
            </w:pPr>
            <w:r>
              <w:rPr>
                <w:color w:val="000000" w:themeColor="text1"/>
                <w14:textFill>
                  <w14:solidFill>
                    <w14:schemeClr w14:val="tx1"/>
                  </w14:solidFill>
                </w14:textFill>
              </w:rPr>
              <w:object>
                <v:shape id="_x0000_i1025" o:spt="75" type="#_x0000_t75" style="height:186.75pt;width:351.75pt;" o:ole="t" filled="f" o:preferrelative="t" stroked="f" coordsize="21600,21600">
                  <v:path/>
                  <v:fill on="f" focussize="0,0"/>
                  <v:stroke on="f" joinstyle="miter"/>
                  <v:imagedata r:id="rId11" o:title=""/>
                  <o:lock v:ext="edit" aspectratio="t"/>
                  <w10:wrap type="none"/>
                  <w10:anchorlock/>
                </v:shape>
                <o:OLEObject Type="Embed" ProgID="Visio.Drawing.11" ShapeID="_x0000_i1025" DrawAspect="Content" ObjectID="_1468075725" r:id="rId10">
                  <o:LockedField>false</o:LockedField>
                </o:OLEObject>
              </w:objec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该项目施工期间的工作流程及阶段划分如下：</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1、土地租用阶段</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经过对本项目的初步设计后，对相应的土地进行规划，与村民协商进行租地。</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2、土地翻整阶段</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对种植区的土地进行翻整，为后期的植物种植打好基础。</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3、基础施工阶段</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基坑护壁及修建地基。</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4、主体工程建设阶段</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进行主体结构施工，建筑物主体结构为砖混结构。</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5、交付使用与种植阶段</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主体工程完与土地翻整完成后，交付使用和进行植物种植。</w:t>
            </w:r>
          </w:p>
          <w:p>
            <w:pPr>
              <w:ind w:firstLine="495"/>
              <w:rPr>
                <w:rFonts w:ascii="宋体" w:hAnsi="宋体"/>
                <w:color w:val="000000" w:themeColor="text1"/>
                <w:szCs w:val="24"/>
                <w14:textFill>
                  <w14:solidFill>
                    <w14:schemeClr w14:val="tx1"/>
                  </w14:solidFill>
                </w14:textFill>
              </w:rPr>
            </w:pPr>
          </w:p>
          <w:p>
            <w:pPr>
              <w:ind w:firstLine="495"/>
              <w:rPr>
                <w:rFonts w:ascii="宋体" w:hAnsi="宋体"/>
                <w:color w:val="000000" w:themeColor="text1"/>
                <w:szCs w:val="24"/>
                <w14:textFill>
                  <w14:solidFill>
                    <w14:schemeClr w14:val="tx1"/>
                  </w14:solidFill>
                </w14:textFill>
              </w:rPr>
            </w:pPr>
          </w:p>
          <w:p>
            <w:pPr>
              <w:ind w:firstLine="495"/>
              <w:rPr>
                <w:rFonts w:ascii="宋体" w:hAnsi="宋体"/>
                <w:color w:val="000000" w:themeColor="text1"/>
                <w:szCs w:val="24"/>
                <w14:textFill>
                  <w14:solidFill>
                    <w14:schemeClr w14:val="tx1"/>
                  </w14:solidFill>
                </w14:textFill>
              </w:rPr>
            </w:pPr>
          </w:p>
          <w:p>
            <w:pPr>
              <w:ind w:firstLine="495"/>
              <w:rPr>
                <w:rFonts w:ascii="宋体" w:hAnsi="宋体"/>
                <w:color w:val="000000" w:themeColor="text1"/>
                <w:szCs w:val="24"/>
                <w14:textFill>
                  <w14:solidFill>
                    <w14:schemeClr w14:val="tx1"/>
                  </w14:solidFill>
                </w14:textFill>
              </w:rPr>
            </w:pPr>
          </w:p>
          <w:p>
            <w:pPr>
              <w:ind w:firstLine="495"/>
              <w:rPr>
                <w:rFonts w:ascii="宋体" w:hAnsi="宋体"/>
                <w:color w:val="000000" w:themeColor="text1"/>
                <w:szCs w:val="24"/>
                <w14:textFill>
                  <w14:solidFill>
                    <w14:schemeClr w14:val="tx1"/>
                  </w14:solidFill>
                </w14:textFill>
              </w:rPr>
            </w:pPr>
          </w:p>
          <w:p>
            <w:pPr>
              <w:ind w:firstLine="495"/>
              <w:rPr>
                <w:rFonts w:ascii="宋体" w:hAnsi="宋体"/>
                <w:color w:val="000000" w:themeColor="text1"/>
                <w:szCs w:val="24"/>
                <w14:textFill>
                  <w14:solidFill>
                    <w14:schemeClr w14:val="tx1"/>
                  </w14:solidFill>
                </w14:textFill>
              </w:rPr>
            </w:pPr>
          </w:p>
          <w:p>
            <w:pPr>
              <w:ind w:firstLine="495"/>
              <w:rPr>
                <w:rFonts w:ascii="宋体" w:hAnsi="宋体"/>
                <w:color w:val="000000" w:themeColor="text1"/>
                <w:szCs w:val="24"/>
                <w14:textFill>
                  <w14:solidFill>
                    <w14:schemeClr w14:val="tx1"/>
                  </w14:solidFill>
                </w14:textFill>
              </w:rPr>
            </w:pPr>
          </w:p>
          <w:p>
            <w:pPr>
              <w:ind w:firstLine="495"/>
              <w:rPr>
                <w:rFonts w:ascii="宋体" w:hAnsi="宋体"/>
                <w:color w:val="000000" w:themeColor="text1"/>
                <w:szCs w:val="24"/>
                <w14:textFill>
                  <w14:solidFill>
                    <w14:schemeClr w14:val="tx1"/>
                  </w14:solidFill>
                </w14:textFill>
              </w:rPr>
            </w:pPr>
          </w:p>
          <w:p>
            <w:pPr>
              <w:ind w:firstLine="495"/>
              <w:rPr>
                <w:rFonts w:ascii="宋体" w:hAnsi="宋体"/>
                <w:color w:val="000000" w:themeColor="text1"/>
                <w:szCs w:val="24"/>
                <w14:textFill>
                  <w14:solidFill>
                    <w14:schemeClr w14:val="tx1"/>
                  </w14:solidFill>
                </w14:textFill>
              </w:rPr>
            </w:pPr>
          </w:p>
          <w:p>
            <w:pPr>
              <w:spacing w:line="240" w:lineRule="auto"/>
              <w:ind w:firstLine="562" w:firstLineChars="200"/>
              <w:rPr>
                <w:rFonts w:ascii="宋体" w:hAnsi="宋体"/>
                <w:b/>
                <w:color w:val="000000" w:themeColor="text1"/>
                <w:sz w:val="28"/>
                <w:szCs w:val="30"/>
                <w14:textFill>
                  <w14:solidFill>
                    <w14:schemeClr w14:val="tx1"/>
                  </w14:solidFill>
                </w14:textFill>
              </w:rPr>
            </w:pPr>
            <w:r>
              <w:rPr>
                <w:rFonts w:hint="eastAsia" w:ascii="宋体" w:hAnsi="宋体"/>
                <w:b/>
                <w:color w:val="000000" w:themeColor="text1"/>
                <w:sz w:val="28"/>
                <w:szCs w:val="30"/>
                <w14:textFill>
                  <w14:solidFill>
                    <w14:schemeClr w14:val="tx1"/>
                  </w14:solidFill>
                </w14:textFill>
              </w:rPr>
              <w:t>主要污染工序</w:t>
            </w:r>
          </w:p>
          <w:p>
            <w:pPr>
              <w:ind w:firstLine="482" w:firstLineChars="200"/>
              <w:rPr>
                <w:rFonts w:ascii="宋体" w:hAnsi="宋体"/>
                <w:b/>
                <w:color w:val="000000" w:themeColor="text1"/>
                <w:szCs w:val="24"/>
                <w14:textFill>
                  <w14:solidFill>
                    <w14:schemeClr w14:val="tx1"/>
                  </w14:solidFill>
                </w14:textFill>
              </w:rPr>
            </w:pPr>
            <w:r>
              <w:rPr>
                <w:rFonts w:ascii="宋体" w:hAnsi="宋体"/>
                <w:b/>
                <w:color w:val="000000" w:themeColor="text1"/>
                <w:szCs w:val="24"/>
                <w14:textFill>
                  <w14:solidFill>
                    <w14:schemeClr w14:val="tx1"/>
                  </w14:solidFill>
                </w14:textFill>
              </w:rPr>
              <w:fldChar w:fldCharType="begin"/>
            </w:r>
            <w:r>
              <w:rPr>
                <w:rFonts w:ascii="宋体" w:hAnsi="宋体"/>
                <w:b/>
                <w:color w:val="000000" w:themeColor="text1"/>
                <w:szCs w:val="24"/>
                <w14:textFill>
                  <w14:solidFill>
                    <w14:schemeClr w14:val="tx1"/>
                  </w14:solidFill>
                </w14:textFill>
              </w:rPr>
              <w:instrText xml:space="preserve"> </w:instrText>
            </w:r>
            <w:r>
              <w:rPr>
                <w:rFonts w:hint="eastAsia" w:ascii="宋体" w:hAnsi="宋体"/>
                <w:b/>
                <w:color w:val="000000" w:themeColor="text1"/>
                <w:szCs w:val="24"/>
                <w14:textFill>
                  <w14:solidFill>
                    <w14:schemeClr w14:val="tx1"/>
                  </w14:solidFill>
                </w14:textFill>
              </w:rPr>
              <w:instrText xml:space="preserve">= 1 \* GB4</w:instrText>
            </w:r>
            <w:r>
              <w:rPr>
                <w:rFonts w:ascii="宋体" w:hAnsi="宋体"/>
                <w:b/>
                <w:color w:val="000000" w:themeColor="text1"/>
                <w:szCs w:val="24"/>
                <w14:textFill>
                  <w14:solidFill>
                    <w14:schemeClr w14:val="tx1"/>
                  </w14:solidFill>
                </w14:textFill>
              </w:rPr>
              <w:instrText xml:space="preserve"> </w:instrText>
            </w:r>
            <w:r>
              <w:rPr>
                <w:rFonts w:ascii="宋体" w:hAnsi="宋体"/>
                <w:b/>
                <w:color w:val="000000" w:themeColor="text1"/>
                <w:szCs w:val="24"/>
                <w14:textFill>
                  <w14:solidFill>
                    <w14:schemeClr w14:val="tx1"/>
                  </w14:solidFill>
                </w14:textFill>
              </w:rPr>
              <w:fldChar w:fldCharType="separate"/>
            </w:r>
            <w:r>
              <w:rPr>
                <w:rFonts w:hint="eastAsia" w:ascii="宋体" w:hAnsi="宋体"/>
                <w:b/>
                <w:color w:val="000000" w:themeColor="text1"/>
                <w:szCs w:val="24"/>
                <w14:textFill>
                  <w14:solidFill>
                    <w14:schemeClr w14:val="tx1"/>
                  </w14:solidFill>
                </w14:textFill>
              </w:rPr>
              <w:t>㈠</w:t>
            </w:r>
            <w:r>
              <w:rPr>
                <w:rFonts w:ascii="宋体" w:hAnsi="宋体"/>
                <w:b/>
                <w:color w:val="000000" w:themeColor="text1"/>
                <w:szCs w:val="24"/>
                <w14:textFill>
                  <w14:solidFill>
                    <w14:schemeClr w14:val="tx1"/>
                  </w14:solidFill>
                </w14:textFill>
              </w:rPr>
              <w:fldChar w:fldCharType="end"/>
            </w:r>
            <w:r>
              <w:rPr>
                <w:rFonts w:hint="eastAsia" w:ascii="宋体" w:hAnsi="宋体"/>
                <w:b/>
                <w:color w:val="000000" w:themeColor="text1"/>
                <w:szCs w:val="24"/>
                <w14:textFill>
                  <w14:solidFill>
                    <w14:schemeClr w14:val="tx1"/>
                  </w14:solidFill>
                </w14:textFill>
              </w:rPr>
              <w:t xml:space="preserve"> 施工期产物环节及污染物种类</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本项目施工期的工程内容主要为：平整土地、建筑施工、铺设管线、安装设备、及水池建设等。产生的污染物主要为施工噪声、施工扬尘、施工废水和施工废弃土方及施工人员生活垃圾。</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1、扬尘</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施工期扬尘主要是施工过程中场地平整、土方挖掘等施工扬尘、建筑材料的现场搬运及堆放扬尘、施工垃圾的清理及堆放扬尘及原料运输等运输扬尘。</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2、废水</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施工废水主要来自备料废水、施工机械及运输车辆冲洗废水，施工期约18个月，建临时沉淀池沉淀后回用；施工人员用餐由业主现有房屋处提供，</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按0. 1t/d人，每天施工人数约15人，排污</w:t>
            </w:r>
            <w:r>
              <w:rPr>
                <w:rFonts w:hint="eastAsia" w:ascii="宋体" w:hAnsi="宋体"/>
                <w:color w:val="auto"/>
                <w:szCs w:val="24"/>
              </w:rPr>
              <w:t>系数0.85</w:t>
            </w:r>
            <w:r>
              <w:rPr>
                <w:rFonts w:hint="eastAsia" w:ascii="宋体" w:hAnsi="宋体"/>
                <w:color w:val="000000" w:themeColor="text1"/>
                <w:szCs w:val="24"/>
                <w14:textFill>
                  <w14:solidFill>
                    <w14:schemeClr w14:val="tx1"/>
                  </w14:solidFill>
                </w14:textFill>
              </w:rPr>
              <w:t>计算，废水排放量为1.28t/d。工地现场不建生活设施。</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3、噪声</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施工期噪声主要是施工机械、压缩机、挖掘机等产生的机械噪声，源强在75-110dB（A）之间。</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4、固体废物</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施工期间所产生的固体废物主要有基础施工所挖掘的土石方和主体结构施工所产生的建筑施工材料的废边角料等废物料及施工人员的生活垃圾等。</w:t>
            </w:r>
          </w:p>
          <w:p>
            <w:pPr>
              <w:ind w:firstLine="482" w:firstLineChars="200"/>
              <w:rPr>
                <w:rFonts w:ascii="宋体" w:hAnsi="宋体"/>
                <w:color w:val="auto"/>
                <w:szCs w:val="24"/>
              </w:rPr>
            </w:pPr>
            <w:r>
              <w:rPr>
                <w:rFonts w:ascii="宋体" w:hAnsi="宋体"/>
                <w:b/>
                <w:color w:val="auto"/>
                <w:szCs w:val="24"/>
              </w:rPr>
              <w:fldChar w:fldCharType="begin"/>
            </w:r>
            <w:r>
              <w:rPr>
                <w:rFonts w:ascii="宋体" w:hAnsi="宋体"/>
                <w:b/>
                <w:color w:val="auto"/>
                <w:szCs w:val="24"/>
              </w:rPr>
              <w:instrText xml:space="preserve"> </w:instrText>
            </w:r>
            <w:r>
              <w:rPr>
                <w:rFonts w:hint="eastAsia" w:ascii="宋体" w:hAnsi="宋体"/>
                <w:b/>
                <w:color w:val="auto"/>
                <w:szCs w:val="24"/>
              </w:rPr>
              <w:instrText xml:space="preserve">= 2 \* GB4</w:instrText>
            </w:r>
            <w:r>
              <w:rPr>
                <w:rFonts w:ascii="宋体" w:hAnsi="宋体"/>
                <w:b/>
                <w:color w:val="auto"/>
                <w:szCs w:val="24"/>
              </w:rPr>
              <w:instrText xml:space="preserve"> </w:instrText>
            </w:r>
            <w:r>
              <w:rPr>
                <w:rFonts w:ascii="宋体" w:hAnsi="宋体"/>
                <w:b/>
                <w:color w:val="auto"/>
                <w:szCs w:val="24"/>
              </w:rPr>
              <w:fldChar w:fldCharType="separate"/>
            </w:r>
            <w:r>
              <w:rPr>
                <w:rFonts w:hint="eastAsia" w:ascii="宋体" w:hAnsi="宋体"/>
                <w:b/>
                <w:color w:val="auto"/>
                <w:szCs w:val="24"/>
              </w:rPr>
              <w:t>㈡</w:t>
            </w:r>
            <w:r>
              <w:rPr>
                <w:rFonts w:ascii="宋体" w:hAnsi="宋体"/>
                <w:b/>
                <w:color w:val="auto"/>
                <w:szCs w:val="24"/>
              </w:rPr>
              <w:fldChar w:fldCharType="end"/>
            </w:r>
            <w:r>
              <w:rPr>
                <w:rFonts w:hint="eastAsia" w:ascii="宋体" w:hAnsi="宋体"/>
                <w:b/>
                <w:color w:val="auto"/>
                <w:szCs w:val="24"/>
              </w:rPr>
              <w:t xml:space="preserve"> 运营期产污环节及污染物种类</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根据本项目的工程特点，运营期的产污环节主要在种植基地植物种植。</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1、废气</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废气为种植过程中肥料的分解吸收过程产生的少量废气（为无组织排放）和木材燃烧产生的废气以及少量食堂油烟。</w:t>
            </w:r>
          </w:p>
          <w:p>
            <w:pPr>
              <w:ind w:firstLine="480" w:firstLineChars="200"/>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1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①</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木材燃烧产生的废气</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本项目所用木材的量约为30t/a，用于园内食堂，木材燃烧所产生的烟尘经烟囱排放，且项目所在地为农村地区，周边居民大多使用木材为燃料，所以，本项目所产生的烟尘对周边环境基本无影响。</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根据工业源系数手册(下册)中有关数据，烟尘的产污系数为0.5kg/t。得：</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本项目的烟尘产生量为15kg/a。</w:t>
            </w:r>
          </w:p>
          <w:p>
            <w:pPr>
              <w:ind w:firstLine="480" w:firstLineChars="200"/>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2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②</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食堂油烟</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项目设有一小型职工食堂（对外开放），使用的液化气属于清洁能源，产生的污染物很少。食堂废气主要是在木材燃烧产生的废气和食物烹饪、加工过程中挥发的油脂、有机质热分解或裂解，从而产生的油烟废气。食堂为厂区职工提供就餐，人数为中餐10人、晚餐5人，根据资料类比，项目食堂产生的油烟废气浓度约</w:t>
            </w:r>
            <w:r>
              <w:rPr>
                <w:rFonts w:ascii="宋体" w:hAnsi="宋体"/>
                <w:color w:val="000000" w:themeColor="text1"/>
                <w:szCs w:val="24"/>
                <w14:textFill>
                  <w14:solidFill>
                    <w14:schemeClr w14:val="tx1"/>
                  </w14:solidFill>
                </w14:textFill>
              </w:rPr>
              <w:t>10mg</w:t>
            </w:r>
            <w:r>
              <w:rPr>
                <w:rFonts w:hint="eastAsia" w:ascii="MS Mincho" w:hAnsi="MS Mincho" w:eastAsia="MS Mincho" w:cs="MS Mincho"/>
                <w:color w:val="000000" w:themeColor="text1"/>
                <w:szCs w:val="24"/>
                <w14:textFill>
                  <w14:solidFill>
                    <w14:schemeClr w14:val="tx1"/>
                  </w14:solidFill>
                </w14:textFill>
              </w:rPr>
              <w:t>⁄</w:t>
            </w:r>
            <w:r>
              <w:rPr>
                <w:rFonts w:ascii="宋体" w:hAnsi="宋体"/>
                <w:color w:val="000000" w:themeColor="text1"/>
                <w:szCs w:val="24"/>
                <w14:textFill>
                  <w14:solidFill>
                    <w14:schemeClr w14:val="tx1"/>
                  </w14:solidFill>
                </w14:textFill>
              </w:rPr>
              <w:t>m</w:t>
            </w:r>
            <w:r>
              <w:rPr>
                <w:rFonts w:ascii="宋体" w:hAnsi="宋体"/>
                <w:color w:val="000000" w:themeColor="text1"/>
                <w:szCs w:val="24"/>
                <w:vertAlign w:val="superscript"/>
                <w14:textFill>
                  <w14:solidFill>
                    <w14:schemeClr w14:val="tx1"/>
                  </w14:solidFill>
                </w14:textFill>
              </w:rPr>
              <w:t>3</w:t>
            </w:r>
            <w:r>
              <w:rPr>
                <w:rFonts w:hint="eastAsia" w:ascii="宋体" w:hAnsi="宋体"/>
                <w:color w:val="000000" w:themeColor="text1"/>
                <w:szCs w:val="24"/>
                <w14:textFill>
                  <w14:solidFill>
                    <w14:schemeClr w14:val="tx1"/>
                  </w14:solidFill>
                </w14:textFill>
              </w:rPr>
              <w:t>，食堂油烟采用先进的静电油烟净化装置进行有效处理，处理效率能达到</w:t>
            </w:r>
            <w:r>
              <w:rPr>
                <w:rFonts w:ascii="宋体" w:hAnsi="宋体"/>
                <w:color w:val="000000" w:themeColor="text1"/>
                <w:szCs w:val="24"/>
                <w14:textFill>
                  <w14:solidFill>
                    <w14:schemeClr w14:val="tx1"/>
                  </w14:solidFill>
                </w14:textFill>
              </w:rPr>
              <w:t>80%</w:t>
            </w:r>
            <w:r>
              <w:rPr>
                <w:rFonts w:hint="eastAsia" w:ascii="宋体" w:hAnsi="宋体"/>
                <w:color w:val="000000" w:themeColor="text1"/>
                <w:szCs w:val="24"/>
                <w14:textFill>
                  <w14:solidFill>
                    <w14:schemeClr w14:val="tx1"/>
                  </w14:solidFill>
                </w14:textFill>
              </w:rPr>
              <w:t>以上，经处理后，油烟浓度可降至</w:t>
            </w:r>
            <w:r>
              <w:rPr>
                <w:rFonts w:ascii="宋体" w:hAnsi="宋体"/>
                <w:color w:val="000000" w:themeColor="text1"/>
                <w:szCs w:val="24"/>
                <w14:textFill>
                  <w14:solidFill>
                    <w14:schemeClr w14:val="tx1"/>
                  </w14:solidFill>
                </w14:textFill>
              </w:rPr>
              <w:t>1.8mg/m</w:t>
            </w:r>
            <w:r>
              <w:rPr>
                <w:rFonts w:ascii="宋体" w:hAnsi="宋体"/>
                <w:color w:val="000000" w:themeColor="text1"/>
                <w:szCs w:val="24"/>
                <w:vertAlign w:val="superscript"/>
                <w14:textFill>
                  <w14:solidFill>
                    <w14:schemeClr w14:val="tx1"/>
                  </w14:solidFill>
                </w14:textFill>
              </w:rPr>
              <w:t>3</w:t>
            </w:r>
            <w:r>
              <w:rPr>
                <w:rFonts w:hint="eastAsia" w:ascii="宋体" w:hAnsi="宋体"/>
                <w:color w:val="000000" w:themeColor="text1"/>
                <w:szCs w:val="24"/>
                <w14:textFill>
                  <w14:solidFill>
                    <w14:schemeClr w14:val="tx1"/>
                  </w14:solidFill>
                </w14:textFill>
              </w:rPr>
              <w:t>以下，处理后的油烟经厂区预留油烟管道高空排放。能达到《饮食业油烟排放标准》（</w:t>
            </w:r>
            <w:r>
              <w:rPr>
                <w:rFonts w:ascii="宋体" w:hAnsi="宋体"/>
                <w:color w:val="000000" w:themeColor="text1"/>
                <w:szCs w:val="24"/>
                <w14:textFill>
                  <w14:solidFill>
                    <w14:schemeClr w14:val="tx1"/>
                  </w14:solidFill>
                </w14:textFill>
              </w:rPr>
              <w:t>GB18483-2001</w:t>
            </w:r>
            <w:r>
              <w:rPr>
                <w:rFonts w:hint="eastAsia" w:ascii="宋体" w:hAnsi="宋体"/>
                <w:color w:val="000000" w:themeColor="text1"/>
                <w:szCs w:val="24"/>
                <w14:textFill>
                  <w14:solidFill>
                    <w14:schemeClr w14:val="tx1"/>
                  </w14:solidFill>
                </w14:textFill>
              </w:rPr>
              <w:t>）中的标准，即≤</w:t>
            </w:r>
            <w:r>
              <w:rPr>
                <w:rFonts w:ascii="宋体" w:hAnsi="宋体"/>
                <w:color w:val="000000" w:themeColor="text1"/>
                <w:szCs w:val="24"/>
                <w14:textFill>
                  <w14:solidFill>
                    <w14:schemeClr w14:val="tx1"/>
                  </w14:solidFill>
                </w14:textFill>
              </w:rPr>
              <w:t>2 mg/m</w:t>
            </w:r>
            <w:r>
              <w:rPr>
                <w:rFonts w:ascii="宋体" w:hAnsi="宋体"/>
                <w:color w:val="000000" w:themeColor="text1"/>
                <w:szCs w:val="24"/>
                <w:vertAlign w:val="superscript"/>
                <w14:textFill>
                  <w14:solidFill>
                    <w14:schemeClr w14:val="tx1"/>
                  </w14:solidFill>
                </w14:textFill>
              </w:rPr>
              <w:t>3</w:t>
            </w:r>
            <w:r>
              <w:rPr>
                <w:rFonts w:hint="eastAsia" w:ascii="宋体" w:hAnsi="宋体"/>
                <w:color w:val="000000" w:themeColor="text1"/>
                <w:szCs w:val="24"/>
                <w14:textFill>
                  <w14:solidFill>
                    <w14:schemeClr w14:val="tx1"/>
                  </w14:solidFill>
                </w14:textFill>
              </w:rPr>
              <w:t>，因此，项目食堂油烟对周边大气环境影响较小。</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2、废水</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生活污水</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全厂职工</w:t>
            </w:r>
            <w:r>
              <w:rPr>
                <w:rFonts w:hint="eastAsia" w:ascii="宋体" w:hAnsi="宋体"/>
                <w:color w:val="auto"/>
                <w:szCs w:val="24"/>
              </w:rPr>
              <w:t>13人，</w:t>
            </w:r>
            <w:r>
              <w:rPr>
                <w:rFonts w:hint="eastAsia" w:ascii="宋体" w:hAnsi="宋体"/>
                <w:color w:val="000000" w:themeColor="text1"/>
                <w:szCs w:val="24"/>
                <w14:textFill>
                  <w14:solidFill>
                    <w14:schemeClr w14:val="tx1"/>
                  </w14:solidFill>
                </w14:textFill>
              </w:rPr>
              <w:t>年工作天数200天，项目5人在厂区住宿，在食堂就餐中午10人，晚上5人，在厂区住宿员工生活用水量按0.2t/d·人计算，不在厂区住宿员工生活用水量按0.1t/d·人计算，则生活用水量为1.8t/d（360t/a</w:t>
            </w:r>
            <w:r>
              <w:rPr>
                <w:rFonts w:ascii="宋体" w:hAnsi="宋体"/>
                <w:color w:val="000000" w:themeColor="text1"/>
                <w:szCs w:val="24"/>
                <w14:textFill>
                  <w14:solidFill>
                    <w14:schemeClr w14:val="tx1"/>
                  </w14:solidFill>
                </w14:textFill>
              </w:rPr>
              <w:t>）</w:t>
            </w:r>
            <w:r>
              <w:rPr>
                <w:rFonts w:hint="eastAsia" w:ascii="宋体" w:hAnsi="宋体"/>
                <w:color w:val="000000" w:themeColor="text1"/>
                <w:szCs w:val="24"/>
                <w14:textFill>
                  <w14:solidFill>
                    <w14:schemeClr w14:val="tx1"/>
                  </w14:solidFill>
                </w14:textFill>
              </w:rPr>
              <w:t>。</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3、固废</w:t>
            </w:r>
          </w:p>
          <w:p>
            <w:pPr>
              <w:ind w:firstLine="480" w:firstLineChars="200"/>
              <w:rPr>
                <w:rFonts w:ascii="宋体" w:hAnsi="宋体"/>
                <w:color w:val="000000" w:themeColor="text1"/>
                <w:sz w:val="28"/>
                <w:szCs w:val="30"/>
                <w14:textFill>
                  <w14:solidFill>
                    <w14:schemeClr w14:val="tx1"/>
                  </w14:solidFill>
                </w14:textFill>
              </w:rPr>
            </w:pPr>
            <w:r>
              <w:rPr>
                <w:rFonts w:hint="eastAsia" w:ascii="宋体" w:hAnsi="宋体"/>
                <w:color w:val="000000" w:themeColor="text1"/>
                <w:szCs w:val="24"/>
                <w14:textFill>
                  <w14:solidFill>
                    <w14:schemeClr w14:val="tx1"/>
                  </w14:solidFill>
                </w14:textFill>
              </w:rPr>
              <w:t>固废为生活垃圾约</w:t>
            </w:r>
            <w:r>
              <w:rPr>
                <w:rFonts w:hint="eastAsia" w:ascii="宋体" w:hAnsi="宋体"/>
                <w:color w:val="auto"/>
                <w:szCs w:val="24"/>
              </w:rPr>
              <w:t>1.6t/a、树枝杂草约30t/a和</w:t>
            </w:r>
            <w:r>
              <w:rPr>
                <w:rFonts w:hint="eastAsia" w:ascii="宋体" w:hAnsi="宋体"/>
                <w:color w:val="000000" w:themeColor="text1"/>
                <w:szCs w:val="24"/>
                <w14:textFill>
                  <w14:solidFill>
                    <w14:schemeClr w14:val="tx1"/>
                  </w14:solidFill>
                </w14:textFill>
              </w:rPr>
              <w:t>少量废纸箱、农药包装袋（瓶）、化肥包装</w:t>
            </w:r>
            <w:r>
              <w:rPr>
                <w:rFonts w:hint="eastAsia" w:ascii="宋体" w:hAnsi="宋体"/>
                <w:color w:val="auto"/>
                <w:szCs w:val="24"/>
              </w:rPr>
              <w:t>袋等；其中，农药包装袋（瓶）属国家规定的危险废物，</w:t>
            </w:r>
            <w:r>
              <w:rPr>
                <w:rFonts w:hint="eastAsia" w:asciiTheme="minorEastAsia" w:hAnsiTheme="minorEastAsia"/>
                <w:color w:val="auto"/>
                <w:szCs w:val="24"/>
              </w:rPr>
              <w:t>编号为HW04。</w:t>
            </w:r>
          </w:p>
        </w:tc>
      </w:tr>
    </w:tbl>
    <w:p>
      <w:pPr>
        <w:ind w:firstLine="560" w:firstLineChars="200"/>
        <w:rPr>
          <w:rFonts w:ascii="宋体" w:hAnsi="宋体"/>
          <w:color w:val="000000" w:themeColor="text1"/>
          <w:sz w:val="28"/>
          <w:szCs w:val="30"/>
          <w14:textFill>
            <w14:solidFill>
              <w14:schemeClr w14:val="tx1"/>
            </w14:solidFill>
          </w14:textFill>
        </w:rPr>
        <w:sectPr>
          <w:pgSz w:w="11906" w:h="16838"/>
          <w:pgMar w:top="1440" w:right="1800" w:bottom="1440" w:left="1800" w:header="851" w:footer="992" w:gutter="0"/>
          <w:cols w:space="425" w:num="1"/>
          <w:docGrid w:type="lines" w:linePitch="312" w:charSpace="0"/>
        </w:sectPr>
      </w:pPr>
    </w:p>
    <w:tbl>
      <w:tblPr>
        <w:tblStyle w:val="11"/>
        <w:tblW w:w="9782"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tcBorders>
              <w:top w:val="single" w:color="auto" w:sz="12" w:space="0"/>
              <w:left w:val="single" w:color="auto" w:sz="12" w:space="0"/>
              <w:bottom w:val="single" w:color="auto" w:sz="12" w:space="0"/>
              <w:right w:val="single" w:color="auto" w:sz="12" w:space="0"/>
            </w:tcBorders>
          </w:tcPr>
          <w:p>
            <w:pPr>
              <w:spacing w:line="240" w:lineRule="auto"/>
              <w:ind w:firstLine="482" w:firstLineChars="200"/>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项目主要污染物产生及预计排放情况：</w:t>
            </w:r>
          </w:p>
          <w:tbl>
            <w:tblPr>
              <w:tblStyle w:val="11"/>
              <w:tblW w:w="92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1335"/>
              <w:gridCol w:w="1515"/>
              <w:gridCol w:w="1282"/>
              <w:gridCol w:w="1325"/>
              <w:gridCol w:w="1271"/>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jc w:val="center"/>
              </w:trPr>
              <w:tc>
                <w:tcPr>
                  <w:tcW w:w="1362" w:type="dxa"/>
                  <w:tcBorders>
                    <w:tl2br w:val="single" w:color="auto" w:sz="4" w:space="0"/>
                  </w:tcBorders>
                  <w:vAlign w:val="center"/>
                </w:tcPr>
                <w:p>
                  <w:pPr>
                    <w:spacing w:line="240" w:lineRule="auto"/>
                    <w:ind w:firstLine="525" w:firstLineChars="250"/>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内容</w:t>
                  </w:r>
                </w:p>
                <w:p>
                  <w:pPr>
                    <w:spacing w:line="240" w:lineRule="auto"/>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类型</w:t>
                  </w:r>
                </w:p>
              </w:tc>
              <w:tc>
                <w:tcPr>
                  <w:tcW w:w="133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排放源</w:t>
                  </w:r>
                </w:p>
              </w:tc>
              <w:tc>
                <w:tcPr>
                  <w:tcW w:w="151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污染物名称</w:t>
                  </w:r>
                </w:p>
              </w:tc>
              <w:tc>
                <w:tcPr>
                  <w:tcW w:w="2607" w:type="dxa"/>
                  <w:gridSpan w:val="2"/>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处理前产生浓度及产生量</w:t>
                  </w:r>
                </w:p>
              </w:tc>
              <w:tc>
                <w:tcPr>
                  <w:tcW w:w="2415" w:type="dxa"/>
                  <w:gridSpan w:val="2"/>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62" w:type="dxa"/>
                  <w:vMerge w:val="restart"/>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大气污染物</w:t>
                  </w:r>
                </w:p>
              </w:tc>
              <w:tc>
                <w:tcPr>
                  <w:tcW w:w="133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种植区</w:t>
                  </w:r>
                </w:p>
              </w:tc>
              <w:tc>
                <w:tcPr>
                  <w:tcW w:w="151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肥料分解废气</w:t>
                  </w:r>
                </w:p>
              </w:tc>
              <w:tc>
                <w:tcPr>
                  <w:tcW w:w="2607" w:type="dxa"/>
                  <w:gridSpan w:val="2"/>
                  <w:vAlign w:val="center"/>
                </w:tcPr>
                <w:p>
                  <w:pPr>
                    <w:spacing w:line="240" w:lineRule="auto"/>
                    <w:jc w:val="center"/>
                    <w:rPr>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少量</w:t>
                  </w:r>
                </w:p>
              </w:tc>
              <w:tc>
                <w:tcPr>
                  <w:tcW w:w="2415" w:type="dxa"/>
                  <w:gridSpan w:val="2"/>
                  <w:vAlign w:val="center"/>
                </w:tcPr>
                <w:p>
                  <w:pPr>
                    <w:spacing w:line="240" w:lineRule="auto"/>
                    <w:jc w:val="center"/>
                    <w:rPr>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362"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c>
                <w:tcPr>
                  <w:tcW w:w="1335" w:type="dxa"/>
                  <w:vMerge w:val="restart"/>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食堂</w:t>
                  </w:r>
                </w:p>
              </w:tc>
              <w:tc>
                <w:tcPr>
                  <w:tcW w:w="151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油烟</w:t>
                  </w:r>
                </w:p>
              </w:tc>
              <w:tc>
                <w:tcPr>
                  <w:tcW w:w="2607" w:type="dxa"/>
                  <w:gridSpan w:val="2"/>
                  <w:vAlign w:val="center"/>
                </w:tcPr>
                <w:p>
                  <w:pPr>
                    <w:spacing w:line="240" w:lineRule="auto"/>
                    <w:jc w:val="center"/>
                    <w:rPr>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10</w:t>
                  </w:r>
                  <w:r>
                    <w:rPr>
                      <w:rFonts w:hint="eastAsia" w:ascii="宋体" w:hAnsi="宋体"/>
                      <w:color w:val="000000" w:themeColor="text1"/>
                      <w:szCs w:val="24"/>
                      <w14:textFill>
                        <w14:solidFill>
                          <w14:schemeClr w14:val="tx1"/>
                        </w14:solidFill>
                      </w14:textFill>
                    </w:rPr>
                    <w:t xml:space="preserve"> mg/m</w:t>
                  </w:r>
                  <w:r>
                    <w:rPr>
                      <w:rFonts w:hint="eastAsia" w:ascii="宋体" w:hAnsi="宋体"/>
                      <w:color w:val="000000" w:themeColor="text1"/>
                      <w:szCs w:val="24"/>
                      <w:vertAlign w:val="superscript"/>
                      <w14:textFill>
                        <w14:solidFill>
                          <w14:schemeClr w14:val="tx1"/>
                        </w14:solidFill>
                      </w14:textFill>
                    </w:rPr>
                    <w:t>3</w:t>
                  </w:r>
                </w:p>
              </w:tc>
              <w:tc>
                <w:tcPr>
                  <w:tcW w:w="2415" w:type="dxa"/>
                  <w:gridSpan w:val="2"/>
                  <w:vAlign w:val="center"/>
                </w:tcPr>
                <w:p>
                  <w:pPr>
                    <w:spacing w:line="240" w:lineRule="auto"/>
                    <w:jc w:val="center"/>
                    <w:rPr>
                      <w:color w:val="000000" w:themeColor="text1"/>
                      <w:sz w:val="21"/>
                      <w14:textFill>
                        <w14:solidFill>
                          <w14:schemeClr w14:val="tx1"/>
                        </w14:solidFill>
                      </w14:textFill>
                    </w:rPr>
                  </w:pPr>
                  <w:r>
                    <w:rPr>
                      <w:rFonts w:hint="eastAsia" w:ascii="宋体" w:hAnsi="宋体"/>
                      <w:color w:val="auto"/>
                      <w:sz w:val="21"/>
                    </w:rPr>
                    <w:t>≤1.8</w:t>
                  </w:r>
                  <w:r>
                    <w:rPr>
                      <w:rFonts w:hint="eastAsia" w:ascii="宋体" w:hAnsi="宋体"/>
                      <w:color w:val="auto"/>
                      <w:szCs w:val="24"/>
                    </w:rPr>
                    <w:t xml:space="preserve"> </w:t>
                  </w:r>
                  <w:r>
                    <w:rPr>
                      <w:rFonts w:hint="eastAsia" w:ascii="宋体" w:hAnsi="宋体"/>
                      <w:color w:val="000000" w:themeColor="text1"/>
                      <w:szCs w:val="24"/>
                      <w14:textFill>
                        <w14:solidFill>
                          <w14:schemeClr w14:val="tx1"/>
                        </w14:solidFill>
                      </w14:textFill>
                    </w:rPr>
                    <w:t>mg/m</w:t>
                  </w:r>
                  <w:r>
                    <w:rPr>
                      <w:rFonts w:hint="eastAsia" w:ascii="宋体" w:hAnsi="宋体"/>
                      <w:color w:val="000000" w:themeColor="text1"/>
                      <w:szCs w:val="24"/>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362"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c>
                <w:tcPr>
                  <w:tcW w:w="1335"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c>
                <w:tcPr>
                  <w:tcW w:w="151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烟尘</w:t>
                  </w:r>
                </w:p>
              </w:tc>
              <w:tc>
                <w:tcPr>
                  <w:tcW w:w="2607" w:type="dxa"/>
                  <w:gridSpan w:val="2"/>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15kg/a</w:t>
                  </w:r>
                </w:p>
              </w:tc>
              <w:tc>
                <w:tcPr>
                  <w:tcW w:w="2415" w:type="dxa"/>
                  <w:gridSpan w:val="2"/>
                  <w:vAlign w:val="center"/>
                </w:tcPr>
                <w:p>
                  <w:pPr>
                    <w:spacing w:line="240" w:lineRule="auto"/>
                    <w:jc w:val="center"/>
                    <w:rPr>
                      <w:rFonts w:ascii="宋体" w:hAnsi="宋体"/>
                      <w:color w:val="auto"/>
                      <w:sz w:val="21"/>
                    </w:rPr>
                  </w:pPr>
                  <w:r>
                    <w:rPr>
                      <w:rFonts w:hint="eastAsia" w:ascii="宋体" w:hAnsi="宋体"/>
                      <w:color w:val="000000" w:themeColor="text1"/>
                      <w:sz w:val="21"/>
                      <w14:textFill>
                        <w14:solidFill>
                          <w14:schemeClr w14:val="tx1"/>
                        </w14:solidFill>
                      </w14:textFill>
                    </w:rPr>
                    <w:t>15kg/a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362" w:type="dxa"/>
                  <w:vMerge w:val="restart"/>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水污染物</w:t>
                  </w:r>
                </w:p>
              </w:tc>
              <w:tc>
                <w:tcPr>
                  <w:tcW w:w="1335" w:type="dxa"/>
                  <w:vMerge w:val="restart"/>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生活污水</w:t>
                  </w:r>
                </w:p>
              </w:tc>
              <w:tc>
                <w:tcPr>
                  <w:tcW w:w="151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COD</w:t>
                  </w:r>
                </w:p>
              </w:tc>
              <w:tc>
                <w:tcPr>
                  <w:tcW w:w="1282"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500mg/L</w:t>
                  </w:r>
                </w:p>
              </w:tc>
              <w:tc>
                <w:tcPr>
                  <w:tcW w:w="1325" w:type="dxa"/>
                  <w:vAlign w:val="center"/>
                </w:tcPr>
                <w:p>
                  <w:pPr>
                    <w:spacing w:line="240" w:lineRule="auto"/>
                    <w:rPr>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179.3 kg/a</w:t>
                  </w:r>
                </w:p>
              </w:tc>
              <w:tc>
                <w:tcPr>
                  <w:tcW w:w="1271"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150mg/L</w:t>
                  </w:r>
                </w:p>
              </w:tc>
              <w:tc>
                <w:tcPr>
                  <w:tcW w:w="1144"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45.9kg/a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362"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c>
                <w:tcPr>
                  <w:tcW w:w="1335"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c>
                <w:tcPr>
                  <w:tcW w:w="1515"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BOD</w:t>
                  </w:r>
                  <w:r>
                    <w:rPr>
                      <w:rFonts w:hint="eastAsia"/>
                      <w:color w:val="000000" w:themeColor="text1"/>
                      <w:sz w:val="21"/>
                      <w:vertAlign w:val="subscript"/>
                      <w14:textFill>
                        <w14:solidFill>
                          <w14:schemeClr w14:val="tx1"/>
                        </w14:solidFill>
                      </w14:textFill>
                    </w:rPr>
                    <w:t>5</w:t>
                  </w:r>
                </w:p>
              </w:tc>
              <w:tc>
                <w:tcPr>
                  <w:tcW w:w="1282"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300mg/L</w:t>
                  </w:r>
                </w:p>
              </w:tc>
              <w:tc>
                <w:tcPr>
                  <w:tcW w:w="1325" w:type="dxa"/>
                  <w:vAlign w:val="center"/>
                </w:tcPr>
                <w:p>
                  <w:pPr>
                    <w:spacing w:line="240" w:lineRule="auto"/>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85.67 kg/a</w:t>
                  </w:r>
                </w:p>
              </w:tc>
              <w:tc>
                <w:tcPr>
                  <w:tcW w:w="1271"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30mg/L</w:t>
                  </w:r>
                </w:p>
              </w:tc>
              <w:tc>
                <w:tcPr>
                  <w:tcW w:w="1144"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9.2kg/a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362"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c>
                <w:tcPr>
                  <w:tcW w:w="1335"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c>
                <w:tcPr>
                  <w:tcW w:w="1515" w:type="dxa"/>
                  <w:vAlign w:val="center"/>
                </w:tcPr>
                <w:p>
                  <w:pPr>
                    <w:spacing w:line="240" w:lineRule="auto"/>
                    <w:jc w:val="center"/>
                    <w:rPr>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NH3-N</w:t>
                  </w:r>
                </w:p>
              </w:tc>
              <w:tc>
                <w:tcPr>
                  <w:tcW w:w="1282"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30mg/L</w:t>
                  </w:r>
                </w:p>
              </w:tc>
              <w:tc>
                <w:tcPr>
                  <w:tcW w:w="1325" w:type="dxa"/>
                  <w:vAlign w:val="center"/>
                </w:tcPr>
                <w:p>
                  <w:pPr>
                    <w:spacing w:line="240" w:lineRule="auto"/>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9.96 kg/a</w:t>
                  </w:r>
                </w:p>
              </w:tc>
              <w:tc>
                <w:tcPr>
                  <w:tcW w:w="1271"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25mg/L</w:t>
                  </w:r>
                </w:p>
              </w:tc>
              <w:tc>
                <w:tcPr>
                  <w:tcW w:w="1144"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7.65kg/a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362"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c>
                <w:tcPr>
                  <w:tcW w:w="1335"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c>
                <w:tcPr>
                  <w:tcW w:w="151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SS</w:t>
                  </w:r>
                </w:p>
              </w:tc>
              <w:tc>
                <w:tcPr>
                  <w:tcW w:w="1282"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400mg/L</w:t>
                  </w:r>
                </w:p>
              </w:tc>
              <w:tc>
                <w:tcPr>
                  <w:tcW w:w="1325" w:type="dxa"/>
                  <w:vAlign w:val="center"/>
                </w:tcPr>
                <w:p>
                  <w:pPr>
                    <w:spacing w:line="240" w:lineRule="auto"/>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122.4 kg/a</w:t>
                  </w:r>
                </w:p>
              </w:tc>
              <w:tc>
                <w:tcPr>
                  <w:tcW w:w="1271"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150mg/L</w:t>
                  </w:r>
                </w:p>
              </w:tc>
              <w:tc>
                <w:tcPr>
                  <w:tcW w:w="1144"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45.9kg/a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1362" w:type="dxa"/>
                  <w:vMerge w:val="restart"/>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固体废物</w:t>
                  </w:r>
                </w:p>
              </w:tc>
              <w:tc>
                <w:tcPr>
                  <w:tcW w:w="133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种植区</w:t>
                  </w:r>
                </w:p>
              </w:tc>
              <w:tc>
                <w:tcPr>
                  <w:tcW w:w="151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树枝杂草</w:t>
                  </w:r>
                </w:p>
              </w:tc>
              <w:tc>
                <w:tcPr>
                  <w:tcW w:w="2607" w:type="dxa"/>
                  <w:gridSpan w:val="2"/>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约30t/a（第一年垦荒产生，到第二年就没有了）</w:t>
                  </w:r>
                </w:p>
              </w:tc>
              <w:tc>
                <w:tcPr>
                  <w:tcW w:w="2415" w:type="dxa"/>
                  <w:gridSpan w:val="2"/>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作柴薪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362"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c>
                <w:tcPr>
                  <w:tcW w:w="133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办公生活区</w:t>
                  </w:r>
                </w:p>
              </w:tc>
              <w:tc>
                <w:tcPr>
                  <w:tcW w:w="151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生活垃圾</w:t>
                  </w:r>
                </w:p>
              </w:tc>
              <w:tc>
                <w:tcPr>
                  <w:tcW w:w="2607" w:type="dxa"/>
                  <w:gridSpan w:val="2"/>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1.6t/a</w:t>
                  </w:r>
                </w:p>
              </w:tc>
              <w:tc>
                <w:tcPr>
                  <w:tcW w:w="2415" w:type="dxa"/>
                  <w:gridSpan w:val="2"/>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由环卫部门统一处理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62"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c>
                <w:tcPr>
                  <w:tcW w:w="133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肥料仓库</w:t>
                  </w:r>
                </w:p>
              </w:tc>
              <w:tc>
                <w:tcPr>
                  <w:tcW w:w="151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废纸箱、化肥包装袋等</w:t>
                  </w:r>
                </w:p>
              </w:tc>
              <w:tc>
                <w:tcPr>
                  <w:tcW w:w="2607" w:type="dxa"/>
                  <w:gridSpan w:val="2"/>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少量（约1800个）</w:t>
                  </w:r>
                </w:p>
              </w:tc>
              <w:tc>
                <w:tcPr>
                  <w:tcW w:w="2415" w:type="dxa"/>
                  <w:gridSpan w:val="2"/>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回收利用或外卖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62"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c>
                <w:tcPr>
                  <w:tcW w:w="133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种植区</w:t>
                  </w:r>
                </w:p>
              </w:tc>
              <w:tc>
                <w:tcPr>
                  <w:tcW w:w="151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农药包装袋（瓶）</w:t>
                  </w:r>
                </w:p>
              </w:tc>
              <w:tc>
                <w:tcPr>
                  <w:tcW w:w="2607" w:type="dxa"/>
                  <w:gridSpan w:val="2"/>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w:t>
                  </w:r>
                </w:p>
              </w:tc>
              <w:tc>
                <w:tcPr>
                  <w:tcW w:w="2415" w:type="dxa"/>
                  <w:gridSpan w:val="2"/>
                  <w:vAlign w:val="center"/>
                </w:tcPr>
                <w:p>
                  <w:pPr>
                    <w:spacing w:line="240" w:lineRule="auto"/>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由农技站统一收集后交有资质单位处置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62"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噪声</w:t>
                  </w:r>
                </w:p>
              </w:tc>
              <w:tc>
                <w:tcPr>
                  <w:tcW w:w="5457" w:type="dxa"/>
                  <w:gridSpan w:val="4"/>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w:t>
                  </w:r>
                </w:p>
              </w:tc>
              <w:tc>
                <w:tcPr>
                  <w:tcW w:w="2415" w:type="dxa"/>
                  <w:gridSpan w:val="2"/>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昼≦60dB（A） 夜≦50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62"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其他</w:t>
                  </w:r>
                </w:p>
              </w:tc>
              <w:tc>
                <w:tcPr>
                  <w:tcW w:w="7872" w:type="dxa"/>
                  <w:gridSpan w:val="6"/>
                  <w:vAlign w:val="center"/>
                </w:tcPr>
                <w:p>
                  <w:pPr>
                    <w:spacing w:line="240" w:lineRule="auto"/>
                    <w:jc w:val="center"/>
                    <w:rPr>
                      <w:rFonts w:ascii="宋体" w:hAnsi="宋体"/>
                      <w:color w:val="000000" w:themeColor="text1"/>
                      <w:sz w:val="21"/>
                      <w14:textFill>
                        <w14:solidFill>
                          <w14:schemeClr w14:val="tx1"/>
                        </w14:solidFill>
                      </w14:textFill>
                    </w:rPr>
                  </w:pPr>
                </w:p>
              </w:tc>
            </w:tr>
          </w:tbl>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主要生态影响(不够时可附另页)</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项目位于</w:t>
            </w:r>
            <w:r>
              <w:rPr>
                <w:rFonts w:hint="eastAsia" w:ascii="Times New Roman" w:hAnsi="Times New Roman" w:cs="Times New Roman"/>
                <w:color w:val="000000" w:themeColor="text1"/>
                <w:szCs w:val="24"/>
                <w14:textFill>
                  <w14:solidFill>
                    <w14:schemeClr w14:val="tx1"/>
                  </w14:solidFill>
                </w14:textFill>
              </w:rPr>
              <w:t>平江县上塔市镇苍霞村</w:t>
            </w:r>
            <w:r>
              <w:rPr>
                <w:rFonts w:hint="eastAsia" w:ascii="宋体" w:hAnsi="宋体"/>
                <w:color w:val="000000" w:themeColor="text1"/>
                <w:szCs w:val="24"/>
                <w14:textFill>
                  <w14:solidFill>
                    <w14:schemeClr w14:val="tx1"/>
                  </w14:solidFill>
                </w14:textFill>
              </w:rPr>
              <w:t>，项目周围主要为山地和耕地，属于农村生态环境，植物覆盖率较高，周围生态环境质量良好。</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项目种植区主要为山地、荒地以及少量耕地，现租用作为本项目的种植基地，不破坏原有的土地使用性质，并把原有的荒地重新使用起来，作为耕地或林地，改善了原有的生态环境。本项目的建设有利于周边生态环境。</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项目所在地为农村，建设地植被覆盖率较高，主要为灌木类植物，无国家珍稀植被品种。此外，项目所在地无珍贵野生动物，故项目建设对野生动物的影响轻微。</w:t>
            </w:r>
          </w:p>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由于全球大气中二氧化碳浓度升高而引起的“温室效应”正在恶化人类的生存环境。而缓解温室效应最有效的办法就是保护森林，种植绿色植物，因为绿色植物能吸收二氧化碳释放氧气，对缓解温室效应、改善生态环境是最有效的。</w:t>
            </w:r>
          </w:p>
        </w:tc>
      </w:tr>
    </w:tbl>
    <w:p>
      <w:pPr>
        <w:rPr>
          <w:rFonts w:ascii="宋体" w:hAnsi="宋体"/>
          <w:color w:val="000000" w:themeColor="text1"/>
          <w:sz w:val="28"/>
          <w:szCs w:val="30"/>
          <w14:textFill>
            <w14:solidFill>
              <w14:schemeClr w14:val="tx1"/>
            </w14:solidFill>
          </w14:textFill>
        </w:rPr>
        <w:sectPr>
          <w:pgSz w:w="11906" w:h="16838"/>
          <w:pgMar w:top="1440" w:right="1800" w:bottom="1440" w:left="1800" w:header="851" w:footer="992" w:gutter="0"/>
          <w:cols w:space="425" w:num="1"/>
          <w:docGrid w:type="lines" w:linePitch="312" w:charSpace="0"/>
        </w:sectPr>
      </w:pPr>
    </w:p>
    <w:tbl>
      <w:tblPr>
        <w:tblStyle w:val="11"/>
        <w:tblW w:w="921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15" w:type="dxa"/>
            <w:tcBorders>
              <w:top w:val="single" w:color="auto" w:sz="12" w:space="0"/>
              <w:left w:val="single" w:color="auto" w:sz="12" w:space="0"/>
              <w:bottom w:val="single" w:color="auto" w:sz="12" w:space="0"/>
              <w:right w:val="single" w:color="auto" w:sz="12" w:space="0"/>
            </w:tcBorders>
          </w:tcPr>
          <w:p>
            <w:pPr>
              <w:spacing w:line="24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环境影响分析：</w:t>
            </w:r>
          </w:p>
          <w:p>
            <w:pPr>
              <w:ind w:firstLine="495"/>
              <w:rPr>
                <w:rFonts w:ascii="宋体" w:hAnsi="宋体"/>
                <w:b/>
                <w:color w:val="000000" w:themeColor="text1"/>
                <w:szCs w:val="24"/>
                <w14:textFill>
                  <w14:solidFill>
                    <w14:schemeClr w14:val="tx1"/>
                  </w14:solidFill>
                </w14:textFill>
              </w:rPr>
            </w:pPr>
            <w:r>
              <w:rPr>
                <w:rFonts w:ascii="宋体" w:hAnsi="宋体"/>
                <w:b/>
                <w:color w:val="000000" w:themeColor="text1"/>
                <w:szCs w:val="24"/>
                <w14:textFill>
                  <w14:solidFill>
                    <w14:schemeClr w14:val="tx1"/>
                  </w14:solidFill>
                </w14:textFill>
              </w:rPr>
              <w:fldChar w:fldCharType="begin"/>
            </w:r>
            <w:r>
              <w:rPr>
                <w:rFonts w:ascii="宋体" w:hAnsi="宋体"/>
                <w:b/>
                <w:color w:val="000000" w:themeColor="text1"/>
                <w:szCs w:val="24"/>
                <w14:textFill>
                  <w14:solidFill>
                    <w14:schemeClr w14:val="tx1"/>
                  </w14:solidFill>
                </w14:textFill>
              </w:rPr>
              <w:instrText xml:space="preserve"> </w:instrText>
            </w:r>
            <w:r>
              <w:rPr>
                <w:rFonts w:hint="eastAsia" w:ascii="宋体" w:hAnsi="宋体"/>
                <w:b/>
                <w:color w:val="000000" w:themeColor="text1"/>
                <w:szCs w:val="24"/>
                <w14:textFill>
                  <w14:solidFill>
                    <w14:schemeClr w14:val="tx1"/>
                  </w14:solidFill>
                </w14:textFill>
              </w:rPr>
              <w:instrText xml:space="preserve">= 1 \* GB4</w:instrText>
            </w:r>
            <w:r>
              <w:rPr>
                <w:rFonts w:ascii="宋体" w:hAnsi="宋体"/>
                <w:b/>
                <w:color w:val="000000" w:themeColor="text1"/>
                <w:szCs w:val="24"/>
                <w14:textFill>
                  <w14:solidFill>
                    <w14:schemeClr w14:val="tx1"/>
                  </w14:solidFill>
                </w14:textFill>
              </w:rPr>
              <w:instrText xml:space="preserve"> </w:instrText>
            </w:r>
            <w:r>
              <w:rPr>
                <w:rFonts w:ascii="宋体" w:hAnsi="宋体"/>
                <w:b/>
                <w:color w:val="000000" w:themeColor="text1"/>
                <w:szCs w:val="24"/>
                <w14:textFill>
                  <w14:solidFill>
                    <w14:schemeClr w14:val="tx1"/>
                  </w14:solidFill>
                </w14:textFill>
              </w:rPr>
              <w:fldChar w:fldCharType="separate"/>
            </w:r>
            <w:r>
              <w:rPr>
                <w:rFonts w:hint="eastAsia" w:ascii="宋体" w:hAnsi="宋体"/>
                <w:b/>
                <w:color w:val="000000" w:themeColor="text1"/>
                <w:szCs w:val="24"/>
                <w14:textFill>
                  <w14:solidFill>
                    <w14:schemeClr w14:val="tx1"/>
                  </w14:solidFill>
                </w14:textFill>
              </w:rPr>
              <w:t>㈠</w:t>
            </w:r>
            <w:r>
              <w:rPr>
                <w:rFonts w:ascii="宋体" w:hAnsi="宋体"/>
                <w:b/>
                <w:color w:val="000000" w:themeColor="text1"/>
                <w:szCs w:val="24"/>
                <w14:textFill>
                  <w14:solidFill>
                    <w14:schemeClr w14:val="tx1"/>
                  </w14:solidFill>
                </w14:textFill>
              </w:rPr>
              <w:fldChar w:fldCharType="end"/>
            </w:r>
            <w:r>
              <w:rPr>
                <w:rFonts w:hint="eastAsia" w:ascii="宋体" w:hAnsi="宋体"/>
                <w:b/>
                <w:color w:val="000000" w:themeColor="text1"/>
                <w:szCs w:val="24"/>
                <w14:textFill>
                  <w14:solidFill>
                    <w14:schemeClr w14:val="tx1"/>
                  </w14:solidFill>
                </w14:textFill>
              </w:rPr>
              <w:t xml:space="preserve"> 施工期环境影响分析：</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本项目施工期主要建设内容为修建食堂、肥料仓库、办公楼、宿舍，道路等。</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1、大气环境影响分析：</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施工期间对环境空气的污染主要来自施工扬尘和施工燃油机械及运输工具所排放的废气。粉尘主要来自挖土方工程、原材料运输道路扬尘、建筑焊接烟尘、原料破损扬尘等；尾气则由各类机械运转及运输汽车等造成。</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各种粉尘和扬尘在晴朗、干燥、有风的情况下将会对周围环境空气产生影响。因施工区作业点多面广，且大多为无组织排放，污染源及污染物随机波动较大，为此要求项目施工时，</w:t>
            </w:r>
            <w:r>
              <w:rPr>
                <w:rFonts w:hint="eastAsia" w:ascii="宋体" w:hAnsi="宋体"/>
                <w:color w:val="000000" w:themeColor="text1"/>
                <w:szCs w:val="24"/>
                <w:lang w:eastAsia="zh-CN"/>
                <w14:textFill>
                  <w14:solidFill>
                    <w14:schemeClr w14:val="tx1"/>
                  </w14:solidFill>
                </w14:textFill>
              </w:rPr>
              <w:t>运输道路尽量洒水抑尘，砂石等建筑材料应覆盖存贮。</w:t>
            </w:r>
            <w:r>
              <w:rPr>
                <w:rFonts w:hint="eastAsia" w:ascii="宋体" w:hAnsi="宋体"/>
                <w:color w:val="000000" w:themeColor="text1"/>
                <w:szCs w:val="24"/>
                <w14:textFill>
                  <w14:solidFill>
                    <w14:schemeClr w14:val="tx1"/>
                  </w14:solidFill>
                </w14:textFill>
              </w:rPr>
              <w:t>对有可能产生二次扬尘的作业面应洒水降尘；施工现场禁止焚烧废弃建材与</w:t>
            </w:r>
            <w:r>
              <w:rPr>
                <w:rFonts w:hint="eastAsia" w:ascii="宋体" w:hAnsi="宋体"/>
                <w:color w:val="000000" w:themeColor="text1"/>
                <w:szCs w:val="24"/>
                <w:lang w:eastAsia="zh-CN"/>
                <w14:textFill>
                  <w14:solidFill>
                    <w14:schemeClr w14:val="tx1"/>
                  </w14:solidFill>
                </w14:textFill>
              </w:rPr>
              <w:t>其他包装材</w:t>
            </w:r>
            <w:r>
              <w:rPr>
                <w:rFonts w:hint="eastAsia" w:ascii="宋体" w:hAnsi="宋体"/>
                <w:color w:val="000000" w:themeColor="text1"/>
                <w:szCs w:val="24"/>
                <w14:textFill>
                  <w14:solidFill>
                    <w14:schemeClr w14:val="tx1"/>
                  </w14:solidFill>
                </w14:textFill>
              </w:rPr>
              <w:t>料。采取以上措施后施工期环境空气的影响甚微。</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2、声环境影响分析：</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施工期噪声主要是土建工程噪声和设备安装噪声以及运输汽车交通噪声。其中土建工程噪声主要是挖掘机、推土机等；设备安装噪声主要是机械撞击噪声；汽车运输噪声主要是土建工程原材料运输和设备运输噪声。项目拟采用的部分施工机械设备和将产生的噪声值及相应的噪声限值(GB12523-90)见下表。</w:t>
            </w:r>
          </w:p>
          <w:p>
            <w:pPr>
              <w:ind w:firstLine="495"/>
              <w:jc w:val="center"/>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表5 施工机械噪声值及相应限值表单位：dB(A)</w:t>
            </w:r>
          </w:p>
          <w:tbl>
            <w:tblPr>
              <w:tblStyle w:val="10"/>
              <w:tblW w:w="89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6"/>
              <w:gridCol w:w="940"/>
              <w:gridCol w:w="952"/>
              <w:gridCol w:w="1174"/>
              <w:gridCol w:w="1159"/>
              <w:gridCol w:w="1159"/>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3" w:hRule="atLeast"/>
              </w:trPr>
              <w:tc>
                <w:tcPr>
                  <w:tcW w:w="2446" w:type="dxa"/>
                  <w:vMerge w:val="restart"/>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机械名称</w:t>
                  </w:r>
                </w:p>
              </w:tc>
              <w:tc>
                <w:tcPr>
                  <w:tcW w:w="1892" w:type="dxa"/>
                  <w:gridSpan w:val="2"/>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距声源10m处</w:t>
                  </w:r>
                </w:p>
              </w:tc>
              <w:tc>
                <w:tcPr>
                  <w:tcW w:w="2333" w:type="dxa"/>
                  <w:gridSpan w:val="2"/>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距声源100m处</w:t>
                  </w:r>
                </w:p>
              </w:tc>
              <w:tc>
                <w:tcPr>
                  <w:tcW w:w="2318" w:type="dxa"/>
                  <w:gridSpan w:val="2"/>
                  <w:vAlign w:val="center"/>
                </w:tcPr>
                <w:p>
                  <w:pPr>
                    <w:pStyle w:val="5"/>
                    <w:pBdr>
                      <w:bottom w:val="none" w:color="auto" w:sz="0" w:space="0"/>
                    </w:pBdr>
                    <w:tabs>
                      <w:tab w:val="clear" w:pos="4153"/>
                      <w:tab w:val="clear" w:pos="8306"/>
                    </w:tabs>
                    <w:spacing w:line="0" w:lineRule="atLeas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施工场界噪声限值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3" w:hRule="atLeast"/>
              </w:trPr>
              <w:tc>
                <w:tcPr>
                  <w:tcW w:w="2446" w:type="dxa"/>
                  <w:vMerge w:val="continue"/>
                  <w:vAlign w:val="center"/>
                </w:tcPr>
                <w:p>
                  <w:pPr>
                    <w:snapToGrid w:val="0"/>
                    <w:spacing w:line="0" w:lineRule="atLeast"/>
                    <w:jc w:val="center"/>
                    <w:rPr>
                      <w:rFonts w:ascii="宋体" w:hAnsi="宋体"/>
                      <w:color w:val="000000" w:themeColor="text1"/>
                      <w:sz w:val="21"/>
                      <w14:textFill>
                        <w14:solidFill>
                          <w14:schemeClr w14:val="tx1"/>
                        </w14:solidFill>
                      </w14:textFill>
                    </w:rPr>
                  </w:pPr>
                </w:p>
              </w:tc>
              <w:tc>
                <w:tcPr>
                  <w:tcW w:w="940" w:type="dxa"/>
                  <w:vAlign w:val="center"/>
                </w:tcPr>
                <w:p>
                  <w:pPr>
                    <w:pStyle w:val="5"/>
                    <w:pBdr>
                      <w:bottom w:val="none" w:color="auto" w:sz="0" w:space="0"/>
                    </w:pBdr>
                    <w:tabs>
                      <w:tab w:val="clear" w:pos="4153"/>
                      <w:tab w:val="clear" w:pos="8306"/>
                    </w:tabs>
                    <w:spacing w:line="0" w:lineRule="atLeas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噪声值</w:t>
                  </w:r>
                </w:p>
              </w:tc>
              <w:tc>
                <w:tcPr>
                  <w:tcW w:w="952"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平均</w:t>
                  </w:r>
                </w:p>
              </w:tc>
              <w:tc>
                <w:tcPr>
                  <w:tcW w:w="1174"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噪声值</w:t>
                  </w:r>
                </w:p>
              </w:tc>
              <w:tc>
                <w:tcPr>
                  <w:tcW w:w="1159"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平均</w:t>
                  </w:r>
                </w:p>
              </w:tc>
              <w:tc>
                <w:tcPr>
                  <w:tcW w:w="1159"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昼间</w:t>
                  </w:r>
                </w:p>
              </w:tc>
              <w:tc>
                <w:tcPr>
                  <w:tcW w:w="1159"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2446"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挖土机、推土机</w:t>
                  </w:r>
                </w:p>
              </w:tc>
              <w:tc>
                <w:tcPr>
                  <w:tcW w:w="940"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80-98</w:t>
                  </w:r>
                </w:p>
              </w:tc>
              <w:tc>
                <w:tcPr>
                  <w:tcW w:w="952"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87</w:t>
                  </w:r>
                </w:p>
              </w:tc>
              <w:tc>
                <w:tcPr>
                  <w:tcW w:w="1174"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44-50</w:t>
                  </w:r>
                </w:p>
              </w:tc>
              <w:tc>
                <w:tcPr>
                  <w:tcW w:w="1159"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47</w:t>
                  </w:r>
                </w:p>
              </w:tc>
              <w:tc>
                <w:tcPr>
                  <w:tcW w:w="1159"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75</w:t>
                  </w:r>
                </w:p>
              </w:tc>
              <w:tc>
                <w:tcPr>
                  <w:tcW w:w="1159"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2446"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压缩机</w:t>
                  </w:r>
                </w:p>
              </w:tc>
              <w:tc>
                <w:tcPr>
                  <w:tcW w:w="940"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93-112</w:t>
                  </w:r>
                </w:p>
              </w:tc>
              <w:tc>
                <w:tcPr>
                  <w:tcW w:w="952"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105</w:t>
                  </w:r>
                </w:p>
              </w:tc>
              <w:tc>
                <w:tcPr>
                  <w:tcW w:w="1174"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54-73</w:t>
                  </w:r>
                </w:p>
              </w:tc>
              <w:tc>
                <w:tcPr>
                  <w:tcW w:w="1159"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64</w:t>
                  </w:r>
                </w:p>
              </w:tc>
              <w:tc>
                <w:tcPr>
                  <w:tcW w:w="1159"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85</w:t>
                  </w:r>
                </w:p>
              </w:tc>
              <w:tc>
                <w:tcPr>
                  <w:tcW w:w="1159"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禁止施工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2446"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搅拌机</w:t>
                  </w:r>
                </w:p>
              </w:tc>
              <w:tc>
                <w:tcPr>
                  <w:tcW w:w="940"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75-95</w:t>
                  </w:r>
                </w:p>
              </w:tc>
              <w:tc>
                <w:tcPr>
                  <w:tcW w:w="952"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85</w:t>
                  </w:r>
                </w:p>
              </w:tc>
              <w:tc>
                <w:tcPr>
                  <w:tcW w:w="1174"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40-50</w:t>
                  </w:r>
                </w:p>
              </w:tc>
              <w:tc>
                <w:tcPr>
                  <w:tcW w:w="1159"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45</w:t>
                  </w:r>
                </w:p>
              </w:tc>
              <w:tc>
                <w:tcPr>
                  <w:tcW w:w="1159"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70</w:t>
                  </w:r>
                </w:p>
              </w:tc>
              <w:tc>
                <w:tcPr>
                  <w:tcW w:w="1159"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2446"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发电机</w:t>
                  </w:r>
                </w:p>
              </w:tc>
              <w:tc>
                <w:tcPr>
                  <w:tcW w:w="940"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92-110</w:t>
                  </w:r>
                </w:p>
              </w:tc>
              <w:tc>
                <w:tcPr>
                  <w:tcW w:w="952"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101</w:t>
                  </w:r>
                </w:p>
              </w:tc>
              <w:tc>
                <w:tcPr>
                  <w:tcW w:w="1174"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50-70</w:t>
                  </w:r>
                </w:p>
              </w:tc>
              <w:tc>
                <w:tcPr>
                  <w:tcW w:w="1159"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60</w:t>
                  </w:r>
                </w:p>
              </w:tc>
              <w:tc>
                <w:tcPr>
                  <w:tcW w:w="1159"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65</w:t>
                  </w:r>
                </w:p>
              </w:tc>
              <w:tc>
                <w:tcPr>
                  <w:tcW w:w="1159" w:type="dxa"/>
                  <w:vAlign w:val="center"/>
                </w:tcPr>
                <w:p>
                  <w:pPr>
                    <w:snapToGrid w:val="0"/>
                    <w:spacing w:line="0" w:lineRule="atLeast"/>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55</w:t>
                  </w:r>
                </w:p>
              </w:tc>
            </w:tr>
          </w:tbl>
          <w:p>
            <w:pPr>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由上表可看出，在距声源10m处，各种施工机械噪声均超过相应建筑施工场界噪声限值，即使距声源100m处，部分施工机械的噪声值仍超过了相应的建筑施工场界噪声限值(夜间)。</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在施工过程中必须采取切实有效的降噪减振措施，施工期严格执行建筑噪声申报登记制度，经批准后才能开工，并加强施工组织管理，将施工噪声控制在限值以内。如难以控制在限值以内，应停止夜间施工，尽量减轻施工噪声对附近居民的影响。</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3、水环境影响分析：</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施工期间产生的污水主要有基础施工过程中泥浆水，建材冲洗水，车辆出入冲洗水等生产污水和施工人员所产生的生活污水等。生产污水中主要含有泥砂，石油类等污染物，生活污水中主要含有BOD</w:t>
            </w:r>
            <w:r>
              <w:rPr>
                <w:rFonts w:hint="eastAsia" w:ascii="宋体" w:hAnsi="宋体"/>
                <w:color w:val="000000" w:themeColor="text1"/>
                <w:szCs w:val="24"/>
                <w:vertAlign w:val="subscript"/>
                <w14:textFill>
                  <w14:solidFill>
                    <w14:schemeClr w14:val="tx1"/>
                  </w14:solidFill>
                </w14:textFill>
              </w:rPr>
              <w:t>5</w:t>
            </w:r>
            <w:r>
              <w:rPr>
                <w:rFonts w:hint="eastAsia" w:ascii="宋体" w:hAnsi="宋体"/>
                <w:color w:val="000000" w:themeColor="text1"/>
                <w:szCs w:val="24"/>
                <w14:textFill>
                  <w14:solidFill>
                    <w14:schemeClr w14:val="tx1"/>
                  </w14:solidFill>
                </w14:textFill>
              </w:rPr>
              <w:t>、COD、动植物油等污染物。施工污水如确需排放，可采取临时沉淀池进行沉淀后再排放。</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4、固体废物影响分析：</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施工期间所产生的固体废物主要有基础施工所挖掘的土石方和主体结构施工所产生的建筑施工材料的废边角料等废物料及施工人员的生活垃圾等。</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施工应该有计划进行，产生弃土弃渣应集中堆放，及时有序清运交有关部门进行无害化处理及利用，不会对周围环境产生不良影响。</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对产生的建材废料作为本项目的原材料利用，生活垃圾应及时集中收集并清运至垃圾处理场处置。同时工程承包方应对施工人员加强教育，不随意乱丢废弃物，保证施工人员生活区的环境卫生质量。</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5、生态环境影响分析</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1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①</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对土地利用的影响</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项目拟建地为农田、低矮山丘，有少量植被覆盖，项目的建设将对现有土地利用方式有一定的影响。</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2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②</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对植被的影响</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项目建设过程对植被的影响主要是发生在道路、办公室建设等工程，这些施工活动过程均要进行清除植被、开挖地表和道路建设，造成施工区域内地表植被的破坏。由于项目建设占地面积不太大，因此不会使评价区植物群落的种类组成发生变化，也不会造成某一植物种类的消失。</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3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③</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对野生动物的影响</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施工过程中，施工人员的活动和机械噪声等将会使施工区及周围一定范围内野生动物的活动和栖息产生一定影响，但对其群落组成和数量影响不大。评价区野生动物种类较少，缺少大型野生哺乳动物，现有的野生动物多为一些常见的鸟类、啮齿类及昆虫等，无国家保护动物，因此这种不利影响是轻微的。</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4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④</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对土壤侵蚀的影响</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本项目的用地为山地、荒地、耕地，施工期间道路的修建要进行开挖地表和地面建设，造成施工区域内地表植被的破坏，因此，会造成一定的水土流失。</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建议施工方合理安排施工季节，尽量避免雨季施工，不能避免时，应做好雨季排水工作，保证施工期排水通畅，以减少水土流失。</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建议施工方合理安排施工进度，衔接好各施工程序，及时配套完成水土保持措施，做到工序紧凑、有序。</w:t>
            </w:r>
          </w:p>
          <w:p>
            <w:pPr>
              <w:ind w:firstLine="495"/>
              <w:rPr>
                <w:rFonts w:ascii="宋体" w:hAnsi="宋体"/>
                <w:b/>
                <w:color w:val="000000" w:themeColor="text1"/>
                <w:szCs w:val="24"/>
                <w:u w:val="single"/>
                <w14:textFill>
                  <w14:solidFill>
                    <w14:schemeClr w14:val="tx1"/>
                  </w14:solidFill>
                </w14:textFill>
              </w:rPr>
            </w:pPr>
            <w:r>
              <w:rPr>
                <w:rFonts w:hint="eastAsia" w:ascii="宋体" w:hAnsi="宋体"/>
                <w:b/>
                <w:color w:val="000000" w:themeColor="text1"/>
                <w:szCs w:val="24"/>
                <w:u w:val="single"/>
                <w14:textFill>
                  <w14:solidFill>
                    <w14:schemeClr w14:val="tx1"/>
                  </w14:solidFill>
                </w14:textFill>
              </w:rPr>
              <w:t>6、施工期生态保护措施</w:t>
            </w:r>
          </w:p>
          <w:p>
            <w:pPr>
              <w:ind w:firstLine="495"/>
              <w:rPr>
                <w:rFonts w:ascii="宋体" w:hAnsi="宋体"/>
                <w:color w:val="000000" w:themeColor="text1"/>
                <w:szCs w:val="24"/>
                <w:u w:val="single"/>
                <w14:textFill>
                  <w14:solidFill>
                    <w14:schemeClr w14:val="tx1"/>
                  </w14:solidFill>
                </w14:textFill>
              </w:rPr>
            </w:pPr>
            <w:r>
              <w:rPr>
                <w:rFonts w:ascii="宋体" w:hAnsi="宋体"/>
                <w:color w:val="000000" w:themeColor="text1"/>
                <w:szCs w:val="24"/>
                <w:u w:val="single"/>
                <w14:textFill>
                  <w14:solidFill>
                    <w14:schemeClr w14:val="tx1"/>
                  </w14:solidFill>
                </w14:textFill>
              </w:rPr>
              <w:fldChar w:fldCharType="begin"/>
            </w:r>
            <w:r>
              <w:rPr>
                <w:rFonts w:ascii="宋体" w:hAnsi="宋体"/>
                <w:color w:val="000000" w:themeColor="text1"/>
                <w:szCs w:val="24"/>
                <w:u w:val="single"/>
                <w14:textFill>
                  <w14:solidFill>
                    <w14:schemeClr w14:val="tx1"/>
                  </w14:solidFill>
                </w14:textFill>
              </w:rPr>
              <w:instrText xml:space="preserve"> </w:instrText>
            </w:r>
            <w:r>
              <w:rPr>
                <w:rFonts w:hint="eastAsia" w:ascii="宋体" w:hAnsi="宋体"/>
                <w:color w:val="000000" w:themeColor="text1"/>
                <w:szCs w:val="24"/>
                <w:u w:val="single"/>
                <w14:textFill>
                  <w14:solidFill>
                    <w14:schemeClr w14:val="tx1"/>
                  </w14:solidFill>
                </w14:textFill>
              </w:rPr>
              <w:instrText xml:space="preserve">= 1 \* GB2</w:instrText>
            </w:r>
            <w:r>
              <w:rPr>
                <w:rFonts w:ascii="宋体" w:hAnsi="宋体"/>
                <w:color w:val="000000" w:themeColor="text1"/>
                <w:szCs w:val="24"/>
                <w:u w:val="single"/>
                <w14:textFill>
                  <w14:solidFill>
                    <w14:schemeClr w14:val="tx1"/>
                  </w14:solidFill>
                </w14:textFill>
              </w:rPr>
              <w:instrText xml:space="preserve"> </w:instrText>
            </w:r>
            <w:r>
              <w:rPr>
                <w:rFonts w:ascii="宋体" w:hAnsi="宋体"/>
                <w:color w:val="000000" w:themeColor="text1"/>
                <w:szCs w:val="24"/>
                <w:u w:val="single"/>
                <w14:textFill>
                  <w14:solidFill>
                    <w14:schemeClr w14:val="tx1"/>
                  </w14:solidFill>
                </w14:textFill>
              </w:rPr>
              <w:fldChar w:fldCharType="separate"/>
            </w:r>
            <w:r>
              <w:rPr>
                <w:rFonts w:hint="eastAsia" w:ascii="宋体" w:hAnsi="宋体"/>
                <w:color w:val="000000" w:themeColor="text1"/>
                <w:szCs w:val="24"/>
                <w:u w:val="single"/>
                <w14:textFill>
                  <w14:solidFill>
                    <w14:schemeClr w14:val="tx1"/>
                  </w14:solidFill>
                </w14:textFill>
              </w:rPr>
              <w:t>⑴</w:t>
            </w:r>
            <w:r>
              <w:rPr>
                <w:rFonts w:ascii="宋体" w:hAnsi="宋体"/>
                <w:color w:val="000000" w:themeColor="text1"/>
                <w:szCs w:val="24"/>
                <w:u w:val="single"/>
                <w14:textFill>
                  <w14:solidFill>
                    <w14:schemeClr w14:val="tx1"/>
                  </w14:solidFill>
                </w14:textFill>
              </w:rPr>
              <w:fldChar w:fldCharType="end"/>
            </w:r>
            <w:r>
              <w:rPr>
                <w:rFonts w:hint="eastAsia" w:ascii="宋体" w:hAnsi="宋体"/>
                <w:color w:val="000000" w:themeColor="text1"/>
                <w:szCs w:val="24"/>
                <w:u w:val="single"/>
                <w14:textFill>
                  <w14:solidFill>
                    <w14:schemeClr w14:val="tx1"/>
                  </w14:solidFill>
                </w14:textFill>
              </w:rPr>
              <w:t>本项目施工期水土保持措施体系一览表：</w:t>
            </w:r>
          </w:p>
          <w:p>
            <w:pPr>
              <w:ind w:firstLine="495"/>
              <w:jc w:val="center"/>
              <w:rPr>
                <w:rFonts w:ascii="宋体" w:hAnsi="宋体"/>
                <w:color w:val="000000" w:themeColor="text1"/>
                <w:szCs w:val="24"/>
                <w:u w:val="single"/>
                <w14:textFill>
                  <w14:solidFill>
                    <w14:schemeClr w14:val="tx1"/>
                  </w14:solidFill>
                </w14:textFill>
              </w:rPr>
            </w:pPr>
            <w:r>
              <w:rPr>
                <w:rFonts w:hint="eastAsia" w:ascii="宋体" w:hAnsi="宋体"/>
                <w:color w:val="000000" w:themeColor="text1"/>
                <w:szCs w:val="24"/>
                <w:u w:val="single"/>
                <w14:textFill>
                  <w14:solidFill>
                    <w14:schemeClr w14:val="tx1"/>
                  </w14:solidFill>
                </w14:textFill>
              </w:rPr>
              <w:t>施工期水土保持措施体系一览表</w:t>
            </w:r>
          </w:p>
          <w:tbl>
            <w:tblPr>
              <w:tblStyle w:val="11"/>
              <w:tblW w:w="89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985"/>
              <w:gridCol w:w="6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序号</w:t>
                  </w:r>
                </w:p>
              </w:tc>
              <w:tc>
                <w:tcPr>
                  <w:tcW w:w="1985"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分区</w:t>
                  </w: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措施名称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restart"/>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1</w:t>
                  </w:r>
                </w:p>
              </w:tc>
              <w:tc>
                <w:tcPr>
                  <w:tcW w:w="1985" w:type="dxa"/>
                  <w:vMerge w:val="restart"/>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建筑物区</w:t>
                  </w: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表土剥离运至种植区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1985"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建筑物基础开挖临时堆土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restart"/>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2</w:t>
                  </w:r>
                </w:p>
              </w:tc>
              <w:tc>
                <w:tcPr>
                  <w:tcW w:w="1985" w:type="dxa"/>
                  <w:vMerge w:val="restart"/>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道路广场及铺地区</w:t>
                  </w: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表土剥离集中堆置、临时排水、沉沙措施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1985"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管沟开挖临时堆土、临时拦挡、排水、沉沙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1985"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浆砌石拦墙及边坡防护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1985"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主次干道路面、停车坪等砼硬化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1985"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厂区范围内排水沉沙系统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1985"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道路两侧绿化、美化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restart"/>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3</w:t>
                  </w:r>
                </w:p>
              </w:tc>
              <w:tc>
                <w:tcPr>
                  <w:tcW w:w="1985" w:type="dxa"/>
                  <w:vMerge w:val="restart"/>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种植区</w:t>
                  </w: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表土剥离集中堆置、临时排水、沉沙措施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1985"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管沟开挖临时堆土、临时拦挡、排水、沉沙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1985"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浆砌石拦墙及边坡防护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1985"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厂区范围内排水沉沙系统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1985"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全面整地和局部整地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restart"/>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4</w:t>
                  </w:r>
                </w:p>
              </w:tc>
              <w:tc>
                <w:tcPr>
                  <w:tcW w:w="1985" w:type="dxa"/>
                  <w:vMerge w:val="restart"/>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施工生产生活区</w:t>
                  </w: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表土剥离集中堆置、临时排水、沉沙措施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1985"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管沟开挖临时堆土、临时拦挡、排水、沉沙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1985"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厂区范围内排水沉沙系统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0"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1985" w:type="dxa"/>
                  <w:vMerge w:val="continue"/>
                  <w:vAlign w:val="center"/>
                </w:tcPr>
                <w:p>
                  <w:pPr>
                    <w:jc w:val="center"/>
                    <w:rPr>
                      <w:rFonts w:ascii="宋体" w:hAnsi="宋体"/>
                      <w:color w:val="000000" w:themeColor="text1"/>
                      <w:sz w:val="21"/>
                      <w:u w:val="single"/>
                      <w14:textFill>
                        <w14:solidFill>
                          <w14:schemeClr w14:val="tx1"/>
                        </w14:solidFill>
                      </w14:textFill>
                    </w:rPr>
                  </w:pPr>
                </w:p>
              </w:tc>
              <w:tc>
                <w:tcPr>
                  <w:tcW w:w="6119" w:type="dxa"/>
                  <w:vAlign w:val="center"/>
                </w:tcPr>
                <w:p>
                  <w:pPr>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停车位周边空地采取绿化措施</w:t>
                  </w:r>
                </w:p>
              </w:tc>
            </w:tr>
          </w:tbl>
          <w:p>
            <w:pPr>
              <w:ind w:firstLine="495"/>
              <w:rPr>
                <w:rFonts w:ascii="宋体" w:hAnsi="宋体"/>
                <w:color w:val="000000" w:themeColor="text1"/>
                <w:szCs w:val="24"/>
                <w:u w:val="single"/>
                <w14:textFill>
                  <w14:solidFill>
                    <w14:schemeClr w14:val="tx1"/>
                  </w14:solidFill>
                </w14:textFill>
              </w:rPr>
            </w:pPr>
            <w:r>
              <w:rPr>
                <w:rFonts w:ascii="宋体" w:hAnsi="宋体"/>
                <w:color w:val="000000" w:themeColor="text1"/>
                <w:szCs w:val="24"/>
                <w:u w:val="single"/>
                <w14:textFill>
                  <w14:solidFill>
                    <w14:schemeClr w14:val="tx1"/>
                  </w14:solidFill>
                </w14:textFill>
              </w:rPr>
              <w:fldChar w:fldCharType="begin"/>
            </w:r>
            <w:r>
              <w:rPr>
                <w:rFonts w:ascii="宋体" w:hAnsi="宋体"/>
                <w:color w:val="000000" w:themeColor="text1"/>
                <w:szCs w:val="24"/>
                <w:u w:val="single"/>
                <w14:textFill>
                  <w14:solidFill>
                    <w14:schemeClr w14:val="tx1"/>
                  </w14:solidFill>
                </w14:textFill>
              </w:rPr>
              <w:instrText xml:space="preserve"> </w:instrText>
            </w:r>
            <w:r>
              <w:rPr>
                <w:rFonts w:hint="eastAsia" w:ascii="宋体" w:hAnsi="宋体"/>
                <w:color w:val="000000" w:themeColor="text1"/>
                <w:szCs w:val="24"/>
                <w:u w:val="single"/>
                <w14:textFill>
                  <w14:solidFill>
                    <w14:schemeClr w14:val="tx1"/>
                  </w14:solidFill>
                </w14:textFill>
              </w:rPr>
              <w:instrText xml:space="preserve">= 2 \* GB2</w:instrText>
            </w:r>
            <w:r>
              <w:rPr>
                <w:rFonts w:ascii="宋体" w:hAnsi="宋体"/>
                <w:color w:val="000000" w:themeColor="text1"/>
                <w:szCs w:val="24"/>
                <w:u w:val="single"/>
                <w14:textFill>
                  <w14:solidFill>
                    <w14:schemeClr w14:val="tx1"/>
                  </w14:solidFill>
                </w14:textFill>
              </w:rPr>
              <w:instrText xml:space="preserve"> </w:instrText>
            </w:r>
            <w:r>
              <w:rPr>
                <w:rFonts w:ascii="宋体" w:hAnsi="宋体"/>
                <w:color w:val="000000" w:themeColor="text1"/>
                <w:szCs w:val="24"/>
                <w:u w:val="single"/>
                <w14:textFill>
                  <w14:solidFill>
                    <w14:schemeClr w14:val="tx1"/>
                  </w14:solidFill>
                </w14:textFill>
              </w:rPr>
              <w:fldChar w:fldCharType="separate"/>
            </w:r>
            <w:r>
              <w:rPr>
                <w:rFonts w:hint="eastAsia" w:ascii="宋体" w:hAnsi="宋体"/>
                <w:color w:val="000000" w:themeColor="text1"/>
                <w:szCs w:val="24"/>
                <w:u w:val="single"/>
                <w14:textFill>
                  <w14:solidFill>
                    <w14:schemeClr w14:val="tx1"/>
                  </w14:solidFill>
                </w14:textFill>
              </w:rPr>
              <w:t>⑵</w:t>
            </w:r>
            <w:r>
              <w:rPr>
                <w:rFonts w:ascii="宋体" w:hAnsi="宋体"/>
                <w:color w:val="000000" w:themeColor="text1"/>
                <w:szCs w:val="24"/>
                <w:u w:val="single"/>
                <w14:textFill>
                  <w14:solidFill>
                    <w14:schemeClr w14:val="tx1"/>
                  </w14:solidFill>
                </w14:textFill>
              </w:rPr>
              <w:fldChar w:fldCharType="end"/>
            </w:r>
            <w:r>
              <w:rPr>
                <w:rFonts w:hint="eastAsia" w:ascii="宋体" w:hAnsi="宋体"/>
                <w:color w:val="000000" w:themeColor="text1"/>
                <w:szCs w:val="24"/>
                <w:u w:val="single"/>
                <w14:textFill>
                  <w14:solidFill>
                    <w14:schemeClr w14:val="tx1"/>
                  </w14:solidFill>
                </w14:textFill>
              </w:rPr>
              <w:t>取、弃土场：</w:t>
            </w:r>
          </w:p>
          <w:p>
            <w:pPr>
              <w:ind w:firstLine="495"/>
              <w:rPr>
                <w:rFonts w:ascii="宋体" w:hAnsi="宋体"/>
                <w:color w:val="000000" w:themeColor="text1"/>
                <w:szCs w:val="24"/>
                <w:u w:val="single"/>
                <w14:textFill>
                  <w14:solidFill>
                    <w14:schemeClr w14:val="tx1"/>
                  </w14:solidFill>
                </w14:textFill>
              </w:rPr>
            </w:pPr>
            <w:r>
              <w:rPr>
                <w:rFonts w:hint="eastAsia" w:ascii="宋体" w:hAnsi="宋体"/>
                <w:color w:val="000000" w:themeColor="text1"/>
                <w:szCs w:val="24"/>
                <w:u w:val="single"/>
                <w14:textFill>
                  <w14:solidFill>
                    <w14:schemeClr w14:val="tx1"/>
                  </w14:solidFill>
                </w14:textFill>
              </w:rPr>
              <w:t>1.取土场在取土前，应将地表30-40厘米厚的耕作层推到一侧临时堆放，完工后覆盖地表以利于复耕；耕作层土壤的临时堆放应设臵围挡措施。</w:t>
            </w:r>
          </w:p>
          <w:p>
            <w:pPr>
              <w:ind w:firstLine="495"/>
              <w:rPr>
                <w:rFonts w:ascii="宋体" w:hAnsi="宋体"/>
                <w:color w:val="000000" w:themeColor="text1"/>
                <w:szCs w:val="24"/>
                <w:u w:val="single"/>
                <w14:textFill>
                  <w14:solidFill>
                    <w14:schemeClr w14:val="tx1"/>
                  </w14:solidFill>
                </w14:textFill>
              </w:rPr>
            </w:pPr>
            <w:r>
              <w:rPr>
                <w:rFonts w:hint="eastAsia" w:ascii="宋体" w:hAnsi="宋体"/>
                <w:color w:val="000000" w:themeColor="text1"/>
                <w:szCs w:val="24"/>
                <w:u w:val="single"/>
                <w14:textFill>
                  <w14:solidFill>
                    <w14:schemeClr w14:val="tx1"/>
                  </w14:solidFill>
                </w14:textFill>
              </w:rPr>
              <w:t>2．弃土应优先选择在临近的取土坑和低洼地；严格按照路基土石方调配表方案，做好施工组织安排，避免因不合理施组导致弃土弃渣数量的增加。</w:t>
            </w:r>
          </w:p>
          <w:p>
            <w:pPr>
              <w:ind w:firstLine="495"/>
              <w:rPr>
                <w:rFonts w:ascii="宋体" w:hAnsi="宋体"/>
                <w:color w:val="000000" w:themeColor="text1"/>
                <w:szCs w:val="24"/>
                <w:u w:val="single"/>
                <w14:textFill>
                  <w14:solidFill>
                    <w14:schemeClr w14:val="tx1"/>
                  </w14:solidFill>
                </w14:textFill>
              </w:rPr>
            </w:pPr>
            <w:r>
              <w:rPr>
                <w:rFonts w:ascii="宋体" w:hAnsi="宋体"/>
                <w:color w:val="000000" w:themeColor="text1"/>
                <w:szCs w:val="24"/>
                <w:u w:val="single"/>
                <w14:textFill>
                  <w14:solidFill>
                    <w14:schemeClr w14:val="tx1"/>
                  </w14:solidFill>
                </w14:textFill>
              </w:rPr>
              <w:fldChar w:fldCharType="begin"/>
            </w:r>
            <w:r>
              <w:rPr>
                <w:rFonts w:ascii="宋体" w:hAnsi="宋体"/>
                <w:color w:val="000000" w:themeColor="text1"/>
                <w:szCs w:val="24"/>
                <w:u w:val="single"/>
                <w14:textFill>
                  <w14:solidFill>
                    <w14:schemeClr w14:val="tx1"/>
                  </w14:solidFill>
                </w14:textFill>
              </w:rPr>
              <w:instrText xml:space="preserve"> </w:instrText>
            </w:r>
            <w:r>
              <w:rPr>
                <w:rFonts w:hint="eastAsia" w:ascii="宋体" w:hAnsi="宋体"/>
                <w:color w:val="000000" w:themeColor="text1"/>
                <w:szCs w:val="24"/>
                <w:u w:val="single"/>
                <w14:textFill>
                  <w14:solidFill>
                    <w14:schemeClr w14:val="tx1"/>
                  </w14:solidFill>
                </w14:textFill>
              </w:rPr>
              <w:instrText xml:space="preserve">= 3 \* GB2</w:instrText>
            </w:r>
            <w:r>
              <w:rPr>
                <w:rFonts w:ascii="宋体" w:hAnsi="宋体"/>
                <w:color w:val="000000" w:themeColor="text1"/>
                <w:szCs w:val="24"/>
                <w:u w:val="single"/>
                <w14:textFill>
                  <w14:solidFill>
                    <w14:schemeClr w14:val="tx1"/>
                  </w14:solidFill>
                </w14:textFill>
              </w:rPr>
              <w:instrText xml:space="preserve"> </w:instrText>
            </w:r>
            <w:r>
              <w:rPr>
                <w:rFonts w:ascii="宋体" w:hAnsi="宋体"/>
                <w:color w:val="000000" w:themeColor="text1"/>
                <w:szCs w:val="24"/>
                <w:u w:val="single"/>
                <w14:textFill>
                  <w14:solidFill>
                    <w14:schemeClr w14:val="tx1"/>
                  </w14:solidFill>
                </w14:textFill>
              </w:rPr>
              <w:fldChar w:fldCharType="separate"/>
            </w:r>
            <w:r>
              <w:rPr>
                <w:rFonts w:hint="eastAsia" w:ascii="宋体" w:hAnsi="宋体"/>
                <w:color w:val="000000" w:themeColor="text1"/>
                <w:szCs w:val="24"/>
                <w:u w:val="single"/>
                <w14:textFill>
                  <w14:solidFill>
                    <w14:schemeClr w14:val="tx1"/>
                  </w14:solidFill>
                </w14:textFill>
              </w:rPr>
              <w:t>⑶</w:t>
            </w:r>
            <w:r>
              <w:rPr>
                <w:rFonts w:ascii="宋体" w:hAnsi="宋体"/>
                <w:color w:val="000000" w:themeColor="text1"/>
                <w:szCs w:val="24"/>
                <w:u w:val="single"/>
                <w14:textFill>
                  <w14:solidFill>
                    <w14:schemeClr w14:val="tx1"/>
                  </w14:solidFill>
                </w14:textFill>
              </w:rPr>
              <w:fldChar w:fldCharType="end"/>
            </w:r>
            <w:r>
              <w:rPr>
                <w:rFonts w:hint="eastAsia" w:ascii="宋体" w:hAnsi="宋体"/>
                <w:color w:val="000000" w:themeColor="text1"/>
                <w:szCs w:val="24"/>
                <w:u w:val="single"/>
                <w14:textFill>
                  <w14:solidFill>
                    <w14:schemeClr w14:val="tx1"/>
                  </w14:solidFill>
                </w14:textFill>
              </w:rPr>
              <w:t>水源保护措施</w:t>
            </w:r>
          </w:p>
          <w:p>
            <w:pPr>
              <w:ind w:firstLine="495"/>
              <w:rPr>
                <w:rFonts w:ascii="宋体" w:hAnsi="宋体"/>
                <w:color w:val="000000" w:themeColor="text1"/>
                <w:szCs w:val="24"/>
                <w:u w:val="single"/>
                <w14:textFill>
                  <w14:solidFill>
                    <w14:schemeClr w14:val="tx1"/>
                  </w14:solidFill>
                </w14:textFill>
              </w:rPr>
            </w:pPr>
            <w:r>
              <w:rPr>
                <w:rFonts w:hint="eastAsia" w:ascii="宋体" w:hAnsi="宋体"/>
                <w:color w:val="000000" w:themeColor="text1"/>
                <w:szCs w:val="24"/>
                <w:u w:val="single"/>
                <w14:textFill>
                  <w14:solidFill>
                    <w14:schemeClr w14:val="tx1"/>
                  </w14:solidFill>
                </w14:textFill>
              </w:rPr>
              <w:t>建设生活用水设施，生活供水系统按照卫生标准进行净化，为施工人员提供符合国家生活饮用水标准的饮用水。 水源（地下水井）附近不准堆放垃圾等废弃物，不准修建渗水坑、渗水厕所，不准铺设污水管道，不准居住人员等。</w:t>
            </w:r>
            <w:r>
              <w:rPr>
                <w:rFonts w:hint="eastAsia" w:ascii="宋体" w:hAnsi="宋体"/>
                <w:color w:val="000000" w:themeColor="text1"/>
                <w:szCs w:val="24"/>
                <w:u w:val="single"/>
                <w:lang w:eastAsia="zh-CN"/>
                <w14:textFill>
                  <w14:solidFill>
                    <w14:schemeClr w14:val="tx1"/>
                  </w14:solidFill>
                </w14:textFill>
              </w:rPr>
              <w:t>本项目所在地为饮用水源保护区，距离最近居民在</w:t>
            </w:r>
            <w:r>
              <w:rPr>
                <w:rFonts w:hint="eastAsia" w:ascii="宋体" w:hAnsi="宋体"/>
                <w:color w:val="000000" w:themeColor="text1"/>
                <w:szCs w:val="24"/>
                <w:u w:val="single"/>
                <w:lang w:val="en-US" w:eastAsia="zh-CN"/>
                <w14:textFill>
                  <w14:solidFill>
                    <w14:schemeClr w14:val="tx1"/>
                  </w14:solidFill>
                </w14:textFill>
              </w:rPr>
              <w:t>500米以外，且附近500米以内均无居民饮用水取水点。</w:t>
            </w:r>
          </w:p>
          <w:p>
            <w:pPr>
              <w:ind w:firstLine="495"/>
              <w:rPr>
                <w:rFonts w:ascii="宋体" w:hAnsi="宋体"/>
                <w:b/>
                <w:color w:val="000000" w:themeColor="text1"/>
                <w:szCs w:val="24"/>
                <w14:textFill>
                  <w14:solidFill>
                    <w14:schemeClr w14:val="tx1"/>
                  </w14:solidFill>
                </w14:textFill>
              </w:rPr>
            </w:pPr>
            <w:r>
              <w:rPr>
                <w:rFonts w:ascii="宋体" w:hAnsi="宋体"/>
                <w:b/>
                <w:color w:val="000000" w:themeColor="text1"/>
                <w:szCs w:val="24"/>
                <w14:textFill>
                  <w14:solidFill>
                    <w14:schemeClr w14:val="tx1"/>
                  </w14:solidFill>
                </w14:textFill>
              </w:rPr>
              <w:fldChar w:fldCharType="begin"/>
            </w:r>
            <w:r>
              <w:rPr>
                <w:rFonts w:ascii="宋体" w:hAnsi="宋体"/>
                <w:b/>
                <w:color w:val="000000" w:themeColor="text1"/>
                <w:szCs w:val="24"/>
                <w14:textFill>
                  <w14:solidFill>
                    <w14:schemeClr w14:val="tx1"/>
                  </w14:solidFill>
                </w14:textFill>
              </w:rPr>
              <w:instrText xml:space="preserve"> </w:instrText>
            </w:r>
            <w:r>
              <w:rPr>
                <w:rFonts w:hint="eastAsia" w:ascii="宋体" w:hAnsi="宋体"/>
                <w:b/>
                <w:color w:val="000000" w:themeColor="text1"/>
                <w:szCs w:val="24"/>
                <w14:textFill>
                  <w14:solidFill>
                    <w14:schemeClr w14:val="tx1"/>
                  </w14:solidFill>
                </w14:textFill>
              </w:rPr>
              <w:instrText xml:space="preserve">= 2 \* GB4</w:instrText>
            </w:r>
            <w:r>
              <w:rPr>
                <w:rFonts w:ascii="宋体" w:hAnsi="宋体"/>
                <w:b/>
                <w:color w:val="000000" w:themeColor="text1"/>
                <w:szCs w:val="24"/>
                <w14:textFill>
                  <w14:solidFill>
                    <w14:schemeClr w14:val="tx1"/>
                  </w14:solidFill>
                </w14:textFill>
              </w:rPr>
              <w:instrText xml:space="preserve"> </w:instrText>
            </w:r>
            <w:r>
              <w:rPr>
                <w:rFonts w:ascii="宋体" w:hAnsi="宋体"/>
                <w:b/>
                <w:color w:val="000000" w:themeColor="text1"/>
                <w:szCs w:val="24"/>
                <w14:textFill>
                  <w14:solidFill>
                    <w14:schemeClr w14:val="tx1"/>
                  </w14:solidFill>
                </w14:textFill>
              </w:rPr>
              <w:fldChar w:fldCharType="separate"/>
            </w:r>
            <w:r>
              <w:rPr>
                <w:rFonts w:hint="eastAsia" w:ascii="宋体" w:hAnsi="宋体"/>
                <w:b/>
                <w:color w:val="000000" w:themeColor="text1"/>
                <w:szCs w:val="24"/>
                <w14:textFill>
                  <w14:solidFill>
                    <w14:schemeClr w14:val="tx1"/>
                  </w14:solidFill>
                </w14:textFill>
              </w:rPr>
              <w:t>㈡</w:t>
            </w:r>
            <w:r>
              <w:rPr>
                <w:rFonts w:ascii="宋体" w:hAnsi="宋体"/>
                <w:b/>
                <w:color w:val="000000" w:themeColor="text1"/>
                <w:szCs w:val="24"/>
                <w14:textFill>
                  <w14:solidFill>
                    <w14:schemeClr w14:val="tx1"/>
                  </w14:solidFill>
                </w14:textFill>
              </w:rPr>
              <w:fldChar w:fldCharType="end"/>
            </w:r>
            <w:r>
              <w:rPr>
                <w:rFonts w:hint="eastAsia" w:ascii="宋体" w:hAnsi="宋体"/>
                <w:b/>
                <w:color w:val="000000" w:themeColor="text1"/>
                <w:szCs w:val="24"/>
                <w14:textFill>
                  <w14:solidFill>
                    <w14:schemeClr w14:val="tx1"/>
                  </w14:solidFill>
                </w14:textFill>
              </w:rPr>
              <w:t xml:space="preserve"> 运营期环境影响分析：</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根据本项目的工程特点，运营期的产污环节主要在种植基地植物种植。</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1、大气环境影响分析：</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废气为种植过程中肥料的分解吸收过程产生的少量废气和木材燃烧产生的烟尘以及少量食堂油烟。</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1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①</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、种植过程中肥料的分解吸收过程产生的少量废气为无组织排放。</w:t>
            </w:r>
          </w:p>
          <w:p>
            <w:pPr>
              <w:ind w:firstLine="480" w:firstLineChars="200"/>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2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②</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、本项目所用木材的量约为30t/a，用于园内食堂，木材燃烧所产生的烟尘经烟囱排放，且项目所在地为农村地区，周边居民大多使用木材为燃料，所以，本项目所产生的烟尘对周边环境基本无影响。</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3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③</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项目设有一小型职工食堂（对外开放），使用的液化气属于清洁能源，产生的污染物很少。食堂废气主要是在木材燃烧产生的废气和食物烹饪、加工过程中挥发的油脂、有机质热分解或裂解，从而产生的油烟废气。食堂为厂区职工提供就餐，人数</w:t>
            </w:r>
            <w:r>
              <w:rPr>
                <w:rFonts w:hint="eastAsia" w:ascii="宋体" w:hAnsi="宋体"/>
                <w:color w:val="auto"/>
                <w:szCs w:val="24"/>
              </w:rPr>
              <w:t>为</w:t>
            </w:r>
            <w:r>
              <w:rPr>
                <w:rFonts w:hint="eastAsia" w:ascii="宋体" w:hAnsi="宋体"/>
                <w:color w:val="000000" w:themeColor="text1"/>
                <w:szCs w:val="24"/>
                <w14:textFill>
                  <w14:solidFill>
                    <w14:schemeClr w14:val="tx1"/>
                  </w14:solidFill>
                </w14:textFill>
              </w:rPr>
              <w:t>中餐10人、晚餐5人，根据当地饮食习惯调查，项目食堂食用油消耗量为0.35kg/d,70kg/a。根据类比调查，其所排油烟气一般占耗油量的1.2%-1.5%，本环评取1.5%，则油烟产生量约为1.05kg/a。根据资料类比，项目食堂产生的油烟废气浓度约</w:t>
            </w:r>
            <w:r>
              <w:rPr>
                <w:rFonts w:ascii="宋体" w:hAnsi="宋体"/>
                <w:color w:val="000000" w:themeColor="text1"/>
                <w:szCs w:val="24"/>
                <w14:textFill>
                  <w14:solidFill>
                    <w14:schemeClr w14:val="tx1"/>
                  </w14:solidFill>
                </w14:textFill>
              </w:rPr>
              <w:t>10mg</w:t>
            </w:r>
            <w:r>
              <w:rPr>
                <w:rFonts w:hint="eastAsia" w:ascii="MS Mincho" w:hAnsi="MS Mincho" w:eastAsia="MS Mincho" w:cs="MS Mincho"/>
                <w:color w:val="000000" w:themeColor="text1"/>
                <w:szCs w:val="24"/>
                <w14:textFill>
                  <w14:solidFill>
                    <w14:schemeClr w14:val="tx1"/>
                  </w14:solidFill>
                </w14:textFill>
              </w:rPr>
              <w:t>⁄</w:t>
            </w:r>
            <w:r>
              <w:rPr>
                <w:rFonts w:ascii="宋体" w:hAnsi="宋体"/>
                <w:color w:val="000000" w:themeColor="text1"/>
                <w:szCs w:val="24"/>
                <w14:textFill>
                  <w14:solidFill>
                    <w14:schemeClr w14:val="tx1"/>
                  </w14:solidFill>
                </w14:textFill>
              </w:rPr>
              <w:t>m</w:t>
            </w:r>
            <w:r>
              <w:rPr>
                <w:rFonts w:ascii="宋体" w:hAnsi="宋体"/>
                <w:color w:val="000000" w:themeColor="text1"/>
                <w:szCs w:val="24"/>
                <w:vertAlign w:val="superscript"/>
                <w14:textFill>
                  <w14:solidFill>
                    <w14:schemeClr w14:val="tx1"/>
                  </w14:solidFill>
                </w14:textFill>
              </w:rPr>
              <w:t>3</w:t>
            </w:r>
            <w:r>
              <w:rPr>
                <w:rFonts w:hint="eastAsia" w:ascii="宋体" w:hAnsi="宋体"/>
                <w:color w:val="000000" w:themeColor="text1"/>
                <w:szCs w:val="24"/>
                <w14:textFill>
                  <w14:solidFill>
                    <w14:schemeClr w14:val="tx1"/>
                  </w14:solidFill>
                </w14:textFill>
              </w:rPr>
              <w:t>，食堂油烟采用先进的静电油烟净化装置进行有效处理，处理效率能达到80%以上，经处理后，油烟浓度可降至1.8mg/m</w:t>
            </w:r>
            <w:r>
              <w:rPr>
                <w:rFonts w:hint="eastAsia" w:ascii="宋体" w:hAnsi="宋体"/>
                <w:color w:val="000000" w:themeColor="text1"/>
                <w:szCs w:val="24"/>
                <w:vertAlign w:val="superscript"/>
                <w14:textFill>
                  <w14:solidFill>
                    <w14:schemeClr w14:val="tx1"/>
                  </w14:solidFill>
                </w14:textFill>
              </w:rPr>
              <w:t>3</w:t>
            </w:r>
            <w:r>
              <w:rPr>
                <w:rFonts w:hint="eastAsia" w:ascii="宋体" w:hAnsi="宋体"/>
                <w:color w:val="000000" w:themeColor="text1"/>
                <w:szCs w:val="24"/>
                <w14:textFill>
                  <w14:solidFill>
                    <w14:schemeClr w14:val="tx1"/>
                  </w14:solidFill>
                </w14:textFill>
              </w:rPr>
              <w:t xml:space="preserve"> 以下，处理后的油烟经厂区预留油烟管道高空排放。能达到《饮食业油烟排放标准》（GB18483-2001）中的标准，即≤2 mg/m</w:t>
            </w:r>
            <w:r>
              <w:rPr>
                <w:rFonts w:hint="eastAsia" w:ascii="宋体" w:hAnsi="宋体"/>
                <w:color w:val="000000" w:themeColor="text1"/>
                <w:szCs w:val="24"/>
                <w:vertAlign w:val="superscript"/>
                <w14:textFill>
                  <w14:solidFill>
                    <w14:schemeClr w14:val="tx1"/>
                  </w14:solidFill>
                </w14:textFill>
              </w:rPr>
              <w:t>3</w:t>
            </w:r>
            <w:r>
              <w:rPr>
                <w:rFonts w:hint="eastAsia" w:ascii="宋体" w:hAnsi="宋体"/>
                <w:color w:val="000000" w:themeColor="text1"/>
                <w:szCs w:val="24"/>
                <w14:textFill>
                  <w14:solidFill>
                    <w14:schemeClr w14:val="tx1"/>
                  </w14:solidFill>
                </w14:textFill>
              </w:rPr>
              <w:t xml:space="preserve"> ，因此，项目食堂油烟对周边大气环境影响较小。</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2、水环境影响分析：</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1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①</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生活污水。</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全厂职</w:t>
            </w:r>
            <w:r>
              <w:rPr>
                <w:rFonts w:hint="eastAsia" w:ascii="宋体" w:hAnsi="宋体"/>
                <w:color w:val="auto"/>
                <w:szCs w:val="24"/>
              </w:rPr>
              <w:t>工13人，</w:t>
            </w:r>
            <w:r>
              <w:rPr>
                <w:rFonts w:hint="eastAsia" w:ascii="宋体" w:hAnsi="宋体"/>
                <w:color w:val="000000" w:themeColor="text1"/>
                <w:szCs w:val="24"/>
                <w14:textFill>
                  <w14:solidFill>
                    <w14:schemeClr w14:val="tx1"/>
                  </w14:solidFill>
                </w14:textFill>
              </w:rPr>
              <w:t>年工作天数200天，根据我国城市人口平均排放系数及岳阳市排污数据计算，结合本项目实际情况选取以下排污参数：COD</w:t>
            </w:r>
            <w:r>
              <w:rPr>
                <w:rFonts w:hint="eastAsia" w:ascii="宋体" w:hAnsi="宋体"/>
                <w:color w:val="auto"/>
                <w:szCs w:val="24"/>
              </w:rPr>
              <w:t>产生浓度</w:t>
            </w:r>
            <w:r>
              <w:rPr>
                <w:rFonts w:hint="eastAsia" w:ascii="宋体" w:hAnsi="宋体"/>
                <w:color w:val="000000" w:themeColor="text1"/>
                <w:szCs w:val="24"/>
                <w14:textFill>
                  <w14:solidFill>
                    <w14:schemeClr w14:val="tx1"/>
                  </w14:solidFill>
                </w14:textFill>
              </w:rPr>
              <w:t>一般为287～1060 mg/L，取</w:t>
            </w:r>
            <w:r>
              <w:rPr>
                <w:rFonts w:hint="eastAsia" w:ascii="宋体" w:hAnsi="宋体"/>
                <w:color w:val="auto"/>
                <w:szCs w:val="24"/>
              </w:rPr>
              <w:t>500mg/L计；BOD</w:t>
            </w:r>
            <w:r>
              <w:rPr>
                <w:rFonts w:hint="eastAsia" w:ascii="宋体" w:hAnsi="宋体"/>
                <w:color w:val="auto"/>
                <w:szCs w:val="24"/>
                <w:vertAlign w:val="subscript"/>
              </w:rPr>
              <w:t>5</w:t>
            </w:r>
            <w:r>
              <w:rPr>
                <w:rFonts w:hint="eastAsia" w:ascii="宋体" w:hAnsi="宋体"/>
                <w:color w:val="auto"/>
                <w:szCs w:val="24"/>
              </w:rPr>
              <w:t>产生浓度</w:t>
            </w:r>
            <w:r>
              <w:rPr>
                <w:rFonts w:hint="eastAsia" w:ascii="宋体" w:hAnsi="宋体"/>
                <w:color w:val="000000" w:themeColor="text1"/>
                <w:szCs w:val="24"/>
                <w14:textFill>
                  <w14:solidFill>
                    <w14:schemeClr w14:val="tx1"/>
                  </w14:solidFill>
                </w14:textFill>
              </w:rPr>
              <w:t>一般为120～450 mg/L，取300</w:t>
            </w:r>
            <w:r>
              <w:rPr>
                <w:rFonts w:hint="eastAsia" w:ascii="宋体" w:hAnsi="宋体"/>
                <w:color w:val="auto"/>
                <w:szCs w:val="24"/>
              </w:rPr>
              <w:t>mg</w:t>
            </w:r>
            <w:r>
              <w:rPr>
                <w:rFonts w:hint="eastAsia" w:ascii="宋体" w:hAnsi="宋体"/>
                <w:color w:val="000000" w:themeColor="text1"/>
                <w:szCs w:val="24"/>
                <w14:textFill>
                  <w14:solidFill>
                    <w14:schemeClr w14:val="tx1"/>
                  </w14:solidFill>
                </w14:textFill>
              </w:rPr>
              <w:t>/L计；NH3-N产生浓度</w:t>
            </w:r>
            <w:r>
              <w:rPr>
                <w:rFonts w:hint="eastAsia" w:ascii="宋体" w:hAnsi="宋体"/>
                <w:color w:val="auto"/>
                <w:szCs w:val="24"/>
              </w:rPr>
              <w:t>30mg/L</w:t>
            </w:r>
            <w:r>
              <w:rPr>
                <w:rFonts w:hint="eastAsia" w:ascii="宋体" w:hAnsi="宋体"/>
                <w:color w:val="000000" w:themeColor="text1"/>
                <w:szCs w:val="24"/>
                <w14:textFill>
                  <w14:solidFill>
                    <w14:schemeClr w14:val="tx1"/>
                  </w14:solidFill>
                </w14:textFill>
              </w:rPr>
              <w:t>；SS产生浓度400</w:t>
            </w:r>
            <w:r>
              <w:rPr>
                <w:rFonts w:hint="eastAsia" w:ascii="宋体" w:hAnsi="宋体"/>
                <w:color w:val="auto"/>
                <w:szCs w:val="24"/>
              </w:rPr>
              <w:t xml:space="preserve"> mg/L,</w:t>
            </w:r>
            <w:r>
              <w:rPr>
                <w:rFonts w:hint="eastAsia" w:ascii="宋体" w:hAnsi="宋体"/>
                <w:color w:val="000000" w:themeColor="text1"/>
                <w:szCs w:val="24"/>
                <w14:textFill>
                  <w14:solidFill>
                    <w14:schemeClr w14:val="tx1"/>
                  </w14:solidFill>
                </w14:textFill>
              </w:rPr>
              <w:t>项目5人在厂区住宿，在食堂就餐中午10人，晚上5人，在厂区住宿员工生活用水量按0.2t/d·人计算，不在厂区住宿员工生活用水量按0.1t/d·人计算，则生活用水量为1.8t/d。</w:t>
            </w:r>
          </w:p>
          <w:p>
            <w:pPr>
              <w:ind w:firstLine="495"/>
              <w:rPr>
                <w:rFonts w:ascii="宋体" w:hAnsi="宋体"/>
                <w:color w:val="auto"/>
                <w:szCs w:val="24"/>
              </w:rPr>
            </w:pPr>
            <w:r>
              <w:rPr>
                <w:rFonts w:hint="eastAsia" w:ascii="宋体" w:hAnsi="宋体"/>
                <w:color w:val="auto"/>
                <w:szCs w:val="24"/>
              </w:rPr>
              <w:t>计算得：</w:t>
            </w:r>
          </w:p>
          <w:p>
            <w:pPr>
              <w:ind w:firstLine="495"/>
              <w:rPr>
                <w:rFonts w:ascii="宋体" w:hAnsi="宋体"/>
                <w:color w:val="auto"/>
                <w:szCs w:val="24"/>
              </w:rPr>
            </w:pPr>
            <w:r>
              <w:rPr>
                <w:rFonts w:hint="eastAsia" w:ascii="宋体" w:hAnsi="宋体"/>
                <w:color w:val="auto"/>
                <w:szCs w:val="24"/>
              </w:rPr>
              <w:t>用水量：1.8×200﹦360吨/年</w:t>
            </w:r>
          </w:p>
          <w:p>
            <w:pPr>
              <w:ind w:firstLine="495"/>
              <w:rPr>
                <w:rFonts w:ascii="宋体" w:hAnsi="宋体"/>
                <w:color w:val="auto"/>
                <w:szCs w:val="24"/>
              </w:rPr>
            </w:pPr>
            <w:r>
              <w:rPr>
                <w:rFonts w:hint="eastAsia" w:ascii="宋体" w:hAnsi="宋体"/>
                <w:color w:val="auto"/>
                <w:szCs w:val="24"/>
              </w:rPr>
              <w:t>生活污水量为：360×0.85﹦306吨/年</w:t>
            </w:r>
          </w:p>
          <w:p>
            <w:pPr>
              <w:ind w:firstLine="495"/>
              <w:rPr>
                <w:rFonts w:ascii="宋体" w:hAnsi="宋体"/>
                <w:color w:val="auto"/>
                <w:szCs w:val="24"/>
              </w:rPr>
            </w:pPr>
            <w:r>
              <w:rPr>
                <w:rFonts w:hint="eastAsia" w:ascii="宋体" w:hAnsi="宋体"/>
                <w:color w:val="auto"/>
                <w:szCs w:val="24"/>
              </w:rPr>
              <w:t>COD年产生量为：500×306×10</w:t>
            </w:r>
            <w:r>
              <w:rPr>
                <w:rFonts w:hint="eastAsia" w:ascii="宋体" w:hAnsi="宋体"/>
                <w:color w:val="auto"/>
                <w:szCs w:val="24"/>
                <w:vertAlign w:val="superscript"/>
              </w:rPr>
              <w:t>-3</w:t>
            </w:r>
            <w:r>
              <w:rPr>
                <w:rFonts w:hint="eastAsia" w:ascii="宋体" w:hAnsi="宋体"/>
                <w:color w:val="auto"/>
                <w:szCs w:val="24"/>
              </w:rPr>
              <w:t>=153kg/a</w:t>
            </w:r>
          </w:p>
          <w:p>
            <w:pPr>
              <w:ind w:firstLine="495"/>
              <w:rPr>
                <w:rFonts w:ascii="宋体" w:hAnsi="宋体"/>
                <w:color w:val="auto"/>
                <w:szCs w:val="24"/>
              </w:rPr>
            </w:pPr>
            <w:r>
              <w:rPr>
                <w:rFonts w:hint="eastAsia" w:ascii="宋体" w:hAnsi="宋体"/>
                <w:color w:val="auto"/>
                <w:szCs w:val="24"/>
              </w:rPr>
              <w:t>BOD</w:t>
            </w:r>
            <w:r>
              <w:rPr>
                <w:rFonts w:hint="eastAsia" w:ascii="宋体" w:hAnsi="宋体"/>
                <w:color w:val="auto"/>
                <w:szCs w:val="24"/>
                <w:vertAlign w:val="subscript"/>
              </w:rPr>
              <w:t>5</w:t>
            </w:r>
            <w:r>
              <w:rPr>
                <w:rFonts w:hint="eastAsia" w:ascii="宋体" w:hAnsi="宋体"/>
                <w:color w:val="auto"/>
                <w:szCs w:val="24"/>
              </w:rPr>
              <w:t>年产生量为：300×306×10</w:t>
            </w:r>
            <w:r>
              <w:rPr>
                <w:rFonts w:hint="eastAsia" w:ascii="宋体" w:hAnsi="宋体"/>
                <w:color w:val="auto"/>
                <w:szCs w:val="24"/>
                <w:vertAlign w:val="superscript"/>
              </w:rPr>
              <w:t>-3</w:t>
            </w:r>
            <w:r>
              <w:rPr>
                <w:rFonts w:hint="eastAsia" w:ascii="宋体" w:hAnsi="宋体"/>
                <w:color w:val="auto"/>
                <w:szCs w:val="24"/>
              </w:rPr>
              <w:t>=91.8kg/a</w:t>
            </w:r>
          </w:p>
          <w:p>
            <w:pPr>
              <w:ind w:firstLine="495"/>
              <w:rPr>
                <w:rFonts w:ascii="宋体" w:hAnsi="宋体"/>
                <w:color w:val="auto"/>
                <w:szCs w:val="24"/>
              </w:rPr>
            </w:pPr>
            <w:r>
              <w:rPr>
                <w:rFonts w:hint="eastAsia" w:ascii="宋体" w:hAnsi="宋体"/>
                <w:color w:val="auto"/>
                <w:szCs w:val="24"/>
              </w:rPr>
              <w:t>NH3-N年产生量为：30×306×10</w:t>
            </w:r>
            <w:r>
              <w:rPr>
                <w:rFonts w:hint="eastAsia" w:ascii="宋体" w:hAnsi="宋体"/>
                <w:color w:val="auto"/>
                <w:szCs w:val="24"/>
                <w:vertAlign w:val="superscript"/>
              </w:rPr>
              <w:t>-3</w:t>
            </w:r>
            <w:r>
              <w:rPr>
                <w:rFonts w:hint="eastAsia" w:ascii="宋体" w:hAnsi="宋体"/>
                <w:color w:val="auto"/>
                <w:szCs w:val="24"/>
              </w:rPr>
              <w:t>=9.18kg/a</w:t>
            </w:r>
          </w:p>
          <w:p>
            <w:pPr>
              <w:ind w:firstLine="495"/>
              <w:rPr>
                <w:rFonts w:ascii="宋体" w:hAnsi="宋体"/>
                <w:color w:val="auto"/>
                <w:szCs w:val="24"/>
              </w:rPr>
            </w:pPr>
            <w:r>
              <w:rPr>
                <w:rFonts w:hint="eastAsia" w:ascii="宋体" w:hAnsi="宋体"/>
                <w:color w:val="auto"/>
                <w:szCs w:val="24"/>
              </w:rPr>
              <w:t>SS年产生量为：400×306×10</w:t>
            </w:r>
            <w:r>
              <w:rPr>
                <w:rFonts w:hint="eastAsia" w:ascii="宋体" w:hAnsi="宋体"/>
                <w:color w:val="auto"/>
                <w:szCs w:val="24"/>
                <w:vertAlign w:val="superscript"/>
              </w:rPr>
              <w:t>-3</w:t>
            </w:r>
            <w:r>
              <w:rPr>
                <w:rFonts w:hint="eastAsia" w:ascii="宋体" w:hAnsi="宋体"/>
                <w:color w:val="auto"/>
                <w:szCs w:val="24"/>
              </w:rPr>
              <w:t>=122.4kg/a</w:t>
            </w:r>
          </w:p>
          <w:p>
            <w:pPr>
              <w:ind w:firstLine="360" w:firstLineChars="150"/>
              <w:rPr>
                <w:rFonts w:ascii="宋体" w:hAnsi="宋体"/>
                <w:color w:val="auto"/>
                <w:szCs w:val="24"/>
              </w:rPr>
            </w:pPr>
            <w:r>
              <w:rPr>
                <w:rFonts w:hint="eastAsia" w:ascii="宋体" w:hAnsi="宋体"/>
                <w:color w:val="auto"/>
                <w:szCs w:val="24"/>
              </w:rPr>
              <w:t>全厂职工13人，年工作天数200天，根据《污水综合排放标准》（GB8978-1996</w:t>
            </w:r>
            <w:r>
              <w:rPr>
                <w:rFonts w:ascii="宋体" w:hAnsi="宋体"/>
                <w:color w:val="auto"/>
                <w:szCs w:val="24"/>
              </w:rPr>
              <w:t>）</w:t>
            </w:r>
            <w:r>
              <w:rPr>
                <w:rFonts w:hint="eastAsia" w:ascii="宋体" w:hAnsi="宋体"/>
                <w:color w:val="auto"/>
                <w:szCs w:val="24"/>
              </w:rPr>
              <w:t>中的二级标准，COD取排放浓度为150mg/L；BOD</w:t>
            </w:r>
            <w:r>
              <w:rPr>
                <w:rFonts w:hint="eastAsia" w:ascii="宋体" w:hAnsi="宋体"/>
                <w:color w:val="auto"/>
                <w:szCs w:val="24"/>
                <w:vertAlign w:val="subscript"/>
              </w:rPr>
              <w:t>5</w:t>
            </w:r>
            <w:r>
              <w:rPr>
                <w:rFonts w:hint="eastAsia" w:ascii="宋体" w:hAnsi="宋体"/>
                <w:color w:val="auto"/>
                <w:szCs w:val="24"/>
              </w:rPr>
              <w:t>排放浓度为30 mg/L，；NH3-N排放浓度25mg/L, SS排放浓度200mg/L。</w:t>
            </w:r>
            <w:r>
              <w:rPr>
                <w:rFonts w:ascii="宋体" w:hAnsi="宋体"/>
                <w:color w:val="auto"/>
                <w:szCs w:val="24"/>
              </w:rPr>
              <w:t xml:space="preserve"> </w:t>
            </w:r>
          </w:p>
          <w:p>
            <w:pPr>
              <w:ind w:firstLine="495"/>
              <w:rPr>
                <w:rFonts w:ascii="宋体" w:hAnsi="宋体"/>
                <w:color w:val="auto"/>
                <w:szCs w:val="24"/>
              </w:rPr>
            </w:pPr>
            <w:r>
              <w:rPr>
                <w:rFonts w:hint="eastAsia" w:ascii="宋体" w:hAnsi="宋体"/>
                <w:color w:val="auto"/>
                <w:szCs w:val="24"/>
              </w:rPr>
              <w:t>COD年排放量为：150×10</w:t>
            </w:r>
            <w:r>
              <w:rPr>
                <w:rFonts w:hint="eastAsia" w:ascii="宋体" w:hAnsi="宋体"/>
                <w:color w:val="auto"/>
                <w:szCs w:val="24"/>
                <w:vertAlign w:val="superscript"/>
              </w:rPr>
              <w:t>-3</w:t>
            </w:r>
            <w:r>
              <w:rPr>
                <w:rFonts w:hint="eastAsia" w:ascii="宋体" w:hAnsi="宋体"/>
                <w:color w:val="auto"/>
                <w:szCs w:val="24"/>
              </w:rPr>
              <w:t>×306﹦45.9kg/a</w:t>
            </w:r>
          </w:p>
          <w:p>
            <w:pPr>
              <w:ind w:firstLine="495"/>
              <w:rPr>
                <w:rFonts w:ascii="宋体" w:hAnsi="宋体"/>
                <w:color w:val="auto"/>
                <w:szCs w:val="24"/>
              </w:rPr>
            </w:pPr>
            <w:r>
              <w:rPr>
                <w:rFonts w:hint="eastAsia" w:ascii="宋体" w:hAnsi="宋体"/>
                <w:color w:val="auto"/>
                <w:szCs w:val="24"/>
              </w:rPr>
              <w:t>BOD</w:t>
            </w:r>
            <w:r>
              <w:rPr>
                <w:rFonts w:hint="eastAsia" w:ascii="宋体" w:hAnsi="宋体"/>
                <w:color w:val="auto"/>
                <w:szCs w:val="24"/>
                <w:vertAlign w:val="subscript"/>
              </w:rPr>
              <w:t>5</w:t>
            </w:r>
            <w:r>
              <w:rPr>
                <w:rFonts w:hint="eastAsia" w:ascii="宋体" w:hAnsi="宋体"/>
                <w:color w:val="auto"/>
                <w:szCs w:val="24"/>
              </w:rPr>
              <w:t>年排放量为：30×10</w:t>
            </w:r>
            <w:r>
              <w:rPr>
                <w:rFonts w:hint="eastAsia" w:ascii="宋体" w:hAnsi="宋体"/>
                <w:color w:val="auto"/>
                <w:szCs w:val="24"/>
                <w:vertAlign w:val="superscript"/>
              </w:rPr>
              <w:t>-3</w:t>
            </w:r>
            <w:r>
              <w:rPr>
                <w:rFonts w:hint="eastAsia" w:ascii="宋体" w:hAnsi="宋体"/>
                <w:color w:val="auto"/>
                <w:szCs w:val="24"/>
              </w:rPr>
              <w:t>×306﹦9.2kg/a</w:t>
            </w:r>
          </w:p>
          <w:p>
            <w:pPr>
              <w:ind w:firstLine="495"/>
              <w:rPr>
                <w:rFonts w:ascii="宋体" w:hAnsi="宋体"/>
                <w:color w:val="auto"/>
                <w:szCs w:val="24"/>
              </w:rPr>
            </w:pPr>
            <w:r>
              <w:rPr>
                <w:rFonts w:hint="eastAsia" w:ascii="宋体" w:hAnsi="宋体"/>
                <w:color w:val="auto"/>
                <w:szCs w:val="24"/>
              </w:rPr>
              <w:t>NH3-N年排放量为：25×10</w:t>
            </w:r>
            <w:r>
              <w:rPr>
                <w:rFonts w:hint="eastAsia" w:ascii="宋体" w:hAnsi="宋体"/>
                <w:color w:val="auto"/>
                <w:szCs w:val="24"/>
                <w:vertAlign w:val="superscript"/>
              </w:rPr>
              <w:t>-3</w:t>
            </w:r>
            <w:r>
              <w:rPr>
                <w:rFonts w:hint="eastAsia" w:ascii="宋体" w:hAnsi="宋体"/>
                <w:color w:val="auto"/>
                <w:szCs w:val="24"/>
              </w:rPr>
              <w:t>×306﹦7.65kg/a</w:t>
            </w:r>
          </w:p>
          <w:p>
            <w:pPr>
              <w:ind w:firstLine="495"/>
              <w:rPr>
                <w:rFonts w:ascii="宋体" w:hAnsi="宋体"/>
                <w:color w:val="auto"/>
                <w:szCs w:val="24"/>
              </w:rPr>
            </w:pPr>
            <w:r>
              <w:rPr>
                <w:rFonts w:hint="eastAsia" w:ascii="宋体" w:hAnsi="宋体"/>
                <w:color w:val="auto"/>
                <w:szCs w:val="24"/>
              </w:rPr>
              <w:t>SS年排放量为：150×10</w:t>
            </w:r>
            <w:r>
              <w:rPr>
                <w:rFonts w:hint="eastAsia" w:ascii="宋体" w:hAnsi="宋体"/>
                <w:color w:val="auto"/>
                <w:szCs w:val="24"/>
                <w:vertAlign w:val="superscript"/>
              </w:rPr>
              <w:t>-3</w:t>
            </w:r>
            <w:r>
              <w:rPr>
                <w:rFonts w:hint="eastAsia" w:ascii="宋体" w:hAnsi="宋体"/>
                <w:color w:val="auto"/>
                <w:szCs w:val="24"/>
              </w:rPr>
              <w:t>×306﹦45.9kg/a</w:t>
            </w:r>
          </w:p>
          <w:tbl>
            <w:tblPr>
              <w:tblStyle w:val="11"/>
              <w:tblW w:w="7962" w:type="dxa"/>
              <w:jc w:val="center"/>
              <w:tblInd w:w="102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2246"/>
              <w:gridCol w:w="2246"/>
              <w:gridCol w:w="22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jc w:val="center"/>
              </w:trPr>
              <w:tc>
                <w:tcPr>
                  <w:tcW w:w="1224"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序号</w:t>
                  </w:r>
                </w:p>
              </w:tc>
              <w:tc>
                <w:tcPr>
                  <w:tcW w:w="2246"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污染因子</w:t>
                  </w:r>
                </w:p>
              </w:tc>
              <w:tc>
                <w:tcPr>
                  <w:tcW w:w="2246"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产生量</w:t>
                  </w:r>
                  <w:r>
                    <w:rPr>
                      <w:rFonts w:ascii="宋体" w:hAnsi="宋体"/>
                      <w:color w:val="000000" w:themeColor="text1"/>
                      <w:sz w:val="21"/>
                      <w:szCs w:val="24"/>
                      <w14:textFill>
                        <w14:solidFill>
                          <w14:schemeClr w14:val="tx1"/>
                        </w14:solidFill>
                      </w14:textFill>
                    </w:rPr>
                    <w:t>kg/a</w:t>
                  </w:r>
                </w:p>
              </w:tc>
              <w:tc>
                <w:tcPr>
                  <w:tcW w:w="2246"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排放量</w:t>
                  </w:r>
                  <w:r>
                    <w:rPr>
                      <w:rFonts w:ascii="宋体" w:hAnsi="宋体"/>
                      <w:color w:val="000000" w:themeColor="text1"/>
                      <w:sz w:val="21"/>
                      <w:szCs w:val="24"/>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jc w:val="center"/>
              </w:trPr>
              <w:tc>
                <w:tcPr>
                  <w:tcW w:w="1224"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1</w:t>
                  </w:r>
                </w:p>
              </w:tc>
              <w:tc>
                <w:tcPr>
                  <w:tcW w:w="2246" w:type="dxa"/>
                  <w:vAlign w:val="center"/>
                </w:tcPr>
                <w:p>
                  <w:pPr>
                    <w:jc w:val="center"/>
                    <w:rPr>
                      <w:rFonts w:ascii="宋体" w:hAnsi="宋体"/>
                      <w:color w:val="000000" w:themeColor="text1"/>
                      <w:sz w:val="21"/>
                      <w:szCs w:val="24"/>
                      <w14:textFill>
                        <w14:solidFill>
                          <w14:schemeClr w14:val="tx1"/>
                        </w14:solidFill>
                      </w14:textFill>
                    </w:rPr>
                  </w:pPr>
                  <w:r>
                    <w:rPr>
                      <w:rFonts w:ascii="宋体" w:hAnsi="宋体"/>
                      <w:color w:val="000000" w:themeColor="text1"/>
                      <w:sz w:val="21"/>
                      <w:szCs w:val="24"/>
                      <w14:textFill>
                        <w14:solidFill>
                          <w14:schemeClr w14:val="tx1"/>
                        </w14:solidFill>
                      </w14:textFill>
                    </w:rPr>
                    <w:t>COD</w:t>
                  </w:r>
                </w:p>
              </w:tc>
              <w:tc>
                <w:tcPr>
                  <w:tcW w:w="2246"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153</w:t>
                  </w:r>
                </w:p>
              </w:tc>
              <w:tc>
                <w:tcPr>
                  <w:tcW w:w="2246"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45.9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jc w:val="center"/>
              </w:trPr>
              <w:tc>
                <w:tcPr>
                  <w:tcW w:w="1224"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2</w:t>
                  </w:r>
                </w:p>
              </w:tc>
              <w:tc>
                <w:tcPr>
                  <w:tcW w:w="2246" w:type="dxa"/>
                  <w:vAlign w:val="center"/>
                </w:tcPr>
                <w:p>
                  <w:pPr>
                    <w:jc w:val="center"/>
                    <w:rPr>
                      <w:rFonts w:ascii="宋体" w:hAnsi="宋体"/>
                      <w:color w:val="000000" w:themeColor="text1"/>
                      <w:sz w:val="21"/>
                      <w:szCs w:val="24"/>
                      <w14:textFill>
                        <w14:solidFill>
                          <w14:schemeClr w14:val="tx1"/>
                        </w14:solidFill>
                      </w14:textFill>
                    </w:rPr>
                  </w:pPr>
                  <w:r>
                    <w:rPr>
                      <w:rFonts w:ascii="宋体" w:hAnsi="宋体"/>
                      <w:color w:val="000000" w:themeColor="text1"/>
                      <w:sz w:val="21"/>
                      <w:szCs w:val="24"/>
                      <w14:textFill>
                        <w14:solidFill>
                          <w14:schemeClr w14:val="tx1"/>
                        </w14:solidFill>
                      </w14:textFill>
                    </w:rPr>
                    <w:t>BOD</w:t>
                  </w:r>
                  <w:r>
                    <w:rPr>
                      <w:rFonts w:ascii="宋体" w:hAnsi="宋体"/>
                      <w:color w:val="000000" w:themeColor="text1"/>
                      <w:sz w:val="21"/>
                      <w:szCs w:val="24"/>
                      <w:vertAlign w:val="subscript"/>
                      <w14:textFill>
                        <w14:solidFill>
                          <w14:schemeClr w14:val="tx1"/>
                        </w14:solidFill>
                      </w14:textFill>
                    </w:rPr>
                    <w:t>5</w:t>
                  </w:r>
                </w:p>
              </w:tc>
              <w:tc>
                <w:tcPr>
                  <w:tcW w:w="2246"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91.8</w:t>
                  </w:r>
                </w:p>
              </w:tc>
              <w:tc>
                <w:tcPr>
                  <w:tcW w:w="2246"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jc w:val="center"/>
              </w:trPr>
              <w:tc>
                <w:tcPr>
                  <w:tcW w:w="1224"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3</w:t>
                  </w:r>
                </w:p>
              </w:tc>
              <w:tc>
                <w:tcPr>
                  <w:tcW w:w="2246" w:type="dxa"/>
                  <w:vAlign w:val="center"/>
                </w:tcPr>
                <w:p>
                  <w:pPr>
                    <w:jc w:val="center"/>
                    <w:rPr>
                      <w:rFonts w:ascii="宋体" w:hAnsi="宋体"/>
                      <w:color w:val="000000" w:themeColor="text1"/>
                      <w:sz w:val="21"/>
                      <w:szCs w:val="24"/>
                      <w14:textFill>
                        <w14:solidFill>
                          <w14:schemeClr w14:val="tx1"/>
                        </w14:solidFill>
                      </w14:textFill>
                    </w:rPr>
                  </w:pPr>
                  <w:r>
                    <w:rPr>
                      <w:rFonts w:ascii="宋体" w:hAnsi="宋体"/>
                      <w:color w:val="000000" w:themeColor="text1"/>
                      <w:sz w:val="21"/>
                      <w:szCs w:val="24"/>
                      <w14:textFill>
                        <w14:solidFill>
                          <w14:schemeClr w14:val="tx1"/>
                        </w14:solidFill>
                      </w14:textFill>
                    </w:rPr>
                    <w:t>NH3-N</w:t>
                  </w:r>
                </w:p>
              </w:tc>
              <w:tc>
                <w:tcPr>
                  <w:tcW w:w="2246"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9.18</w:t>
                  </w:r>
                </w:p>
              </w:tc>
              <w:tc>
                <w:tcPr>
                  <w:tcW w:w="2246"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7.65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jc w:val="center"/>
              </w:trPr>
              <w:tc>
                <w:tcPr>
                  <w:tcW w:w="1224"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4</w:t>
                  </w:r>
                </w:p>
              </w:tc>
              <w:tc>
                <w:tcPr>
                  <w:tcW w:w="2246"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SS</w:t>
                  </w:r>
                </w:p>
              </w:tc>
              <w:tc>
                <w:tcPr>
                  <w:tcW w:w="2246"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122.4</w:t>
                  </w:r>
                </w:p>
              </w:tc>
              <w:tc>
                <w:tcPr>
                  <w:tcW w:w="2246" w:type="dxa"/>
                  <w:vAlign w:val="center"/>
                </w:tcPr>
                <w:p>
                  <w:pPr>
                    <w:jc w:val="center"/>
                    <w:rPr>
                      <w:rFonts w:ascii="宋体" w:hAnsi="宋体"/>
                      <w:color w:val="000000" w:themeColor="text1"/>
                      <w:sz w:val="21"/>
                      <w:szCs w:val="24"/>
                      <w14:textFill>
                        <w14:solidFill>
                          <w14:schemeClr w14:val="tx1"/>
                        </w14:solidFill>
                      </w14:textFill>
                    </w:rPr>
                  </w:pPr>
                  <w:r>
                    <w:rPr>
                      <w:rFonts w:hint="eastAsia" w:ascii="宋体" w:hAnsi="宋体"/>
                      <w:color w:val="000000" w:themeColor="text1"/>
                      <w:sz w:val="21"/>
                      <w:szCs w:val="24"/>
                      <w14:textFill>
                        <w14:solidFill>
                          <w14:schemeClr w14:val="tx1"/>
                        </w14:solidFill>
                      </w14:textFill>
                    </w:rPr>
                    <w:t>45.9</w:t>
                  </w:r>
                </w:p>
              </w:tc>
            </w:tr>
          </w:tbl>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生活污水经</w:t>
            </w:r>
            <w:r>
              <w:rPr>
                <w:rFonts w:hint="eastAsia" w:ascii="宋体" w:hAnsi="宋体"/>
                <w:color w:val="000000" w:themeColor="text1"/>
                <w:szCs w:val="24"/>
                <w:lang w:eastAsia="zh-CN"/>
                <w14:textFill>
                  <w14:solidFill>
                    <w14:schemeClr w14:val="tx1"/>
                  </w14:solidFill>
                </w14:textFill>
              </w:rPr>
              <w:t>隔油池、</w:t>
            </w:r>
            <w:r>
              <w:rPr>
                <w:rFonts w:hint="eastAsia" w:ascii="宋体" w:hAnsi="宋体"/>
                <w:color w:val="000000" w:themeColor="text1"/>
                <w:szCs w:val="24"/>
                <w14:textFill>
                  <w14:solidFill>
                    <w14:schemeClr w14:val="tx1"/>
                  </w14:solidFill>
                </w14:textFill>
              </w:rPr>
              <w:t>化粪池处理后，用于本牡丹园施肥。</w:t>
            </w:r>
          </w:p>
          <w:p>
            <w:pPr>
              <w:ind w:firstLine="495"/>
              <w:rPr>
                <w:rFonts w:ascii="宋体" w:hAnsi="宋体"/>
                <w:color w:val="000000" w:themeColor="text1"/>
                <w:szCs w:val="24"/>
                <w14:textFill>
                  <w14:solidFill>
                    <w14:schemeClr w14:val="tx1"/>
                  </w14:solidFill>
                </w14:textFill>
              </w:rPr>
            </w:pP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2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②</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种植用水</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种植用水约300t/a，基本被植物的根系吸收，不存在废水产生和排放问题。</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3、固体废物影响分析：</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固废为生活垃圾、树枝杂草、废纸箱、化肥包装袋以及农药包装袋（瓶）。</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1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①</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生活垃圾：在厂区食宿员工垃圾产生量按</w:t>
            </w:r>
            <w:r>
              <w:rPr>
                <w:rFonts w:hint="eastAsia" w:ascii="宋体" w:hAnsi="宋体"/>
                <w:color w:val="auto"/>
                <w:szCs w:val="24"/>
              </w:rPr>
              <w:t>0.8kg/人</w:t>
            </w:r>
            <w:r>
              <w:rPr>
                <w:rFonts w:hint="eastAsia" w:ascii="宋体" w:hAnsi="宋体"/>
                <w:color w:val="000000" w:themeColor="text1"/>
                <w:szCs w:val="24"/>
                <w14:textFill>
                  <w14:solidFill>
                    <w14:schemeClr w14:val="tx1"/>
                  </w14:solidFill>
                </w14:textFill>
              </w:rPr>
              <w:t>·日计算，不在厂区食宿员工垃圾产生量按</w:t>
            </w:r>
            <w:r>
              <w:rPr>
                <w:rFonts w:hint="eastAsia" w:ascii="宋体" w:hAnsi="宋体"/>
                <w:color w:val="auto"/>
                <w:szCs w:val="24"/>
              </w:rPr>
              <w:t>0.5kg/人·</w:t>
            </w:r>
            <w:r>
              <w:rPr>
                <w:rFonts w:hint="eastAsia" w:ascii="宋体" w:hAnsi="宋体"/>
                <w:color w:val="000000" w:themeColor="text1"/>
                <w:szCs w:val="24"/>
                <w14:textFill>
                  <w14:solidFill>
                    <w14:schemeClr w14:val="tx1"/>
                  </w14:solidFill>
                </w14:textFill>
              </w:rPr>
              <w:t>日计算，则项目运营期生活垃圾产生量为1.6t/a，由环卫部门定期运至垃圾场处置。</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2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②</w:t>
            </w:r>
            <w:r>
              <w:rPr>
                <w:rFonts w:ascii="宋体" w:hAnsi="宋体"/>
                <w:color w:val="000000" w:themeColor="text1"/>
                <w:szCs w:val="24"/>
                <w14:textFill>
                  <w14:solidFill>
                    <w14:schemeClr w14:val="tx1"/>
                  </w14:solidFill>
                </w14:textFill>
              </w:rPr>
              <w:fldChar w:fldCharType="end"/>
            </w:r>
            <w:r>
              <w:rPr>
                <w:rFonts w:hint="eastAsia" w:ascii="宋体" w:hAnsi="宋体"/>
                <w:color w:val="auto"/>
                <w:szCs w:val="24"/>
              </w:rPr>
              <w:t>树枝杂草的产生量约30t/a（第一年垦荒产生，到第二年就没有了）</w:t>
            </w:r>
            <w:r>
              <w:rPr>
                <w:rFonts w:hint="eastAsia" w:ascii="宋体" w:hAnsi="宋体"/>
                <w:color w:val="000000" w:themeColor="text1"/>
                <w:szCs w:val="24"/>
                <w14:textFill>
                  <w14:solidFill>
                    <w14:schemeClr w14:val="tx1"/>
                  </w14:solidFill>
                </w14:textFill>
              </w:rPr>
              <w:t>，收集后用做柴薪。</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3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③</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废纸箱、化肥包装袋：项目每年施用化肥约45.6吨，产生的废纸箱、化肥包装袋约</w:t>
            </w:r>
            <w:r>
              <w:rPr>
                <w:rFonts w:hint="eastAsia" w:ascii="宋体" w:hAnsi="宋体"/>
                <w:color w:val="auto"/>
                <w:szCs w:val="24"/>
              </w:rPr>
              <w:t>1800个</w:t>
            </w:r>
            <w:r>
              <w:rPr>
                <w:rFonts w:hint="eastAsia" w:ascii="宋体" w:hAnsi="宋体"/>
                <w:color w:val="000000" w:themeColor="text1"/>
                <w:szCs w:val="24"/>
                <w14:textFill>
                  <w14:solidFill>
                    <w14:schemeClr w14:val="tx1"/>
                  </w14:solidFill>
                </w14:textFill>
              </w:rPr>
              <w:t>，收集后回收利用或外卖，不对周围环境造成影响。</w:t>
            </w:r>
          </w:p>
          <w:p>
            <w:pPr>
              <w:ind w:firstLine="495"/>
              <w:rPr>
                <w:rFonts w:ascii="宋体" w:hAnsi="宋体"/>
                <w:color w:val="FF0000"/>
                <w:szCs w:val="24"/>
                <w:u w:val="single"/>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4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④</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农药包装袋（瓶）：本项目每年施用农药约5700Kg，产生的农药包装袋（瓶）属国家规定的危险废物，项目运营期所产生的农药包装袋（瓶）不得随意乱扔，</w:t>
            </w:r>
            <w:r>
              <w:rPr>
                <w:rFonts w:hint="eastAsia" w:ascii="宋体" w:hAnsi="宋体"/>
                <w:color w:val="000000" w:themeColor="text1"/>
                <w:szCs w:val="24"/>
                <w:u w:val="single"/>
                <w14:textFill>
                  <w14:solidFill>
                    <w14:schemeClr w14:val="tx1"/>
                  </w14:solidFill>
                </w14:textFill>
              </w:rPr>
              <w:t>需交由农技站统一收集后交有资质单位处置。</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4、声环境影响分析：</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项目运营期的职工生活及办公产生的噪声声级较低，对周围声环境影响较小。</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5、生态环境影响分析</w:t>
            </w:r>
          </w:p>
          <w:p>
            <w:pPr>
              <w:ind w:firstLine="495"/>
              <w:rPr>
                <w:rFonts w:ascii="宋体" w:hAnsi="宋体"/>
                <w:b/>
                <w:color w:val="000000" w:themeColor="text1"/>
                <w:szCs w:val="24"/>
                <w14:textFill>
                  <w14:solidFill>
                    <w14:schemeClr w14:val="tx1"/>
                  </w14:solidFill>
                </w14:textFill>
              </w:rPr>
            </w:pPr>
            <w:r>
              <w:rPr>
                <w:rFonts w:ascii="宋体" w:hAnsi="宋体"/>
                <w:b/>
                <w:color w:val="000000" w:themeColor="text1"/>
                <w:szCs w:val="24"/>
                <w14:textFill>
                  <w14:solidFill>
                    <w14:schemeClr w14:val="tx1"/>
                  </w14:solidFill>
                </w14:textFill>
              </w:rPr>
              <w:fldChar w:fldCharType="begin"/>
            </w:r>
            <w:r>
              <w:rPr>
                <w:rFonts w:ascii="宋体" w:hAnsi="宋体"/>
                <w:b/>
                <w:color w:val="000000" w:themeColor="text1"/>
                <w:szCs w:val="24"/>
                <w14:textFill>
                  <w14:solidFill>
                    <w14:schemeClr w14:val="tx1"/>
                  </w14:solidFill>
                </w14:textFill>
              </w:rPr>
              <w:instrText xml:space="preserve"> </w:instrText>
            </w:r>
            <w:r>
              <w:rPr>
                <w:rFonts w:hint="eastAsia" w:ascii="宋体" w:hAnsi="宋体"/>
                <w:b/>
                <w:color w:val="000000" w:themeColor="text1"/>
                <w:szCs w:val="24"/>
                <w14:textFill>
                  <w14:solidFill>
                    <w14:schemeClr w14:val="tx1"/>
                  </w14:solidFill>
                </w14:textFill>
              </w:rPr>
              <w:instrText xml:space="preserve">= 1 \* GB4</w:instrText>
            </w:r>
            <w:r>
              <w:rPr>
                <w:rFonts w:ascii="宋体" w:hAnsi="宋体"/>
                <w:b/>
                <w:color w:val="000000" w:themeColor="text1"/>
                <w:szCs w:val="24"/>
                <w14:textFill>
                  <w14:solidFill>
                    <w14:schemeClr w14:val="tx1"/>
                  </w14:solidFill>
                </w14:textFill>
              </w:rPr>
              <w:instrText xml:space="preserve"> </w:instrText>
            </w:r>
            <w:r>
              <w:rPr>
                <w:rFonts w:ascii="宋体" w:hAnsi="宋体"/>
                <w:b/>
                <w:color w:val="000000" w:themeColor="text1"/>
                <w:szCs w:val="24"/>
                <w14:textFill>
                  <w14:solidFill>
                    <w14:schemeClr w14:val="tx1"/>
                  </w14:solidFill>
                </w14:textFill>
              </w:rPr>
              <w:fldChar w:fldCharType="separate"/>
            </w:r>
            <w:r>
              <w:rPr>
                <w:rFonts w:hint="eastAsia" w:ascii="宋体" w:hAnsi="宋体"/>
                <w:b/>
                <w:color w:val="000000" w:themeColor="text1"/>
                <w:szCs w:val="24"/>
                <w14:textFill>
                  <w14:solidFill>
                    <w14:schemeClr w14:val="tx1"/>
                  </w14:solidFill>
                </w14:textFill>
              </w:rPr>
              <w:t>㈠</w:t>
            </w:r>
            <w:r>
              <w:rPr>
                <w:rFonts w:ascii="宋体" w:hAnsi="宋体"/>
                <w:b/>
                <w:color w:val="000000" w:themeColor="text1"/>
                <w:szCs w:val="24"/>
                <w14:textFill>
                  <w14:solidFill>
                    <w14:schemeClr w14:val="tx1"/>
                  </w14:solidFill>
                </w14:textFill>
              </w:rPr>
              <w:fldChar w:fldCharType="end"/>
            </w:r>
            <w:r>
              <w:rPr>
                <w:rFonts w:hint="eastAsia" w:ascii="宋体" w:hAnsi="宋体"/>
                <w:b/>
                <w:color w:val="000000" w:themeColor="text1"/>
                <w:szCs w:val="24"/>
                <w14:textFill>
                  <w14:solidFill>
                    <w14:schemeClr w14:val="tx1"/>
                  </w14:solidFill>
                </w14:textFill>
              </w:rPr>
              <w:t>项目建设对生态环境的负面影响</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1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①</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农药对环境的影响</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施用农药时，大部分农药将降落于地表。附着在植物体表的农药，也会因风吹雨淋二降落至地表。农药对土壤的污染程度与作物种类、栽培情况有关。本项目如不能严格选择农药品种和严格控制农药施用量，忽视对农药使用的严格管理，则会发生残留农药污染地表水、土壤等现象。</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由于80%的残留农药分布在0—20cm的表土层内。随着土层深度的增加，残留农药的浓度逐步降低，50cm以下的土层中难以检出。因此，一般情况下，农药不会通过土壤下渗而对评价区地下水造成污染。</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2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②</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施用复合肥对环境的影响</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长期过量使用化肥，将对土壤中引入非主要营养成分，如硫酸根，氯根、磷酸根等，这些成分将破坏土壤溶液的胶体平衡，造成土壤物理性状恶化，从而降低土壤的生产性能。</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随着土层深度的增加，化肥的浓度逐步降低，50cm以下的土层中难以检出。认为该项目施用化肥不会对评价区地下水造成污染。</w:t>
            </w:r>
          </w:p>
          <w:p>
            <w:pPr>
              <w:ind w:firstLine="495"/>
              <w:rPr>
                <w:rFonts w:ascii="宋体" w:hAnsi="宋体"/>
                <w:color w:val="000000" w:themeColor="text1"/>
                <w:szCs w:val="24"/>
                <w14:textFill>
                  <w14:solidFill>
                    <w14:schemeClr w14:val="tx1"/>
                  </w14:solidFill>
                </w14:textFill>
              </w:rPr>
            </w:pPr>
            <w:r>
              <w:rPr>
                <w:rFonts w:ascii="宋体" w:hAnsi="宋体"/>
                <w:b/>
                <w:color w:val="000000" w:themeColor="text1"/>
                <w:szCs w:val="24"/>
                <w14:textFill>
                  <w14:solidFill>
                    <w14:schemeClr w14:val="tx1"/>
                  </w14:solidFill>
                </w14:textFill>
              </w:rPr>
              <w:fldChar w:fldCharType="begin"/>
            </w:r>
            <w:r>
              <w:rPr>
                <w:rFonts w:ascii="宋体" w:hAnsi="宋体"/>
                <w:b/>
                <w:color w:val="000000" w:themeColor="text1"/>
                <w:szCs w:val="24"/>
                <w14:textFill>
                  <w14:solidFill>
                    <w14:schemeClr w14:val="tx1"/>
                  </w14:solidFill>
                </w14:textFill>
              </w:rPr>
              <w:instrText xml:space="preserve"> </w:instrText>
            </w:r>
            <w:r>
              <w:rPr>
                <w:rFonts w:hint="eastAsia" w:ascii="宋体" w:hAnsi="宋体"/>
                <w:b/>
                <w:color w:val="000000" w:themeColor="text1"/>
                <w:szCs w:val="24"/>
                <w14:textFill>
                  <w14:solidFill>
                    <w14:schemeClr w14:val="tx1"/>
                  </w14:solidFill>
                </w14:textFill>
              </w:rPr>
              <w:instrText xml:space="preserve">= 2 \* GB4</w:instrText>
            </w:r>
            <w:r>
              <w:rPr>
                <w:rFonts w:ascii="宋体" w:hAnsi="宋体"/>
                <w:b/>
                <w:color w:val="000000" w:themeColor="text1"/>
                <w:szCs w:val="24"/>
                <w14:textFill>
                  <w14:solidFill>
                    <w14:schemeClr w14:val="tx1"/>
                  </w14:solidFill>
                </w14:textFill>
              </w:rPr>
              <w:instrText xml:space="preserve"> </w:instrText>
            </w:r>
            <w:r>
              <w:rPr>
                <w:rFonts w:ascii="宋体" w:hAnsi="宋体"/>
                <w:b/>
                <w:color w:val="000000" w:themeColor="text1"/>
                <w:szCs w:val="24"/>
                <w14:textFill>
                  <w14:solidFill>
                    <w14:schemeClr w14:val="tx1"/>
                  </w14:solidFill>
                </w14:textFill>
              </w:rPr>
              <w:fldChar w:fldCharType="separate"/>
            </w:r>
            <w:r>
              <w:rPr>
                <w:rFonts w:hint="eastAsia" w:ascii="宋体" w:hAnsi="宋体"/>
                <w:b/>
                <w:color w:val="000000" w:themeColor="text1"/>
                <w:szCs w:val="24"/>
                <w14:textFill>
                  <w14:solidFill>
                    <w14:schemeClr w14:val="tx1"/>
                  </w14:solidFill>
                </w14:textFill>
              </w:rPr>
              <w:t>㈡</w:t>
            </w:r>
            <w:r>
              <w:rPr>
                <w:rFonts w:ascii="宋体" w:hAnsi="宋体"/>
                <w:b/>
                <w:color w:val="000000" w:themeColor="text1"/>
                <w:szCs w:val="24"/>
                <w14:textFill>
                  <w14:solidFill>
                    <w14:schemeClr w14:val="tx1"/>
                  </w14:solidFill>
                </w14:textFill>
              </w:rPr>
              <w:fldChar w:fldCharType="end"/>
            </w:r>
            <w:r>
              <w:rPr>
                <w:rFonts w:hint="eastAsia" w:ascii="宋体" w:hAnsi="宋体"/>
                <w:b/>
                <w:color w:val="000000" w:themeColor="text1"/>
                <w:szCs w:val="24"/>
                <w14:textFill>
                  <w14:solidFill>
                    <w14:schemeClr w14:val="tx1"/>
                  </w14:solidFill>
                </w14:textFill>
              </w:rPr>
              <w:t>项目建设对生态环境的有利作用</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1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①</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在防止土地石漠化、水土流失方面的作用</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土地长时间的闲置下来，大风天气，风带走大量的土壤，使石头出露，雨季由于土地表面土壤较少，没有保水能力，雨水直接冲刷地表带走大量的土壤和雨水，会使土地逐渐石漠化。牡丹花的种植可以有效地减少风、雨水对土壤的直接作用，风在有植物地表，不能直接对土壤进行作用，对土壤的影响较小；在雨天，雨水首先降落到植物表面，部分被植物叶面吸收，部分流到土壤被植物根系吸收，土壤保存部分水分，雨水不能直接对土壤进行冲刷，有效防止了水土流失。因此，本项目的建设可以起着防止土地石漠化和防止水土流失作用。</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2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②</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对大气的净化作用</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种植大量的绿色植物还可以对大气有着净化的作用，植物通过光合作用保证大气中的氧气和二氧化碳的平衡外，还对各种污染物有吸收、积累、和代谢作用，可以净化空气。</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3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③</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制造氧气及负离子</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植物所释放处的O</w:t>
            </w:r>
            <w:r>
              <w:rPr>
                <w:rFonts w:hint="eastAsia" w:ascii="宋体" w:hAnsi="宋体"/>
                <w:color w:val="000000" w:themeColor="text1"/>
                <w:szCs w:val="24"/>
                <w:vertAlign w:val="subscript"/>
                <w14:textFill>
                  <w14:solidFill>
                    <w14:schemeClr w14:val="tx1"/>
                  </w14:solidFill>
                </w14:textFill>
              </w:rPr>
              <w:t>2</w:t>
            </w:r>
            <w:r>
              <w:rPr>
                <w:rFonts w:hint="eastAsia" w:ascii="宋体" w:hAnsi="宋体"/>
                <w:color w:val="000000" w:themeColor="text1"/>
                <w:szCs w:val="24"/>
                <w14:textFill>
                  <w14:solidFill>
                    <w14:schemeClr w14:val="tx1"/>
                  </w14:solidFill>
                </w14:textFill>
              </w:rPr>
              <w:t>并不完全是分子状态的，有相当一部分是以离子状态存在的。人们常把离子状态的氧称为负离子，负离子氧对人体呼吸和血液循环式十分有益的，因此，某一环境的负离子含量高低，往往成为该地环境质量优劣的重要标志。</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4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④</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吸收温室气体</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由于全球大气中二氧化碳浓度升高而引起的“温室效应”正在恶化人类的生存环境。而缓解温室效应最有效的办法就是保护森林，种植绿色植物，因为绿色植物能吸收二氧化碳释放氧气，对缓解温室效应、改善生态环境是最有效的。</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5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⑤</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增加了地方植被的多样性</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本项目运营后，增加了植被的多样性，使项目区植被种类增加，改善了区域小环境空气质量。</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综上，该项目的建设对所在地周围的生态环境影响有益。</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6、公众参与</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公众参与是协调工程建设和社会影响的一种重要手段，公众参与可以动员社会各方面的人员关心环境保护，参与环境建设，同时可以判断建设项目对造成的环境影响所支付的社会成本提供重要依据。</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因本项目周围500米内无居民，本次环评征求乡镇意见，乡镇同意本项目落户在该范围内。详见附件。</w:t>
            </w:r>
          </w:p>
          <w:p>
            <w:pPr>
              <w:ind w:firstLine="495"/>
              <w:rPr>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7、</w:t>
            </w:r>
            <w:r>
              <w:rPr>
                <w:rFonts w:hint="eastAsia"/>
                <w:b/>
                <w:color w:val="000000" w:themeColor="text1"/>
                <w:szCs w:val="24"/>
                <w14:textFill>
                  <w14:solidFill>
                    <w14:schemeClr w14:val="tx1"/>
                  </w14:solidFill>
                </w14:textFill>
              </w:rPr>
              <w:t>清洁生产</w:t>
            </w:r>
          </w:p>
          <w:p>
            <w:pPr>
              <w:ind w:firstLine="495"/>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清洁生产是从生态经济大系统的整体优化出发，对物质转化的全过程不断采取战略性、综合性、预防性措施，以提高物料和能源的利用率，减少甚至消除废料的生成和排放，降低生产活动对资源的过度使用以及对人类和环境造成的危险，实现社会的持续发展。清洁生产有两方面的含义，一是通过资源的综合利用、短缺资源的代用、二次资源的利用以及节能、省料、节水，合理利用自然资源、减缓资源的耗竭；二是减少废料和污染物的生成和排放，促进工业产品的生产、消费过程与环境相容，降低整个工业活动对人类和环境的风险。</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本项目符合清洁生产。</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8、环境风险分析</w:t>
            </w:r>
          </w:p>
          <w:p>
            <w:pPr>
              <w:pStyle w:val="2"/>
              <w:ind w:firstLine="480" w:firstLineChars="200"/>
              <w:rPr>
                <w:color w:val="000000" w:themeColor="text1"/>
                <w14:textFill>
                  <w14:solidFill>
                    <w14:schemeClr w14:val="tx1"/>
                  </w14:solidFill>
                </w14:textFill>
              </w:rPr>
            </w:pPr>
            <w:r>
              <w:rPr>
                <w:rFonts w:hint="eastAsia" w:ascii="宋体" w:hAnsi="宋体"/>
                <w:color w:val="000000" w:themeColor="text1"/>
                <w:szCs w:val="24"/>
                <w14:textFill>
                  <w14:solidFill>
                    <w14:schemeClr w14:val="tx1"/>
                  </w14:solidFill>
                </w14:textFill>
              </w:rPr>
              <w:t>本项目风险因素主要来自于农药化肥污染和特殊气候</w:t>
            </w:r>
            <w:r>
              <w:rPr>
                <w:rFonts w:hint="eastAsia"/>
                <w:color w:val="000000" w:themeColor="text1"/>
                <w14:textFill>
                  <w14:solidFill>
                    <w14:schemeClr w14:val="tx1"/>
                  </w14:solidFill>
                </w14:textFill>
              </w:rPr>
              <w:t>环境下本项目对周围环境造成的影响。</w:t>
            </w:r>
          </w:p>
          <w:p>
            <w:pPr>
              <w:pStyle w:val="2"/>
              <w:ind w:firstLine="480" w:firstLineChars="200"/>
              <w:rPr>
                <w:color w:val="000000" w:themeColor="text1"/>
                <w14:textFill>
                  <w14:solidFill>
                    <w14:schemeClr w14:val="tx1"/>
                  </w14:solidFill>
                </w14:textFill>
              </w:rPr>
            </w:pPr>
            <w:r>
              <w:rPr>
                <w:rFonts w:hint="eastAsia" w:ascii="宋体" w:hAnsi="宋体"/>
                <w:color w:val="000000" w:themeColor="text1"/>
                <w:szCs w:val="24"/>
                <w14:textFill>
                  <w14:solidFill>
                    <w14:schemeClr w14:val="tx1"/>
                  </w14:solidFill>
                </w14:textFill>
              </w:rPr>
              <w:t>1、农药化肥污染分析：</w:t>
            </w:r>
          </w:p>
          <w:p>
            <w:pPr>
              <w:pStyle w:val="2"/>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长期过量使用化肥，将对土壤中引入非主要营养成分，如硫铵中的硫酸根，氯铵中的氯根等，这些成分将破坏土壤溶液的胶体平衡，造成土壤物理性状恶化，从而降低土壤的生产性能。</w:t>
            </w:r>
          </w:p>
          <w:p>
            <w:pPr>
              <w:pStyle w:val="2"/>
              <w:ind w:firstLine="480" w:firstLineChars="200"/>
              <w:rPr>
                <w:color w:val="000000" w:themeColor="text1"/>
                <w14:textFill>
                  <w14:solidFill>
                    <w14:schemeClr w14:val="tx1"/>
                  </w14:solidFill>
                </w14:textFill>
              </w:rPr>
            </w:pPr>
            <w:r>
              <w:rPr>
                <w:rFonts w:hint="eastAsia" w:ascii="宋体" w:hAnsi="宋体"/>
                <w:color w:val="000000" w:themeColor="text1"/>
                <w:szCs w:val="24"/>
                <w14:textFill>
                  <w14:solidFill>
                    <w14:schemeClr w14:val="tx1"/>
                  </w14:solidFill>
                </w14:textFill>
              </w:rPr>
              <w:t>2</w:t>
            </w:r>
            <w:r>
              <w:rPr>
                <w:rFonts w:hint="eastAsia" w:ascii="宋体" w:hAnsi="宋体"/>
                <w:color w:val="auto"/>
                <w:szCs w:val="24"/>
              </w:rPr>
              <w:t>、特殊气候</w:t>
            </w:r>
            <w:r>
              <w:rPr>
                <w:rFonts w:hint="eastAsia"/>
                <w:color w:val="auto"/>
              </w:rPr>
              <w:t>环境下本项目</w:t>
            </w:r>
            <w:r>
              <w:rPr>
                <w:rFonts w:hint="eastAsia"/>
                <w:color w:val="000000" w:themeColor="text1"/>
                <w14:textFill>
                  <w14:solidFill>
                    <w14:schemeClr w14:val="tx1"/>
                  </w14:solidFill>
                </w14:textFill>
              </w:rPr>
              <w:t>对周围环境造成的影响分析：</w:t>
            </w:r>
          </w:p>
          <w:p>
            <w:pPr>
              <w:pStyle w:val="2"/>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平江县的1月平均气温4.9℃，极端最低气温为-12℃（1972年2月9日），7月平均气温28.6℃，极端最高气温40.3℃（1971年7月26日），牡丹花的花期一般在4月份左右，所以极端低温、高温天气不会对项目周围环境造成影响；农药的施用会避开大风期间，因此大风天气不会对项目周围环境造成影响；平江县年平均降水量1450.8毫米，雨雪160天。常年雨季从四月初开始，持续80天，雨季降水最占全年降水量的50%。长期降雨将对项目造成一定的不利影响，如植物的根系长期浸泡在水中容易腐烂，因此建设单位须建好雨水沟，保证在雨季园区不出现积水现象。</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3、农药化肥污染防范措施：</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1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①</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建议园内病虫采用生物防治、物理防治等，以达到减少或不用农药。（生物防治：利用益虫吃害虫；  物理防治：在害虫繁殖期间，在园内树立起涂抹花生油的黄色板，吸引害虫；用灯光吸引飞蛾等害虫）。</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2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②</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严格选择农药品种和严格控制农药施用量，对农药的使用严格管理以减少其使用量，从而减少对周围环境的影响。</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3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③</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注意增施有机肥和配合施用氮、磷、钾化肥，以减少化肥的使用量，从而减少对环境的影响。</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9、项目可行性分析</w:t>
            </w:r>
          </w:p>
          <w:p>
            <w:pPr>
              <w:ind w:firstLine="495"/>
              <w:rPr>
                <w:rFonts w:ascii="宋体" w:hAnsi="宋体"/>
                <w:b/>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1、产业政策相符性分析</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按国家发展和改革委员会发布的《产业结构调整指导目录2011年本》(2013年修正)中，蔬菜、瓜果、花卉设施栽培（含无土栽培）先进技术开发与应用，该项目属农业，且属于《产业结构调整指导目录2011年本》(2013年修正)中鼓励类项目。因此，该项目符合国家和地方有关产业政策规定。</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2、选址合理性分析</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建设项目主要从以下几个方面对厂址的可行性进行论述：</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（1）与规划的相容性</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建设项目建设区域位于平江县上塔市镇苍霞村，建设地地质条件良好，项目的建设对区域经济有一定的推动作用。</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（2）对重要保护目标的环境影响</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建设项目污染小，附近无国家级、省级重点文物保护单位，无医院、生态保护区等敏感保护目标。不会构成对重要环境保护目标的污染影响。</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（3）公共设施建设情况</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供水、供电设施齐备。</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（4）交通运输</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项目所在地交通十分便利。</w:t>
            </w:r>
          </w:p>
          <w:p>
            <w:pP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综合以上分析，本项目建设符合规划要求，周围无重要环境保护目标，周围环境满足各自的功能区划，选址可行。</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10、项目环保投资估算</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该工程总投资约5000万元，其中环保投资约30万，环保投资约占工程总投资的0.6%，水土保持投资约100万元，环保建设内容如下表。</w:t>
            </w:r>
          </w:p>
          <w:p>
            <w:pPr>
              <w:ind w:firstLine="495"/>
              <w:jc w:val="center"/>
              <w:rPr>
                <w:rFonts w:ascii="宋体" w:hAnsi="宋体"/>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表六：项目环保投资一览表</w:t>
            </w:r>
          </w:p>
          <w:tbl>
            <w:tblPr>
              <w:tblStyle w:val="1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755"/>
              <w:gridCol w:w="2923"/>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26"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类别</w:t>
                  </w:r>
                </w:p>
              </w:tc>
              <w:tc>
                <w:tcPr>
                  <w:tcW w:w="175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污染物</w:t>
                  </w:r>
                </w:p>
              </w:tc>
              <w:tc>
                <w:tcPr>
                  <w:tcW w:w="2923"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治理措施</w:t>
                  </w:r>
                </w:p>
              </w:tc>
              <w:tc>
                <w:tcPr>
                  <w:tcW w:w="2318"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投资费用（万元）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26"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废气</w:t>
                  </w:r>
                </w:p>
              </w:tc>
              <w:tc>
                <w:tcPr>
                  <w:tcW w:w="175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食堂油烟</w:t>
                  </w:r>
                </w:p>
              </w:tc>
              <w:tc>
                <w:tcPr>
                  <w:tcW w:w="2923"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油烟净化器、</w:t>
                  </w:r>
                  <w:r>
                    <w:rPr>
                      <w:rFonts w:hint="eastAsia" w:ascii="宋体" w:hAnsi="宋体"/>
                      <w:color w:val="000000" w:themeColor="text1"/>
                      <w:sz w:val="21"/>
                      <w:lang w:val="en-US" w:eastAsia="zh-CN"/>
                      <w14:textFill>
                        <w14:solidFill>
                          <w14:schemeClr w14:val="tx1"/>
                        </w14:solidFill>
                      </w14:textFill>
                    </w:rPr>
                    <w:t>1个</w:t>
                  </w:r>
                  <w:r>
                    <w:rPr>
                      <w:rFonts w:hint="eastAsia" w:ascii="宋体" w:hAnsi="宋体"/>
                      <w:color w:val="000000" w:themeColor="text1"/>
                      <w:sz w:val="21"/>
                      <w14:textFill>
                        <w14:solidFill>
                          <w14:schemeClr w14:val="tx1"/>
                        </w14:solidFill>
                      </w14:textFill>
                    </w:rPr>
                    <w:t>排气烟道</w:t>
                  </w:r>
                </w:p>
              </w:tc>
              <w:tc>
                <w:tcPr>
                  <w:tcW w:w="2318"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26" w:type="dxa"/>
                  <w:vMerge w:val="restart"/>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废水</w:t>
                  </w:r>
                </w:p>
              </w:tc>
              <w:tc>
                <w:tcPr>
                  <w:tcW w:w="175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生活废水</w:t>
                  </w:r>
                </w:p>
              </w:tc>
              <w:tc>
                <w:tcPr>
                  <w:tcW w:w="2923"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化粪池、隔油池</w:t>
                  </w:r>
                </w:p>
              </w:tc>
              <w:tc>
                <w:tcPr>
                  <w:tcW w:w="2318"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26"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c>
                <w:tcPr>
                  <w:tcW w:w="175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w:t>
                  </w:r>
                </w:p>
              </w:tc>
              <w:tc>
                <w:tcPr>
                  <w:tcW w:w="2923"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雨污分流</w:t>
                  </w:r>
                </w:p>
              </w:tc>
              <w:tc>
                <w:tcPr>
                  <w:tcW w:w="2318"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26" w:type="dxa"/>
                  <w:vMerge w:val="restart"/>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固废</w:t>
                  </w:r>
                </w:p>
              </w:tc>
              <w:tc>
                <w:tcPr>
                  <w:tcW w:w="175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一般固废</w:t>
                  </w:r>
                </w:p>
              </w:tc>
              <w:tc>
                <w:tcPr>
                  <w:tcW w:w="2923"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树枝收集、存储</w:t>
                  </w:r>
                </w:p>
              </w:tc>
              <w:tc>
                <w:tcPr>
                  <w:tcW w:w="2318"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26"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c>
                <w:tcPr>
                  <w:tcW w:w="175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农药包装袋（瓶）</w:t>
                  </w:r>
                </w:p>
              </w:tc>
              <w:tc>
                <w:tcPr>
                  <w:tcW w:w="2923" w:type="dxa"/>
                  <w:vAlign w:val="center"/>
                </w:tcPr>
                <w:p>
                  <w:pPr>
                    <w:spacing w:line="240" w:lineRule="auto"/>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由农技站统一收集后交有资质单位处置</w:t>
                  </w:r>
                </w:p>
              </w:tc>
              <w:tc>
                <w:tcPr>
                  <w:tcW w:w="2318"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26"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其他</w:t>
                  </w:r>
                </w:p>
              </w:tc>
              <w:tc>
                <w:tcPr>
                  <w:tcW w:w="1755"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w:t>
                  </w:r>
                </w:p>
              </w:tc>
              <w:tc>
                <w:tcPr>
                  <w:tcW w:w="2923"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消防措施（蓄水池、灭火器等）</w:t>
                  </w:r>
                </w:p>
              </w:tc>
              <w:tc>
                <w:tcPr>
                  <w:tcW w:w="2318"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6204" w:type="dxa"/>
                  <w:gridSpan w:val="3"/>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合计</w:t>
                  </w:r>
                </w:p>
              </w:tc>
              <w:tc>
                <w:tcPr>
                  <w:tcW w:w="2318"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30</w:t>
                  </w:r>
                </w:p>
              </w:tc>
            </w:tr>
          </w:tbl>
          <w:p>
            <w:pPr>
              <w:rPr>
                <w:rFonts w:ascii="宋体" w:hAnsi="宋体"/>
                <w:b/>
                <w:color w:val="000000" w:themeColor="text1"/>
                <w:szCs w:val="24"/>
                <w14:textFill>
                  <w14:solidFill>
                    <w14:schemeClr w14:val="tx1"/>
                  </w14:solidFill>
                </w14:textFill>
              </w:rPr>
            </w:pPr>
          </w:p>
          <w:p>
            <w:pPr>
              <w:ind w:firstLine="482" w:firstLineChars="200"/>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11、项目验收监测</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项目验收监测内容见表8.</w:t>
            </w:r>
          </w:p>
          <w:p>
            <w:pPr>
              <w:ind w:firstLine="495"/>
              <w:jc w:val="center"/>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表8 项目“三同时”竣工验收监测内容表</w:t>
            </w:r>
          </w:p>
          <w:tbl>
            <w:tblPr>
              <w:tblStyle w:val="11"/>
              <w:tblW w:w="89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3216"/>
              <w:gridCol w:w="2094"/>
              <w:gridCol w:w="2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3"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验收类别</w:t>
                  </w:r>
                </w:p>
              </w:tc>
              <w:tc>
                <w:tcPr>
                  <w:tcW w:w="3216"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验收内容</w:t>
                  </w:r>
                </w:p>
              </w:tc>
              <w:tc>
                <w:tcPr>
                  <w:tcW w:w="2094"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处理措施</w:t>
                  </w:r>
                </w:p>
              </w:tc>
              <w:tc>
                <w:tcPr>
                  <w:tcW w:w="2586"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验收执行标准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3"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废气</w:t>
                  </w:r>
                </w:p>
              </w:tc>
              <w:tc>
                <w:tcPr>
                  <w:tcW w:w="3216"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食堂油烟净化器</w:t>
                  </w:r>
                </w:p>
              </w:tc>
              <w:tc>
                <w:tcPr>
                  <w:tcW w:w="2094"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油烟净化器</w:t>
                  </w:r>
                </w:p>
              </w:tc>
              <w:tc>
                <w:tcPr>
                  <w:tcW w:w="2586"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达到《饮食油烟排放标准》（GB18483-2001）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3"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废水</w:t>
                  </w:r>
                </w:p>
              </w:tc>
              <w:tc>
                <w:tcPr>
                  <w:tcW w:w="3216"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雨污分流管网、化粪池、隔油池</w:t>
                  </w:r>
                </w:p>
              </w:tc>
              <w:tc>
                <w:tcPr>
                  <w:tcW w:w="2094"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综合利用、不外排</w:t>
                  </w:r>
                </w:p>
              </w:tc>
              <w:tc>
                <w:tcPr>
                  <w:tcW w:w="2586" w:type="dxa"/>
                  <w:vMerge w:val="restart"/>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综合利用，合理处置、达到环保要求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3" w:type="dxa"/>
                  <w:vMerge w:val="restart"/>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固废</w:t>
                  </w:r>
                </w:p>
              </w:tc>
              <w:tc>
                <w:tcPr>
                  <w:tcW w:w="3216"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生活垃圾</w:t>
                  </w:r>
                </w:p>
              </w:tc>
              <w:tc>
                <w:tcPr>
                  <w:tcW w:w="2094"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环卫部门定期回收</w:t>
                  </w:r>
                </w:p>
              </w:tc>
              <w:tc>
                <w:tcPr>
                  <w:tcW w:w="2586" w:type="dxa"/>
                  <w:vMerge w:val="continue"/>
                  <w:vAlign w:val="center"/>
                </w:tcPr>
                <w:p>
                  <w:pPr>
                    <w:jc w:val="center"/>
                    <w:rPr>
                      <w:rFonts w:ascii="宋体" w:hAnsi="宋体"/>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3" w:type="dxa"/>
                  <w:vMerge w:val="continue"/>
                  <w:vAlign w:val="center"/>
                </w:tcPr>
                <w:p>
                  <w:pPr>
                    <w:jc w:val="center"/>
                    <w:rPr>
                      <w:rFonts w:ascii="宋体" w:hAnsi="宋体"/>
                      <w:color w:val="000000" w:themeColor="text1"/>
                      <w:sz w:val="21"/>
                      <w14:textFill>
                        <w14:solidFill>
                          <w14:schemeClr w14:val="tx1"/>
                        </w14:solidFill>
                      </w14:textFill>
                    </w:rPr>
                  </w:pPr>
                </w:p>
              </w:tc>
              <w:tc>
                <w:tcPr>
                  <w:tcW w:w="3216"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树枝杂草</w:t>
                  </w:r>
                </w:p>
              </w:tc>
              <w:tc>
                <w:tcPr>
                  <w:tcW w:w="2094"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收集后用做柴薪</w:t>
                  </w:r>
                </w:p>
              </w:tc>
              <w:tc>
                <w:tcPr>
                  <w:tcW w:w="2586" w:type="dxa"/>
                  <w:vMerge w:val="continue"/>
                  <w:vAlign w:val="center"/>
                </w:tcPr>
                <w:p>
                  <w:pPr>
                    <w:jc w:val="center"/>
                    <w:rPr>
                      <w:rFonts w:ascii="宋体" w:hAnsi="宋体"/>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3" w:type="dxa"/>
                  <w:vMerge w:val="continue"/>
                  <w:vAlign w:val="center"/>
                </w:tcPr>
                <w:p>
                  <w:pPr>
                    <w:spacing w:line="240" w:lineRule="auto"/>
                    <w:jc w:val="center"/>
                    <w:rPr>
                      <w:rFonts w:ascii="宋体" w:hAnsi="宋体"/>
                      <w:color w:val="000000" w:themeColor="text1"/>
                      <w:sz w:val="21"/>
                      <w14:textFill>
                        <w14:solidFill>
                          <w14:schemeClr w14:val="tx1"/>
                        </w14:solidFill>
                      </w14:textFill>
                    </w:rPr>
                  </w:pPr>
                </w:p>
              </w:tc>
              <w:tc>
                <w:tcPr>
                  <w:tcW w:w="3216"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农药包装袋（瓶）</w:t>
                  </w:r>
                </w:p>
              </w:tc>
              <w:tc>
                <w:tcPr>
                  <w:tcW w:w="2094" w:type="dxa"/>
                  <w:vAlign w:val="center"/>
                </w:tcPr>
                <w:p>
                  <w:pPr>
                    <w:spacing w:line="240" w:lineRule="auto"/>
                    <w:jc w:val="center"/>
                    <w:rPr>
                      <w:rFonts w:ascii="宋体" w:hAnsi="宋体"/>
                      <w:color w:val="000000" w:themeColor="text1"/>
                      <w:sz w:val="21"/>
                      <w:u w:val="single"/>
                      <w14:textFill>
                        <w14:solidFill>
                          <w14:schemeClr w14:val="tx1"/>
                        </w14:solidFill>
                      </w14:textFill>
                    </w:rPr>
                  </w:pPr>
                  <w:r>
                    <w:rPr>
                      <w:rFonts w:hint="eastAsia" w:ascii="宋体" w:hAnsi="宋体"/>
                      <w:color w:val="000000" w:themeColor="text1"/>
                      <w:sz w:val="21"/>
                      <w:u w:val="single"/>
                      <w14:textFill>
                        <w14:solidFill>
                          <w14:schemeClr w14:val="tx1"/>
                        </w14:solidFill>
                      </w14:textFill>
                    </w:rPr>
                    <w:t>由农技站统一收集后交有资质单位处置</w:t>
                  </w:r>
                </w:p>
              </w:tc>
              <w:tc>
                <w:tcPr>
                  <w:tcW w:w="2586" w:type="dxa"/>
                  <w:vAlign w:val="center"/>
                </w:tcPr>
                <w:p>
                  <w:pPr>
                    <w:spacing w:line="240" w:lineRule="auto"/>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3"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其他</w:t>
                  </w:r>
                </w:p>
              </w:tc>
              <w:tc>
                <w:tcPr>
                  <w:tcW w:w="3216"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消防设施</w:t>
                  </w:r>
                </w:p>
              </w:tc>
              <w:tc>
                <w:tcPr>
                  <w:tcW w:w="2094" w:type="dxa"/>
                  <w:vAlign w:val="center"/>
                </w:tcPr>
                <w:p>
                  <w:pPr>
                    <w:jc w:val="center"/>
                    <w:rPr>
                      <w:rFonts w:ascii="宋体" w:hAnsi="宋体"/>
                      <w:color w:val="000000" w:themeColor="text1"/>
                      <w:sz w:val="21"/>
                      <w14:textFill>
                        <w14:solidFill>
                          <w14:schemeClr w14:val="tx1"/>
                        </w14:solidFill>
                      </w14:textFill>
                    </w:rPr>
                  </w:pPr>
                  <w:r>
                    <w:rPr>
                      <w:rFonts w:hint="eastAsia" w:ascii="宋体" w:hAnsi="宋体"/>
                      <w:color w:val="000000" w:themeColor="text1"/>
                      <w:sz w:val="21"/>
                      <w14:textFill>
                        <w14:solidFill>
                          <w14:schemeClr w14:val="tx1"/>
                        </w14:solidFill>
                      </w14:textFill>
                    </w:rPr>
                    <w:t>/</w:t>
                  </w:r>
                </w:p>
              </w:tc>
              <w:tc>
                <w:tcPr>
                  <w:tcW w:w="2586" w:type="dxa"/>
                  <w:vAlign w:val="center"/>
                </w:tcPr>
                <w:p>
                  <w:pPr>
                    <w:jc w:val="center"/>
                    <w:rPr>
                      <w:rFonts w:ascii="宋体" w:hAnsi="宋体"/>
                      <w:color w:val="000000" w:themeColor="text1"/>
                      <w:sz w:val="21"/>
                      <w14:textFill>
                        <w14:solidFill>
                          <w14:schemeClr w14:val="tx1"/>
                        </w14:solidFill>
                      </w14:textFill>
                    </w:rPr>
                  </w:pPr>
                </w:p>
              </w:tc>
            </w:tr>
          </w:tbl>
          <w:p>
            <w:pPr>
              <w:ind w:right="29" w:rightChars="12" w:firstLine="472" w:firstLineChars="196"/>
              <w:rPr>
                <w:rFonts w:hint="eastAsia" w:ascii="宋体" w:hAnsi="宋体"/>
                <w:b/>
                <w:color w:val="auto"/>
              </w:rPr>
            </w:pPr>
          </w:p>
          <w:p>
            <w:pPr>
              <w:ind w:right="29" w:rightChars="12" w:firstLine="472" w:firstLineChars="196"/>
              <w:rPr>
                <w:rFonts w:ascii="宋体" w:hAnsi="宋体"/>
                <w:b/>
                <w:color w:val="auto"/>
              </w:rPr>
            </w:pPr>
            <w:r>
              <w:rPr>
                <w:rFonts w:hint="eastAsia" w:ascii="宋体" w:hAnsi="宋体"/>
                <w:b/>
                <w:color w:val="auto"/>
              </w:rPr>
              <w:t>12、环境监测与环境管理</w:t>
            </w:r>
          </w:p>
          <w:p>
            <w:pPr>
              <w:ind w:right="29" w:rightChars="12" w:firstLine="470" w:firstLineChars="196"/>
              <w:rPr>
                <w:rFonts w:ascii="宋体" w:hAnsi="宋体"/>
                <w:color w:val="auto"/>
              </w:rPr>
            </w:pPr>
            <w:r>
              <w:rPr>
                <w:rFonts w:hint="eastAsia" w:ascii="宋体" w:hAnsi="宋体"/>
                <w:color w:val="auto"/>
              </w:rPr>
              <w:t>为了解项目的环境影响及环境质量变化趋势，应建立污染源分类技术档案和监测档案，为环境污染治理提供必要的依据。环境监测计划安排如下。</w:t>
            </w:r>
          </w:p>
          <w:p>
            <w:pPr>
              <w:ind w:right="29" w:rightChars="12"/>
              <w:rPr>
                <w:rFonts w:ascii="宋体" w:hAnsi="宋体"/>
                <w:color w:val="auto"/>
              </w:rPr>
            </w:pPr>
            <w:r>
              <w:rPr>
                <w:rFonts w:hint="eastAsia" w:ascii="宋体" w:hAnsi="宋体"/>
                <w:color w:val="auto"/>
                <w:lang w:eastAsia="zh-CN"/>
              </w:rPr>
              <w:t>　　</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 1 \* GB3</w:instrText>
            </w:r>
            <w:r>
              <w:rPr>
                <w:rFonts w:ascii="宋体" w:hAnsi="宋体"/>
                <w:color w:val="auto"/>
              </w:rPr>
              <w:instrText xml:space="preserve"> </w:instrText>
            </w:r>
            <w:r>
              <w:rPr>
                <w:rFonts w:ascii="宋体" w:hAnsi="宋体"/>
                <w:color w:val="auto"/>
              </w:rPr>
              <w:fldChar w:fldCharType="separate"/>
            </w:r>
            <w:r>
              <w:rPr>
                <w:rFonts w:hint="eastAsia" w:ascii="宋体" w:hAnsi="宋体"/>
                <w:color w:val="auto"/>
              </w:rPr>
              <w:t>①</w:t>
            </w:r>
            <w:r>
              <w:rPr>
                <w:rFonts w:ascii="宋体" w:hAnsi="宋体"/>
                <w:color w:val="auto"/>
              </w:rPr>
              <w:fldChar w:fldCharType="end"/>
            </w:r>
            <w:r>
              <w:rPr>
                <w:rFonts w:hint="eastAsia" w:ascii="宋体" w:hAnsi="宋体"/>
                <w:color w:val="auto"/>
              </w:rPr>
              <w:t>监测计划</w:t>
            </w:r>
          </w:p>
          <w:tbl>
            <w:tblPr>
              <w:tblStyle w:val="11"/>
              <w:tblW w:w="8104" w:type="dxa"/>
              <w:jc w:val="center"/>
              <w:tblInd w:w="8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753"/>
              <w:gridCol w:w="2739"/>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366" w:type="dxa"/>
                  <w:vAlign w:val="center"/>
                </w:tcPr>
                <w:p>
                  <w:pPr>
                    <w:ind w:right="29" w:rightChars="12"/>
                    <w:jc w:val="center"/>
                    <w:rPr>
                      <w:rFonts w:ascii="宋体" w:hAnsi="宋体"/>
                      <w:color w:val="auto"/>
                      <w:sz w:val="21"/>
                    </w:rPr>
                  </w:pPr>
                  <w:r>
                    <w:rPr>
                      <w:rFonts w:hint="eastAsia" w:ascii="宋体" w:hAnsi="宋体"/>
                      <w:color w:val="auto"/>
                      <w:sz w:val="21"/>
                    </w:rPr>
                    <w:t>序号</w:t>
                  </w:r>
                </w:p>
              </w:tc>
              <w:tc>
                <w:tcPr>
                  <w:tcW w:w="1753" w:type="dxa"/>
                  <w:vAlign w:val="center"/>
                </w:tcPr>
                <w:p>
                  <w:pPr>
                    <w:ind w:right="29" w:rightChars="12"/>
                    <w:jc w:val="center"/>
                    <w:rPr>
                      <w:rFonts w:ascii="宋体" w:hAnsi="宋体"/>
                      <w:color w:val="auto"/>
                      <w:sz w:val="21"/>
                    </w:rPr>
                  </w:pPr>
                  <w:r>
                    <w:rPr>
                      <w:rFonts w:hint="eastAsia" w:ascii="宋体" w:hAnsi="宋体"/>
                      <w:color w:val="auto"/>
                      <w:sz w:val="21"/>
                    </w:rPr>
                    <w:t>监测内容</w:t>
                  </w:r>
                </w:p>
              </w:tc>
              <w:tc>
                <w:tcPr>
                  <w:tcW w:w="2739" w:type="dxa"/>
                  <w:vAlign w:val="center"/>
                </w:tcPr>
                <w:p>
                  <w:pPr>
                    <w:ind w:right="29" w:rightChars="12"/>
                    <w:jc w:val="center"/>
                    <w:rPr>
                      <w:rFonts w:ascii="宋体" w:hAnsi="宋体"/>
                      <w:color w:val="auto"/>
                      <w:sz w:val="21"/>
                    </w:rPr>
                  </w:pPr>
                  <w:r>
                    <w:rPr>
                      <w:rFonts w:hint="eastAsia" w:ascii="宋体" w:hAnsi="宋体"/>
                      <w:color w:val="auto"/>
                      <w:sz w:val="21"/>
                    </w:rPr>
                    <w:t>监测因子</w:t>
                  </w:r>
                </w:p>
              </w:tc>
              <w:tc>
                <w:tcPr>
                  <w:tcW w:w="2246" w:type="dxa"/>
                  <w:vAlign w:val="center"/>
                </w:tcPr>
                <w:p>
                  <w:pPr>
                    <w:ind w:right="29" w:rightChars="12"/>
                    <w:jc w:val="center"/>
                    <w:rPr>
                      <w:rFonts w:ascii="宋体" w:hAnsi="宋体"/>
                      <w:color w:val="auto"/>
                      <w:sz w:val="21"/>
                    </w:rPr>
                  </w:pPr>
                  <w:r>
                    <w:rPr>
                      <w:rFonts w:hint="eastAsia" w:ascii="宋体" w:hAnsi="宋体"/>
                      <w:color w:val="auto"/>
                      <w:sz w:val="21"/>
                    </w:rPr>
                    <w:t>监测点位及频率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6" w:type="dxa"/>
                  <w:vAlign w:val="center"/>
                </w:tcPr>
                <w:p>
                  <w:pPr>
                    <w:ind w:right="29" w:rightChars="12"/>
                    <w:jc w:val="center"/>
                    <w:rPr>
                      <w:rFonts w:ascii="宋体" w:hAnsi="宋体"/>
                      <w:color w:val="auto"/>
                      <w:sz w:val="21"/>
                    </w:rPr>
                  </w:pPr>
                  <w:r>
                    <w:rPr>
                      <w:rFonts w:hint="eastAsia" w:ascii="宋体" w:hAnsi="宋体"/>
                      <w:color w:val="auto"/>
                      <w:sz w:val="21"/>
                    </w:rPr>
                    <w:t>1</w:t>
                  </w:r>
                </w:p>
              </w:tc>
              <w:tc>
                <w:tcPr>
                  <w:tcW w:w="1753" w:type="dxa"/>
                  <w:vAlign w:val="center"/>
                </w:tcPr>
                <w:p>
                  <w:pPr>
                    <w:ind w:right="29" w:rightChars="12"/>
                    <w:jc w:val="center"/>
                    <w:rPr>
                      <w:rFonts w:ascii="宋体" w:hAnsi="宋体"/>
                      <w:color w:val="auto"/>
                      <w:sz w:val="21"/>
                    </w:rPr>
                  </w:pPr>
                  <w:r>
                    <w:rPr>
                      <w:rFonts w:hint="eastAsia" w:ascii="宋体" w:hAnsi="宋体"/>
                      <w:color w:val="auto"/>
                      <w:sz w:val="21"/>
                    </w:rPr>
                    <w:t>水污染物</w:t>
                  </w:r>
                </w:p>
              </w:tc>
              <w:tc>
                <w:tcPr>
                  <w:tcW w:w="2739" w:type="dxa"/>
                  <w:vAlign w:val="center"/>
                </w:tcPr>
                <w:p>
                  <w:pPr>
                    <w:ind w:right="29" w:rightChars="12"/>
                    <w:jc w:val="center"/>
                    <w:rPr>
                      <w:rFonts w:ascii="宋体" w:hAnsi="宋体"/>
                      <w:color w:val="auto"/>
                      <w:sz w:val="21"/>
                    </w:rPr>
                  </w:pPr>
                  <w:r>
                    <w:rPr>
                      <w:rFonts w:hint="eastAsia" w:ascii="宋体" w:hAnsi="宋体"/>
                      <w:color w:val="auto"/>
                      <w:sz w:val="21"/>
                    </w:rPr>
                    <w:t>COD、BOD</w:t>
                  </w:r>
                  <w:r>
                    <w:rPr>
                      <w:rFonts w:hint="eastAsia" w:ascii="宋体" w:hAnsi="宋体"/>
                      <w:color w:val="auto"/>
                      <w:sz w:val="21"/>
                      <w:vertAlign w:val="subscript"/>
                    </w:rPr>
                    <w:t>5</w:t>
                  </w:r>
                  <w:r>
                    <w:rPr>
                      <w:rFonts w:hint="eastAsia" w:ascii="宋体" w:hAnsi="宋体"/>
                      <w:color w:val="auto"/>
                      <w:sz w:val="21"/>
                    </w:rPr>
                    <w:t>、氨氮、SS</w:t>
                  </w:r>
                </w:p>
              </w:tc>
              <w:tc>
                <w:tcPr>
                  <w:tcW w:w="2246" w:type="dxa"/>
                  <w:vAlign w:val="center"/>
                </w:tcPr>
                <w:p>
                  <w:pPr>
                    <w:ind w:right="29" w:rightChars="12"/>
                    <w:jc w:val="center"/>
                    <w:rPr>
                      <w:rFonts w:ascii="宋体" w:hAnsi="宋体"/>
                      <w:color w:val="auto"/>
                      <w:sz w:val="21"/>
                    </w:rPr>
                  </w:pPr>
                  <w:r>
                    <w:rPr>
                      <w:rFonts w:hint="eastAsia" w:ascii="宋体" w:hAnsi="宋体"/>
                      <w:color w:val="auto"/>
                      <w:sz w:val="21"/>
                    </w:rPr>
                    <w:t>项目地水塘下游100米处；每半年一次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6" w:type="dxa"/>
                  <w:vAlign w:val="center"/>
                </w:tcPr>
                <w:p>
                  <w:pPr>
                    <w:ind w:right="29" w:rightChars="12"/>
                    <w:jc w:val="center"/>
                    <w:rPr>
                      <w:rFonts w:ascii="宋体" w:hAnsi="宋体"/>
                      <w:color w:val="auto"/>
                      <w:sz w:val="21"/>
                    </w:rPr>
                  </w:pPr>
                  <w:r>
                    <w:rPr>
                      <w:rFonts w:hint="eastAsia" w:ascii="宋体" w:hAnsi="宋体"/>
                      <w:color w:val="auto"/>
                      <w:sz w:val="21"/>
                    </w:rPr>
                    <w:t>2</w:t>
                  </w:r>
                </w:p>
              </w:tc>
              <w:tc>
                <w:tcPr>
                  <w:tcW w:w="1753" w:type="dxa"/>
                  <w:vAlign w:val="center"/>
                </w:tcPr>
                <w:p>
                  <w:pPr>
                    <w:ind w:right="29" w:rightChars="12"/>
                    <w:jc w:val="center"/>
                    <w:rPr>
                      <w:rFonts w:ascii="宋体" w:hAnsi="宋体"/>
                      <w:color w:val="auto"/>
                      <w:sz w:val="21"/>
                    </w:rPr>
                  </w:pPr>
                  <w:r>
                    <w:rPr>
                      <w:rFonts w:hint="eastAsia" w:ascii="宋体" w:hAnsi="宋体"/>
                      <w:color w:val="auto"/>
                      <w:sz w:val="21"/>
                    </w:rPr>
                    <w:t>大气污染物</w:t>
                  </w:r>
                </w:p>
              </w:tc>
              <w:tc>
                <w:tcPr>
                  <w:tcW w:w="2739" w:type="dxa"/>
                  <w:vAlign w:val="center"/>
                </w:tcPr>
                <w:p>
                  <w:pPr>
                    <w:ind w:right="29" w:rightChars="12"/>
                    <w:jc w:val="center"/>
                    <w:rPr>
                      <w:rFonts w:ascii="宋体" w:hAnsi="宋体"/>
                      <w:color w:val="auto"/>
                      <w:sz w:val="21"/>
                    </w:rPr>
                  </w:pPr>
                  <w:r>
                    <w:rPr>
                      <w:rFonts w:hint="eastAsia" w:ascii="宋体" w:hAnsi="宋体"/>
                      <w:color w:val="auto"/>
                      <w:sz w:val="21"/>
                    </w:rPr>
                    <w:t>SO</w:t>
                  </w:r>
                  <w:r>
                    <w:rPr>
                      <w:rFonts w:hint="eastAsia" w:ascii="宋体" w:hAnsi="宋体"/>
                      <w:color w:val="auto"/>
                      <w:sz w:val="21"/>
                      <w:vertAlign w:val="subscript"/>
                    </w:rPr>
                    <w:t>2</w:t>
                  </w:r>
                  <w:r>
                    <w:rPr>
                      <w:rFonts w:hint="eastAsia" w:ascii="宋体" w:hAnsi="宋体"/>
                      <w:color w:val="auto"/>
                      <w:sz w:val="21"/>
                    </w:rPr>
                    <w:t>、NO</w:t>
                  </w:r>
                  <w:r>
                    <w:rPr>
                      <w:rFonts w:hint="eastAsia" w:ascii="宋体" w:hAnsi="宋体"/>
                      <w:color w:val="auto"/>
                      <w:sz w:val="21"/>
                      <w:vertAlign w:val="subscript"/>
                    </w:rPr>
                    <w:t>2</w:t>
                  </w:r>
                  <w:r>
                    <w:rPr>
                      <w:rFonts w:hint="eastAsia" w:ascii="宋体" w:hAnsi="宋体"/>
                      <w:color w:val="auto"/>
                      <w:sz w:val="21"/>
                    </w:rPr>
                    <w:t>、PM</w:t>
                  </w:r>
                  <w:r>
                    <w:rPr>
                      <w:rFonts w:hint="eastAsia" w:ascii="宋体" w:hAnsi="宋体"/>
                      <w:color w:val="auto"/>
                      <w:sz w:val="21"/>
                      <w:vertAlign w:val="subscript"/>
                    </w:rPr>
                    <w:t>10</w:t>
                  </w:r>
                </w:p>
              </w:tc>
              <w:tc>
                <w:tcPr>
                  <w:tcW w:w="2246" w:type="dxa"/>
                  <w:vAlign w:val="center"/>
                </w:tcPr>
                <w:p>
                  <w:pPr>
                    <w:ind w:right="29" w:rightChars="12"/>
                    <w:jc w:val="center"/>
                    <w:rPr>
                      <w:rFonts w:ascii="宋体" w:hAnsi="宋体"/>
                      <w:color w:val="auto"/>
                      <w:sz w:val="21"/>
                    </w:rPr>
                  </w:pPr>
                  <w:r>
                    <w:rPr>
                      <w:rFonts w:hint="eastAsia" w:ascii="宋体" w:hAnsi="宋体"/>
                      <w:color w:val="auto"/>
                      <w:sz w:val="21"/>
                    </w:rPr>
                    <w:t>厂界上下风向；每半年一次</w:t>
                  </w:r>
                </w:p>
              </w:tc>
            </w:tr>
          </w:tbl>
          <w:p>
            <w:pPr>
              <w:ind w:right="29" w:rightChars="12" w:firstLine="470" w:firstLineChars="196"/>
              <w:rPr>
                <w:rFonts w:ascii="宋体" w:hAnsi="宋体"/>
                <w:color w:val="auto"/>
              </w:rPr>
            </w:pP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 2 \* GB3</w:instrText>
            </w:r>
            <w:r>
              <w:rPr>
                <w:rFonts w:ascii="宋体" w:hAnsi="宋体"/>
                <w:color w:val="auto"/>
              </w:rPr>
              <w:instrText xml:space="preserve"> </w:instrText>
            </w:r>
            <w:r>
              <w:rPr>
                <w:rFonts w:ascii="宋体" w:hAnsi="宋体"/>
                <w:color w:val="auto"/>
              </w:rPr>
              <w:fldChar w:fldCharType="separate"/>
            </w:r>
            <w:r>
              <w:rPr>
                <w:rFonts w:hint="eastAsia" w:ascii="宋体" w:hAnsi="宋体"/>
                <w:color w:val="auto"/>
              </w:rPr>
              <w:t>②</w:t>
            </w:r>
            <w:r>
              <w:rPr>
                <w:rFonts w:ascii="宋体" w:hAnsi="宋体"/>
                <w:color w:val="auto"/>
              </w:rPr>
              <w:fldChar w:fldCharType="end"/>
            </w:r>
            <w:r>
              <w:rPr>
                <w:rFonts w:hint="eastAsia" w:ascii="宋体" w:hAnsi="宋体"/>
                <w:color w:val="auto"/>
              </w:rPr>
              <w:t>跟踪调查</w:t>
            </w:r>
          </w:p>
          <w:p>
            <w:pPr>
              <w:ind w:right="29" w:rightChars="12" w:firstLine="470" w:firstLineChars="196"/>
              <w:rPr>
                <w:rFonts w:ascii="宋体" w:hAnsi="宋体"/>
                <w:color w:val="auto"/>
              </w:rPr>
            </w:pPr>
            <w:r>
              <w:rPr>
                <w:rFonts w:hint="eastAsia" w:ascii="宋体" w:hAnsi="宋体"/>
                <w:color w:val="auto"/>
              </w:rPr>
              <w:t>（1）以上监测资料由项目环保管理人员负责统计存档。</w:t>
            </w:r>
          </w:p>
          <w:p>
            <w:pPr>
              <w:ind w:right="29" w:rightChars="12" w:firstLine="470" w:firstLineChars="196"/>
              <w:rPr>
                <w:rFonts w:ascii="宋体" w:hAnsi="宋体"/>
                <w:color w:val="auto"/>
              </w:rPr>
            </w:pPr>
            <w:r>
              <w:rPr>
                <w:rFonts w:hint="eastAsia" w:ascii="宋体" w:hAnsi="宋体"/>
                <w:color w:val="auto"/>
              </w:rPr>
              <w:t>（2）若监察部门已对本项目进行抽样监测，该季度监测数据可直接引用。</w:t>
            </w:r>
          </w:p>
          <w:p>
            <w:pPr>
              <w:ind w:right="29" w:rightChars="12" w:firstLine="470" w:firstLineChars="196"/>
              <w:rPr>
                <w:rFonts w:ascii="宋体" w:hAnsi="宋体"/>
                <w:color w:val="auto"/>
              </w:rPr>
            </w:pPr>
            <w:r>
              <w:rPr>
                <w:rFonts w:hint="eastAsia" w:ascii="宋体" w:hAnsi="宋体"/>
                <w:color w:val="auto"/>
              </w:rPr>
              <w:t>（3）当发现监测数据不达标时，建设单位应立即上报当地环境保护行政主管部门，并且加强污染治理措施，保证项目污染物达标排放。</w:t>
            </w:r>
          </w:p>
          <w:p>
            <w:pPr>
              <w:ind w:right="29" w:rightChars="12" w:firstLine="470" w:firstLineChars="196"/>
              <w:rPr>
                <w:rFonts w:ascii="宋体" w:hAnsi="宋体"/>
                <w:color w:val="auto"/>
              </w:rPr>
            </w:pP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 3 \* GB3</w:instrText>
            </w:r>
            <w:r>
              <w:rPr>
                <w:rFonts w:ascii="宋体" w:hAnsi="宋体"/>
                <w:color w:val="auto"/>
              </w:rPr>
              <w:instrText xml:space="preserve"> </w:instrText>
            </w:r>
            <w:r>
              <w:rPr>
                <w:rFonts w:ascii="宋体" w:hAnsi="宋体"/>
                <w:color w:val="auto"/>
              </w:rPr>
              <w:fldChar w:fldCharType="separate"/>
            </w:r>
            <w:r>
              <w:rPr>
                <w:rFonts w:hint="eastAsia" w:ascii="宋体" w:hAnsi="宋体"/>
                <w:color w:val="auto"/>
              </w:rPr>
              <w:t>③</w:t>
            </w:r>
            <w:r>
              <w:rPr>
                <w:rFonts w:ascii="宋体" w:hAnsi="宋体"/>
                <w:color w:val="auto"/>
              </w:rPr>
              <w:fldChar w:fldCharType="end"/>
            </w:r>
            <w:r>
              <w:rPr>
                <w:rFonts w:hint="eastAsia" w:ascii="宋体" w:hAnsi="宋体"/>
                <w:color w:val="auto"/>
              </w:rPr>
              <w:t>管理要求</w:t>
            </w:r>
          </w:p>
          <w:p>
            <w:pPr>
              <w:ind w:right="29" w:rightChars="12" w:firstLine="470" w:firstLineChars="196"/>
              <w:rPr>
                <w:rFonts w:ascii="宋体" w:hAnsi="宋体"/>
                <w:color w:val="auto"/>
              </w:rPr>
            </w:pPr>
            <w:r>
              <w:rPr>
                <w:rFonts w:hint="eastAsia" w:ascii="宋体" w:hAnsi="宋体"/>
                <w:color w:val="auto"/>
              </w:rPr>
              <w:t>项目建成投产后，为了配合当地环境保护行政主管部门的管理以及保证本项目各项污染物长期稳定达标排放，特制定以下管理要求：</w:t>
            </w:r>
          </w:p>
          <w:p>
            <w:pPr>
              <w:ind w:right="29" w:rightChars="12" w:firstLine="470" w:firstLineChars="196"/>
              <w:rPr>
                <w:rFonts w:ascii="宋体" w:hAnsi="宋体"/>
                <w:color w:val="auto"/>
              </w:rPr>
            </w:pPr>
            <w:r>
              <w:rPr>
                <w:rFonts w:hint="eastAsia" w:ascii="宋体" w:hAnsi="宋体"/>
                <w:color w:val="auto"/>
              </w:rPr>
              <w:t>1、建设单位须严格按照本报告提出的相关要求认真落实各项污染防治措施，确保项目污染物长期稳定达标排放。</w:t>
            </w:r>
          </w:p>
          <w:p>
            <w:pPr>
              <w:ind w:right="29" w:rightChars="12" w:firstLine="470" w:firstLineChars="196"/>
              <w:rPr>
                <w:rFonts w:ascii="宋体" w:hAnsi="宋体"/>
                <w:color w:val="auto"/>
              </w:rPr>
            </w:pPr>
            <w:r>
              <w:rPr>
                <w:rFonts w:hint="eastAsia" w:ascii="宋体" w:hAnsi="宋体"/>
                <w:color w:val="auto"/>
              </w:rPr>
              <w:t>2、严格执行“三同时”制度，并依照相关法律法规配合环保行政主管部门的常规监测或随机抽查，不得强行阻挠或弄虚作假。</w:t>
            </w:r>
          </w:p>
          <w:p>
            <w:pPr>
              <w:ind w:right="29" w:rightChars="12" w:firstLine="470" w:firstLineChars="196"/>
              <w:rPr>
                <w:rFonts w:ascii="宋体" w:hAnsi="宋体"/>
                <w:color w:val="auto"/>
              </w:rPr>
            </w:pPr>
            <w:r>
              <w:rPr>
                <w:rFonts w:hint="eastAsia" w:ascii="宋体" w:hAnsi="宋体"/>
                <w:color w:val="auto"/>
              </w:rPr>
              <w:t>3、建设设置环保管理专职人员，项目运营期间须定期进行内部监测并做好相应的记录。</w:t>
            </w:r>
          </w:p>
          <w:p>
            <w:pPr>
              <w:ind w:right="29" w:rightChars="12" w:firstLine="470" w:firstLineChars="196"/>
              <w:rPr>
                <w:rFonts w:ascii="宋体" w:hAnsi="宋体"/>
                <w:color w:val="FF0000"/>
              </w:rPr>
            </w:pPr>
          </w:p>
        </w:tc>
      </w:tr>
    </w:tbl>
    <w:p>
      <w:pPr>
        <w:spacing w:line="440" w:lineRule="exact"/>
        <w:jc w:val="left"/>
        <w:rPr>
          <w:rFonts w:eastAsia="黑体"/>
          <w:b/>
          <w:bCs/>
          <w:color w:val="000000" w:themeColor="text1"/>
          <w:sz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spacing w:line="440" w:lineRule="exact"/>
        <w:jc w:val="left"/>
        <w:rPr>
          <w:rFonts w:eastAsia="黑体"/>
          <w:b/>
          <w:bCs/>
          <w:color w:val="000000" w:themeColor="text1"/>
          <w:sz w:val="28"/>
          <w14:textFill>
            <w14:solidFill>
              <w14:schemeClr w14:val="tx1"/>
            </w14:solidFill>
          </w14:textFill>
        </w:rPr>
      </w:pPr>
      <w:r>
        <w:rPr>
          <w:rFonts w:eastAsia="黑体"/>
          <w:b/>
          <w:bCs/>
          <w:color w:val="000000" w:themeColor="text1"/>
          <w:sz w:val="28"/>
          <w14:textFill>
            <w14:solidFill>
              <w14:schemeClr w14:val="tx1"/>
            </w14:solidFill>
          </w14:textFill>
        </w:rPr>
        <w:t>建设项目拟采取的防治措施及预期治理效果</w:t>
      </w:r>
    </w:p>
    <w:tbl>
      <w:tblPr>
        <w:tblStyle w:val="10"/>
        <w:tblW w:w="8939" w:type="dxa"/>
        <w:jc w:val="center"/>
        <w:tblInd w:w="41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7"/>
        <w:gridCol w:w="1133"/>
        <w:gridCol w:w="1799"/>
        <w:gridCol w:w="2791"/>
        <w:gridCol w:w="20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03" w:hRule="atLeast"/>
          <w:jc w:val="center"/>
        </w:trPr>
        <w:tc>
          <w:tcPr>
            <w:tcW w:w="1167" w:type="dxa"/>
            <w:vAlign w:val="center"/>
          </w:tcPr>
          <w:p>
            <w:pPr>
              <w:pStyle w:val="22"/>
              <w:spacing w:line="360" w:lineRule="exact"/>
              <w:rPr>
                <w:szCs w:val="21"/>
              </w:rPr>
            </w:pPr>
            <w:r>
              <w:rPr>
                <w:szCs w:val="21"/>
              </w:rPr>
              <w:t>内容</w:t>
            </w:r>
          </w:p>
          <w:p>
            <w:pPr>
              <w:pStyle w:val="22"/>
              <w:spacing w:line="360" w:lineRule="exact"/>
              <w:rPr>
                <w:szCs w:val="21"/>
              </w:rPr>
            </w:pPr>
            <w:r>
              <w:rPr>
                <w:szCs w:val="21"/>
              </w:rPr>
              <w:t>类型</w:t>
            </w:r>
          </w:p>
        </w:tc>
        <w:tc>
          <w:tcPr>
            <w:tcW w:w="1133" w:type="dxa"/>
            <w:vAlign w:val="center"/>
          </w:tcPr>
          <w:p>
            <w:pPr>
              <w:pStyle w:val="22"/>
              <w:spacing w:line="360" w:lineRule="exact"/>
              <w:rPr>
                <w:szCs w:val="21"/>
              </w:rPr>
            </w:pPr>
            <w:r>
              <w:rPr>
                <w:szCs w:val="21"/>
              </w:rPr>
              <w:t>排放源（编号）</w:t>
            </w:r>
          </w:p>
        </w:tc>
        <w:tc>
          <w:tcPr>
            <w:tcW w:w="1799" w:type="dxa"/>
            <w:vAlign w:val="center"/>
          </w:tcPr>
          <w:p>
            <w:pPr>
              <w:pStyle w:val="22"/>
              <w:spacing w:line="360" w:lineRule="exact"/>
              <w:rPr>
                <w:szCs w:val="21"/>
              </w:rPr>
            </w:pPr>
            <w:r>
              <w:rPr>
                <w:szCs w:val="21"/>
              </w:rPr>
              <w:t>污染物名称</w:t>
            </w:r>
          </w:p>
        </w:tc>
        <w:tc>
          <w:tcPr>
            <w:tcW w:w="2791" w:type="dxa"/>
            <w:vAlign w:val="center"/>
          </w:tcPr>
          <w:p>
            <w:pPr>
              <w:pStyle w:val="22"/>
              <w:spacing w:line="360" w:lineRule="exact"/>
              <w:rPr>
                <w:szCs w:val="21"/>
              </w:rPr>
            </w:pPr>
            <w:r>
              <w:rPr>
                <w:szCs w:val="21"/>
              </w:rPr>
              <w:t>防治措施</w:t>
            </w:r>
          </w:p>
        </w:tc>
        <w:tc>
          <w:tcPr>
            <w:tcW w:w="2049" w:type="dxa"/>
            <w:vAlign w:val="center"/>
          </w:tcPr>
          <w:p>
            <w:pPr>
              <w:pStyle w:val="22"/>
              <w:spacing w:line="360" w:lineRule="exact"/>
              <w:ind w:hanging="480"/>
              <w:rPr>
                <w:szCs w:val="21"/>
              </w:rPr>
            </w:pPr>
            <w:r>
              <w:rPr>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70" w:hRule="atLeast"/>
          <w:jc w:val="center"/>
        </w:trPr>
        <w:tc>
          <w:tcPr>
            <w:tcW w:w="1167" w:type="dxa"/>
            <w:vAlign w:val="center"/>
          </w:tcPr>
          <w:p>
            <w:pPr>
              <w:pStyle w:val="22"/>
              <w:spacing w:line="360" w:lineRule="exact"/>
              <w:rPr>
                <w:szCs w:val="21"/>
              </w:rPr>
            </w:pPr>
            <w:r>
              <w:rPr>
                <w:rFonts w:hint="eastAsia"/>
                <w:szCs w:val="21"/>
              </w:rPr>
              <w:t>大气污染</w:t>
            </w:r>
          </w:p>
        </w:tc>
        <w:tc>
          <w:tcPr>
            <w:tcW w:w="1133" w:type="dxa"/>
            <w:vAlign w:val="center"/>
          </w:tcPr>
          <w:p>
            <w:pPr>
              <w:spacing w:line="360" w:lineRule="exact"/>
              <w:jc w:val="center"/>
              <w:rPr>
                <w:bCs/>
                <w:color w:val="auto"/>
                <w:spacing w:val="6"/>
                <w:sz w:val="21"/>
              </w:rPr>
            </w:pPr>
            <w:r>
              <w:rPr>
                <w:bCs/>
                <w:color w:val="auto"/>
                <w:spacing w:val="6"/>
                <w:sz w:val="21"/>
              </w:rPr>
              <w:t>食堂</w:t>
            </w:r>
          </w:p>
        </w:tc>
        <w:tc>
          <w:tcPr>
            <w:tcW w:w="1799" w:type="dxa"/>
            <w:vAlign w:val="center"/>
          </w:tcPr>
          <w:p>
            <w:pPr>
              <w:spacing w:line="360" w:lineRule="exact"/>
              <w:jc w:val="center"/>
              <w:rPr>
                <w:color w:val="auto"/>
                <w:spacing w:val="6"/>
                <w:sz w:val="21"/>
              </w:rPr>
            </w:pPr>
            <w:r>
              <w:rPr>
                <w:color w:val="auto"/>
                <w:spacing w:val="6"/>
                <w:sz w:val="21"/>
              </w:rPr>
              <w:t>油烟</w:t>
            </w:r>
          </w:p>
        </w:tc>
        <w:tc>
          <w:tcPr>
            <w:tcW w:w="2791" w:type="dxa"/>
            <w:vAlign w:val="center"/>
          </w:tcPr>
          <w:p>
            <w:pPr>
              <w:spacing w:line="360" w:lineRule="exact"/>
              <w:jc w:val="center"/>
              <w:rPr>
                <w:bCs/>
                <w:color w:val="auto"/>
                <w:spacing w:val="-4"/>
                <w:sz w:val="21"/>
              </w:rPr>
            </w:pPr>
            <w:r>
              <w:rPr>
                <w:bCs/>
                <w:color w:val="auto"/>
                <w:spacing w:val="-4"/>
                <w:sz w:val="21"/>
              </w:rPr>
              <w:t>油烟净化器</w:t>
            </w:r>
          </w:p>
        </w:tc>
        <w:tc>
          <w:tcPr>
            <w:tcW w:w="2049" w:type="dxa"/>
            <w:vAlign w:val="center"/>
          </w:tcPr>
          <w:p>
            <w:pPr>
              <w:pStyle w:val="22"/>
              <w:spacing w:line="360" w:lineRule="exact"/>
              <w:rPr>
                <w:szCs w:val="21"/>
              </w:rPr>
            </w:pPr>
            <w:r>
              <w:rPr>
                <w:szCs w:val="21"/>
              </w:rPr>
              <w:t>《饮食业油烟排放标准》</w:t>
            </w:r>
            <w:r>
              <w:rPr>
                <w:rFonts w:hint="eastAsia"/>
                <w:szCs w:val="21"/>
              </w:rPr>
              <w:t>（GB18483-2001）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33" w:hRule="atLeast"/>
          <w:jc w:val="center"/>
        </w:trPr>
        <w:tc>
          <w:tcPr>
            <w:tcW w:w="1167" w:type="dxa"/>
            <w:vAlign w:val="center"/>
          </w:tcPr>
          <w:p>
            <w:pPr>
              <w:pStyle w:val="22"/>
              <w:spacing w:line="360" w:lineRule="exact"/>
              <w:rPr>
                <w:szCs w:val="21"/>
              </w:rPr>
            </w:pPr>
            <w:r>
              <w:rPr>
                <w:szCs w:val="21"/>
              </w:rPr>
              <w:t>水污染物</w:t>
            </w:r>
          </w:p>
        </w:tc>
        <w:tc>
          <w:tcPr>
            <w:tcW w:w="1133" w:type="dxa"/>
            <w:vAlign w:val="center"/>
          </w:tcPr>
          <w:p>
            <w:pPr>
              <w:spacing w:line="360" w:lineRule="exact"/>
              <w:jc w:val="center"/>
              <w:rPr>
                <w:color w:val="auto"/>
                <w:sz w:val="21"/>
              </w:rPr>
            </w:pPr>
            <w:r>
              <w:rPr>
                <w:color w:val="auto"/>
                <w:sz w:val="21"/>
              </w:rPr>
              <w:t>生活污水</w:t>
            </w:r>
          </w:p>
        </w:tc>
        <w:tc>
          <w:tcPr>
            <w:tcW w:w="1799" w:type="dxa"/>
            <w:vAlign w:val="center"/>
          </w:tcPr>
          <w:p>
            <w:pPr>
              <w:pStyle w:val="23"/>
              <w:snapToGrid w:val="0"/>
              <w:spacing w:line="360" w:lineRule="exact"/>
              <w:jc w:val="center"/>
              <w:rPr>
                <w:sz w:val="21"/>
                <w:szCs w:val="21"/>
              </w:rPr>
            </w:pPr>
            <w:r>
              <w:rPr>
                <w:bCs/>
                <w:color w:val="000000" w:themeColor="text1"/>
                <w:spacing w:val="-6"/>
                <w:sz w:val="21"/>
                <w:szCs w:val="21"/>
                <w:lang w:val="es-ES"/>
                <w14:textFill>
                  <w14:solidFill>
                    <w14:schemeClr w14:val="tx1"/>
                  </w14:solidFill>
                </w14:textFill>
              </w:rPr>
              <w:t>COD、氨氮</w:t>
            </w:r>
            <w:r>
              <w:rPr>
                <w:rFonts w:hint="eastAsia"/>
                <w:bCs/>
                <w:spacing w:val="-6"/>
                <w:sz w:val="21"/>
                <w:szCs w:val="21"/>
                <w:lang w:val="es-ES"/>
              </w:rPr>
              <w:t>、BOD</w:t>
            </w:r>
            <w:r>
              <w:rPr>
                <w:rFonts w:hint="eastAsia"/>
                <w:bCs/>
                <w:spacing w:val="-6"/>
                <w:sz w:val="21"/>
                <w:szCs w:val="21"/>
                <w:vertAlign w:val="subscript"/>
                <w:lang w:val="es-ES"/>
              </w:rPr>
              <w:t>5</w:t>
            </w:r>
            <w:r>
              <w:rPr>
                <w:rFonts w:hint="eastAsia"/>
                <w:bCs/>
                <w:spacing w:val="-6"/>
                <w:sz w:val="21"/>
                <w:szCs w:val="21"/>
                <w:lang w:val="es-ES"/>
              </w:rPr>
              <w:t>，SS</w:t>
            </w:r>
          </w:p>
        </w:tc>
        <w:tc>
          <w:tcPr>
            <w:tcW w:w="2791" w:type="dxa"/>
            <w:vAlign w:val="center"/>
          </w:tcPr>
          <w:p>
            <w:pPr>
              <w:spacing w:line="360" w:lineRule="exact"/>
              <w:jc w:val="center"/>
              <w:rPr>
                <w:color w:val="auto"/>
                <w:sz w:val="21"/>
              </w:rPr>
            </w:pPr>
            <w:r>
              <w:rPr>
                <w:color w:val="auto"/>
                <w:sz w:val="21"/>
              </w:rPr>
              <w:t>隔油池+化粪池处理后定期清掏用于</w:t>
            </w:r>
            <w:r>
              <w:rPr>
                <w:rFonts w:hint="eastAsia"/>
                <w:color w:val="auto"/>
                <w:sz w:val="21"/>
              </w:rPr>
              <w:t>园区</w:t>
            </w:r>
            <w:r>
              <w:rPr>
                <w:color w:val="auto"/>
                <w:sz w:val="21"/>
              </w:rPr>
              <w:t>施肥</w:t>
            </w:r>
          </w:p>
        </w:tc>
        <w:tc>
          <w:tcPr>
            <w:tcW w:w="2049" w:type="dxa"/>
            <w:vAlign w:val="center"/>
          </w:tcPr>
          <w:p>
            <w:pPr>
              <w:spacing w:line="360" w:lineRule="exact"/>
              <w:jc w:val="center"/>
              <w:rPr>
                <w:color w:val="auto"/>
                <w:sz w:val="21"/>
              </w:rPr>
            </w:pPr>
            <w:r>
              <w:rPr>
                <w:color w:val="auto"/>
                <w:sz w:val="21"/>
              </w:rPr>
              <w:t>不直接排入外部水环境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167" w:type="dxa"/>
            <w:vMerge w:val="restart"/>
            <w:vAlign w:val="center"/>
          </w:tcPr>
          <w:p>
            <w:pPr>
              <w:pStyle w:val="22"/>
              <w:spacing w:line="360" w:lineRule="exact"/>
              <w:rPr>
                <w:szCs w:val="21"/>
              </w:rPr>
            </w:pPr>
            <w:r>
              <w:rPr>
                <w:rFonts w:hint="eastAsia"/>
                <w:szCs w:val="21"/>
              </w:rPr>
              <w:t>固体污染</w:t>
            </w:r>
          </w:p>
        </w:tc>
        <w:tc>
          <w:tcPr>
            <w:tcW w:w="1133" w:type="dxa"/>
            <w:vMerge w:val="restart"/>
            <w:vAlign w:val="center"/>
          </w:tcPr>
          <w:p>
            <w:pPr>
              <w:spacing w:line="360" w:lineRule="exact"/>
              <w:jc w:val="center"/>
              <w:rPr>
                <w:color w:val="auto"/>
                <w:sz w:val="21"/>
              </w:rPr>
            </w:pPr>
            <w:r>
              <w:rPr>
                <w:rFonts w:hint="eastAsia"/>
                <w:color w:val="auto"/>
                <w:sz w:val="21"/>
              </w:rPr>
              <w:t>生产区</w:t>
            </w:r>
          </w:p>
        </w:tc>
        <w:tc>
          <w:tcPr>
            <w:tcW w:w="1799" w:type="dxa"/>
            <w:vAlign w:val="center"/>
          </w:tcPr>
          <w:p>
            <w:pPr>
              <w:spacing w:line="360" w:lineRule="exact"/>
              <w:jc w:val="center"/>
              <w:rPr>
                <w:color w:val="auto"/>
                <w:sz w:val="21"/>
              </w:rPr>
            </w:pPr>
            <w:r>
              <w:rPr>
                <w:rFonts w:hint="eastAsia"/>
                <w:color w:val="auto"/>
                <w:sz w:val="21"/>
              </w:rPr>
              <w:t>树枝杂草</w:t>
            </w:r>
          </w:p>
        </w:tc>
        <w:tc>
          <w:tcPr>
            <w:tcW w:w="2791" w:type="dxa"/>
            <w:vAlign w:val="center"/>
          </w:tcPr>
          <w:p>
            <w:pPr>
              <w:pStyle w:val="24"/>
              <w:adjustRightInd w:val="0"/>
              <w:snapToGrid w:val="0"/>
              <w:spacing w:line="360" w:lineRule="exact"/>
              <w:ind w:firstLine="0" w:firstLineChars="0"/>
              <w:jc w:val="center"/>
              <w:rPr>
                <w:bCs/>
                <w:spacing w:val="6"/>
                <w:szCs w:val="21"/>
              </w:rPr>
            </w:pPr>
            <w:r>
              <w:rPr>
                <w:rFonts w:hint="eastAsia"/>
                <w:bCs/>
                <w:spacing w:val="6"/>
                <w:szCs w:val="21"/>
              </w:rPr>
              <w:t>收集后用做柴薪</w:t>
            </w:r>
          </w:p>
        </w:tc>
        <w:tc>
          <w:tcPr>
            <w:tcW w:w="2049" w:type="dxa"/>
            <w:vAlign w:val="center"/>
          </w:tcPr>
          <w:p>
            <w:pPr>
              <w:spacing w:line="360" w:lineRule="exact"/>
              <w:jc w:val="center"/>
              <w:rPr>
                <w:color w:val="auto"/>
                <w:sz w:val="21"/>
              </w:rPr>
            </w:pPr>
            <w:r>
              <w:rPr>
                <w:rFonts w:hint="eastAsia"/>
                <w:color w:val="auto"/>
                <w:sz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167" w:type="dxa"/>
            <w:vMerge w:val="continue"/>
            <w:vAlign w:val="center"/>
          </w:tcPr>
          <w:p>
            <w:pPr>
              <w:pStyle w:val="22"/>
              <w:spacing w:line="360" w:lineRule="exact"/>
              <w:ind w:hanging="480"/>
              <w:rPr>
                <w:szCs w:val="21"/>
              </w:rPr>
            </w:pPr>
          </w:p>
        </w:tc>
        <w:tc>
          <w:tcPr>
            <w:tcW w:w="1133" w:type="dxa"/>
            <w:vMerge w:val="continue"/>
            <w:vAlign w:val="center"/>
          </w:tcPr>
          <w:p>
            <w:pPr>
              <w:spacing w:line="360" w:lineRule="exact"/>
              <w:jc w:val="center"/>
              <w:rPr>
                <w:color w:val="auto"/>
                <w:sz w:val="21"/>
              </w:rPr>
            </w:pPr>
          </w:p>
        </w:tc>
        <w:tc>
          <w:tcPr>
            <w:tcW w:w="1799" w:type="dxa"/>
            <w:vAlign w:val="center"/>
          </w:tcPr>
          <w:p>
            <w:pPr>
              <w:spacing w:line="360" w:lineRule="exact"/>
              <w:jc w:val="center"/>
              <w:rPr>
                <w:color w:val="auto"/>
                <w:sz w:val="21"/>
              </w:rPr>
            </w:pPr>
            <w:r>
              <w:rPr>
                <w:rFonts w:hint="eastAsia"/>
                <w:color w:val="auto"/>
                <w:sz w:val="21"/>
              </w:rPr>
              <w:t>农药包装袋（瓶）</w:t>
            </w:r>
          </w:p>
        </w:tc>
        <w:tc>
          <w:tcPr>
            <w:tcW w:w="2791" w:type="dxa"/>
            <w:vAlign w:val="center"/>
          </w:tcPr>
          <w:p>
            <w:pPr>
              <w:pStyle w:val="24"/>
              <w:adjustRightInd w:val="0"/>
              <w:snapToGrid w:val="0"/>
              <w:spacing w:line="360" w:lineRule="exact"/>
              <w:ind w:firstLine="0" w:firstLineChars="0"/>
              <w:jc w:val="center"/>
              <w:rPr>
                <w:szCs w:val="21"/>
                <w:u w:val="single"/>
              </w:rPr>
            </w:pPr>
            <w:r>
              <w:rPr>
                <w:rFonts w:hint="eastAsia"/>
                <w:szCs w:val="21"/>
                <w:u w:val="single"/>
              </w:rPr>
              <w:t>由农技站统一收集后交有资质单位处置</w:t>
            </w:r>
          </w:p>
        </w:tc>
        <w:tc>
          <w:tcPr>
            <w:tcW w:w="2049" w:type="dxa"/>
            <w:vMerge w:val="restart"/>
            <w:vAlign w:val="center"/>
          </w:tcPr>
          <w:p>
            <w:pPr>
              <w:spacing w:line="360" w:lineRule="exact"/>
              <w:jc w:val="center"/>
              <w:rPr>
                <w:color w:val="auto"/>
                <w:sz w:val="21"/>
              </w:rPr>
            </w:pPr>
            <w:r>
              <w:rPr>
                <w:color w:val="auto"/>
                <w:sz w:val="21"/>
              </w:rPr>
              <w:t>安全处置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167" w:type="dxa"/>
            <w:vMerge w:val="continue"/>
            <w:vAlign w:val="center"/>
          </w:tcPr>
          <w:p>
            <w:pPr>
              <w:pStyle w:val="22"/>
              <w:spacing w:line="360" w:lineRule="exact"/>
              <w:ind w:hanging="480"/>
              <w:rPr>
                <w:szCs w:val="21"/>
              </w:rPr>
            </w:pPr>
          </w:p>
        </w:tc>
        <w:tc>
          <w:tcPr>
            <w:tcW w:w="1133" w:type="dxa"/>
            <w:vMerge w:val="continue"/>
            <w:vAlign w:val="center"/>
          </w:tcPr>
          <w:p>
            <w:pPr>
              <w:spacing w:line="360" w:lineRule="exact"/>
              <w:jc w:val="center"/>
              <w:rPr>
                <w:color w:val="auto"/>
                <w:sz w:val="21"/>
              </w:rPr>
            </w:pPr>
          </w:p>
        </w:tc>
        <w:tc>
          <w:tcPr>
            <w:tcW w:w="1799" w:type="dxa"/>
            <w:vAlign w:val="center"/>
          </w:tcPr>
          <w:p>
            <w:pPr>
              <w:spacing w:line="360" w:lineRule="exact"/>
              <w:jc w:val="center"/>
              <w:rPr>
                <w:color w:val="auto"/>
                <w:sz w:val="21"/>
              </w:rPr>
            </w:pPr>
            <w:r>
              <w:rPr>
                <w:rFonts w:hint="eastAsia"/>
                <w:color w:val="auto"/>
                <w:sz w:val="21"/>
              </w:rPr>
              <w:t>废纸箱、化肥包装袋</w:t>
            </w:r>
          </w:p>
        </w:tc>
        <w:tc>
          <w:tcPr>
            <w:tcW w:w="2791" w:type="dxa"/>
            <w:vAlign w:val="center"/>
          </w:tcPr>
          <w:p>
            <w:pPr>
              <w:pStyle w:val="24"/>
              <w:adjustRightInd w:val="0"/>
              <w:snapToGrid w:val="0"/>
              <w:spacing w:line="360" w:lineRule="exact"/>
              <w:ind w:firstLine="0" w:firstLineChars="0"/>
              <w:jc w:val="center"/>
              <w:rPr>
                <w:szCs w:val="21"/>
              </w:rPr>
            </w:pPr>
            <w:r>
              <w:rPr>
                <w:rFonts w:hint="eastAsia"/>
                <w:szCs w:val="21"/>
              </w:rPr>
              <w:t>回收利用或外卖</w:t>
            </w:r>
          </w:p>
        </w:tc>
        <w:tc>
          <w:tcPr>
            <w:tcW w:w="2049" w:type="dxa"/>
            <w:vMerge w:val="continue"/>
            <w:vAlign w:val="center"/>
          </w:tcPr>
          <w:p>
            <w:pPr>
              <w:spacing w:line="360" w:lineRule="exact"/>
              <w:jc w:val="center"/>
              <w:rPr>
                <w:color w:val="auto"/>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167" w:type="dxa"/>
            <w:vMerge w:val="continue"/>
            <w:vAlign w:val="center"/>
          </w:tcPr>
          <w:p>
            <w:pPr>
              <w:pStyle w:val="22"/>
              <w:spacing w:line="360" w:lineRule="exact"/>
              <w:ind w:hanging="480"/>
              <w:rPr>
                <w:szCs w:val="21"/>
              </w:rPr>
            </w:pPr>
          </w:p>
        </w:tc>
        <w:tc>
          <w:tcPr>
            <w:tcW w:w="1133" w:type="dxa"/>
            <w:vAlign w:val="center"/>
          </w:tcPr>
          <w:p>
            <w:pPr>
              <w:spacing w:line="360" w:lineRule="exact"/>
              <w:jc w:val="center"/>
              <w:rPr>
                <w:color w:val="auto"/>
                <w:sz w:val="21"/>
              </w:rPr>
            </w:pPr>
            <w:r>
              <w:rPr>
                <w:color w:val="auto"/>
                <w:sz w:val="21"/>
              </w:rPr>
              <w:t>生活区</w:t>
            </w:r>
          </w:p>
        </w:tc>
        <w:tc>
          <w:tcPr>
            <w:tcW w:w="1799" w:type="dxa"/>
            <w:vAlign w:val="center"/>
          </w:tcPr>
          <w:p>
            <w:pPr>
              <w:spacing w:line="360" w:lineRule="exact"/>
              <w:jc w:val="center"/>
              <w:rPr>
                <w:color w:val="auto"/>
                <w:sz w:val="21"/>
              </w:rPr>
            </w:pPr>
            <w:r>
              <w:rPr>
                <w:color w:val="auto"/>
                <w:sz w:val="21"/>
              </w:rPr>
              <w:t>生活垃圾</w:t>
            </w:r>
          </w:p>
        </w:tc>
        <w:tc>
          <w:tcPr>
            <w:tcW w:w="2791" w:type="dxa"/>
            <w:vAlign w:val="center"/>
          </w:tcPr>
          <w:p>
            <w:pPr>
              <w:pStyle w:val="24"/>
              <w:adjustRightInd w:val="0"/>
              <w:snapToGrid w:val="0"/>
              <w:spacing w:line="360" w:lineRule="exact"/>
              <w:ind w:firstLine="0" w:firstLineChars="0"/>
              <w:jc w:val="center"/>
              <w:rPr>
                <w:szCs w:val="21"/>
              </w:rPr>
            </w:pPr>
            <w:r>
              <w:rPr>
                <w:szCs w:val="21"/>
              </w:rPr>
              <w:t>垃圾收集池定期送往环卫部门指定地点</w:t>
            </w:r>
          </w:p>
        </w:tc>
        <w:tc>
          <w:tcPr>
            <w:tcW w:w="2049" w:type="dxa"/>
            <w:vMerge w:val="continue"/>
            <w:vAlign w:val="center"/>
          </w:tcPr>
          <w:p>
            <w:pPr>
              <w:spacing w:line="360" w:lineRule="exact"/>
              <w:jc w:val="center"/>
              <w:rPr>
                <w:color w:val="auto"/>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jc w:val="center"/>
        </w:trPr>
        <w:tc>
          <w:tcPr>
            <w:tcW w:w="1167" w:type="dxa"/>
            <w:vAlign w:val="center"/>
          </w:tcPr>
          <w:p>
            <w:pPr>
              <w:pStyle w:val="22"/>
              <w:spacing w:line="360" w:lineRule="exact"/>
              <w:rPr>
                <w:szCs w:val="21"/>
              </w:rPr>
            </w:pPr>
            <w:r>
              <w:rPr>
                <w:szCs w:val="21"/>
              </w:rPr>
              <w:t>噪声</w:t>
            </w:r>
          </w:p>
        </w:tc>
        <w:tc>
          <w:tcPr>
            <w:tcW w:w="1133" w:type="dxa"/>
            <w:vAlign w:val="center"/>
          </w:tcPr>
          <w:p>
            <w:pPr>
              <w:pStyle w:val="22"/>
              <w:spacing w:line="360" w:lineRule="exact"/>
              <w:rPr>
                <w:szCs w:val="21"/>
              </w:rPr>
            </w:pPr>
            <w:r>
              <w:rPr>
                <w:szCs w:val="21"/>
              </w:rPr>
              <w:t>生产区</w:t>
            </w:r>
          </w:p>
        </w:tc>
        <w:tc>
          <w:tcPr>
            <w:tcW w:w="1799" w:type="dxa"/>
            <w:vAlign w:val="center"/>
          </w:tcPr>
          <w:p>
            <w:pPr>
              <w:pStyle w:val="22"/>
              <w:spacing w:line="360" w:lineRule="exact"/>
              <w:rPr>
                <w:szCs w:val="21"/>
              </w:rPr>
            </w:pPr>
            <w:r>
              <w:rPr>
                <w:szCs w:val="21"/>
              </w:rPr>
              <w:t>各类高噪声设备</w:t>
            </w:r>
          </w:p>
        </w:tc>
        <w:tc>
          <w:tcPr>
            <w:tcW w:w="2791" w:type="dxa"/>
            <w:vAlign w:val="center"/>
          </w:tcPr>
          <w:p>
            <w:pPr>
              <w:pStyle w:val="26"/>
              <w:jc w:val="center"/>
              <w:rPr>
                <w:rFonts w:ascii="Times New Roman" w:hAnsi="Times New Roman" w:cs="Times New Roman"/>
                <w:color w:val="auto"/>
                <w:sz w:val="21"/>
                <w:szCs w:val="21"/>
              </w:rPr>
            </w:pPr>
            <w:r>
              <w:rPr>
                <w:rFonts w:ascii="Times New Roman" w:hAnsi="Times New Roman" w:cs="Times New Roman"/>
                <w:color w:val="auto"/>
                <w:sz w:val="21"/>
                <w:szCs w:val="21"/>
              </w:rPr>
              <w:t>经隔音、建筑物屏障、距离衰减</w:t>
            </w:r>
          </w:p>
        </w:tc>
        <w:tc>
          <w:tcPr>
            <w:tcW w:w="2049" w:type="dxa"/>
            <w:vAlign w:val="center"/>
          </w:tcPr>
          <w:p>
            <w:pPr>
              <w:pStyle w:val="22"/>
              <w:spacing w:line="360" w:lineRule="exact"/>
              <w:rPr>
                <w:szCs w:val="21"/>
              </w:rPr>
            </w:pPr>
            <w:r>
              <w:rPr>
                <w:szCs w:val="21"/>
              </w:rPr>
              <w:t>《工业企业厂界环境噪声排放标准》（GB12348-2008）中2类标准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7" w:hRule="atLeast"/>
          <w:jc w:val="center"/>
        </w:trPr>
        <w:tc>
          <w:tcPr>
            <w:tcW w:w="1167" w:type="dxa"/>
            <w:vAlign w:val="center"/>
          </w:tcPr>
          <w:p>
            <w:pPr>
              <w:pStyle w:val="22"/>
              <w:spacing w:line="360" w:lineRule="exact"/>
              <w:rPr>
                <w:szCs w:val="21"/>
              </w:rPr>
            </w:pPr>
            <w:r>
              <w:rPr>
                <w:szCs w:val="21"/>
              </w:rPr>
              <w:t>其它</w:t>
            </w:r>
          </w:p>
        </w:tc>
        <w:tc>
          <w:tcPr>
            <w:tcW w:w="7772" w:type="dxa"/>
            <w:gridSpan w:val="4"/>
            <w:vAlign w:val="center"/>
          </w:tcPr>
          <w:p>
            <w:pPr>
              <w:pStyle w:val="22"/>
              <w:spacing w:line="360" w:lineRule="exact"/>
              <w:ind w:hanging="480"/>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81" w:hRule="atLeast"/>
          <w:jc w:val="center"/>
        </w:trPr>
        <w:tc>
          <w:tcPr>
            <w:tcW w:w="8939" w:type="dxa"/>
            <w:gridSpan w:val="5"/>
            <w:vAlign w:val="center"/>
          </w:tcPr>
          <w:p>
            <w:pPr>
              <w:spacing w:line="520" w:lineRule="exact"/>
              <w:rPr>
                <w:rFonts w:ascii="黑体" w:hAnsi="黑体" w:eastAsia="黑体"/>
                <w:b/>
                <w:bCs/>
                <w:color w:val="auto"/>
                <w:szCs w:val="24"/>
              </w:rPr>
            </w:pPr>
            <w:r>
              <w:rPr>
                <w:rFonts w:ascii="黑体" w:hAnsi="黑体" w:eastAsia="黑体"/>
                <w:b/>
                <w:bCs/>
                <w:color w:val="auto"/>
                <w:szCs w:val="24"/>
              </w:rPr>
              <w:t>生态保护措施及预期效果：</w:t>
            </w:r>
          </w:p>
          <w:p>
            <w:pPr>
              <w:autoSpaceDE w:val="0"/>
              <w:autoSpaceDN w:val="0"/>
              <w:adjustRightInd w:val="0"/>
              <w:spacing w:line="520" w:lineRule="exact"/>
              <w:ind w:firstLine="480" w:firstLineChars="200"/>
              <w:rPr>
                <w:color w:val="auto"/>
                <w:kern w:val="0"/>
                <w:szCs w:val="24"/>
              </w:rPr>
            </w:pPr>
            <w:r>
              <w:rPr>
                <w:color w:val="auto"/>
                <w:kern w:val="0"/>
                <w:szCs w:val="24"/>
              </w:rPr>
              <w:t>本项目所处位置属环境非敏感区，项目的生产对生态环境影响较小，各种污染物经处理后对周边环境影响很小。</w:t>
            </w:r>
          </w:p>
          <w:p>
            <w:pPr>
              <w:autoSpaceDE w:val="0"/>
              <w:autoSpaceDN w:val="0"/>
              <w:adjustRightInd w:val="0"/>
              <w:jc w:val="center"/>
              <w:rPr>
                <w:color w:val="auto"/>
                <w:kern w:val="0"/>
                <w:sz w:val="21"/>
              </w:rPr>
            </w:pPr>
          </w:p>
          <w:p>
            <w:pPr>
              <w:autoSpaceDE w:val="0"/>
              <w:autoSpaceDN w:val="0"/>
              <w:adjustRightInd w:val="0"/>
              <w:jc w:val="center"/>
              <w:rPr>
                <w:color w:val="auto"/>
                <w:kern w:val="0"/>
                <w:sz w:val="21"/>
              </w:rPr>
            </w:pPr>
          </w:p>
        </w:tc>
      </w:tr>
    </w:tbl>
    <w:p>
      <w:pPr>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tbl>
      <w:tblPr>
        <w:tblStyle w:val="11"/>
        <w:tblW w:w="907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3" w:type="dxa"/>
            <w:tcBorders>
              <w:top w:val="single" w:color="auto" w:sz="12" w:space="0"/>
              <w:left w:val="single" w:color="auto" w:sz="12" w:space="0"/>
              <w:bottom w:val="single" w:color="auto" w:sz="12" w:space="0"/>
              <w:right w:val="single" w:color="auto" w:sz="12" w:space="0"/>
            </w:tcBorders>
          </w:tcPr>
          <w:p>
            <w:pPr>
              <w:spacing w:line="240" w:lineRule="auto"/>
              <w:ind w:firstLine="495"/>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结论与建议</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一、结论：</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1、项目概况</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平江县湘艺牡丹花生态园拟在平江县上塔市镇苍霞村建设570亩牡丹花生态园，项目租用地为平江县上塔市镇苍霞村村民的山地、农田（部分租赁合同见附件），项目投资5000万元，其中环保投资约30万，环保投资占总投资的0.6%。</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2、产业政策</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项目符合《产业结构调整指导目录2011年本》(2013年修正)中，蔬菜、瓜果、花卉设施栽培（含无土栽培）先进技术开发与应用，该项目属农业，且属于《产业结构调整指导目录2011年本》(2013年修正)中鼓励类项目。因此，该项目符合国家和地方有关产业政策规定。</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本项目产品及使用的原辅材料、生产设备均未列入《产业结构调整指导目录（2011年本）》（2013年修订）目录中的限值、淘汰类，项目符合国家产业政策</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3、选址合理性</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项目建设地为平江县上塔市镇苍霞村，厂址周围评价范围内无特殊保护文物古迹、自然保护区和特殊环境制约因素。从国家产业政策、规划符合性、厂址所处位置、周围环境、建厂条件、环境敏感因素分析等方面进行综合分析认为该项目选址基本可行。</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4、环境质量现状评价结论</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拟建项目区环境空气质量达到《环境空气质量标准》（GB3095-2012）二级标准要求；项目区域地表水满足《地表水环境质量标准》（GB3838-2002）III类标准要求；声环境质量符合《声环境质量标准》（GB3096—2008）中2类标准。</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1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①</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环境空气</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本项目种植过程中肥料的分解吸收过程产生的少量废气和木材燃烧产生的烟尘以及少量食堂油烟的排放对评价区环境空气质量影响很小。</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2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②</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水环境</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本项目生产过程中不排放废水，生活废水拟经隔油池、化粪池处理后定期清掏，用于园区施肥。</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3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③</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声环境</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项目运营期的职工生活及办公产生的噪声声级较低，对周围声环境影响较小。</w:t>
            </w:r>
          </w:p>
          <w:p>
            <w:pPr>
              <w:ind w:firstLine="495"/>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fldChar w:fldCharType="begin"/>
            </w:r>
            <w:r>
              <w:rPr>
                <w:rFonts w:ascii="宋体" w:hAnsi="宋体"/>
                <w:color w:val="000000" w:themeColor="text1"/>
                <w:szCs w:val="24"/>
                <w14:textFill>
                  <w14:solidFill>
                    <w14:schemeClr w14:val="tx1"/>
                  </w14:solidFill>
                </w14:textFill>
              </w:rPr>
              <w:instrText xml:space="preserve"> </w:instrText>
            </w:r>
            <w:r>
              <w:rPr>
                <w:rFonts w:hint="eastAsia" w:ascii="宋体" w:hAnsi="宋体"/>
                <w:color w:val="000000" w:themeColor="text1"/>
                <w:szCs w:val="24"/>
                <w14:textFill>
                  <w14:solidFill>
                    <w14:schemeClr w14:val="tx1"/>
                  </w14:solidFill>
                </w14:textFill>
              </w:rPr>
              <w:instrText xml:space="preserve">= 4 \* GB3</w:instrText>
            </w:r>
            <w:r>
              <w:rPr>
                <w:rFonts w:ascii="宋体" w:hAnsi="宋体"/>
                <w:color w:val="000000" w:themeColor="text1"/>
                <w:szCs w:val="24"/>
                <w14:textFill>
                  <w14:solidFill>
                    <w14:schemeClr w14:val="tx1"/>
                  </w14:solidFill>
                </w14:textFill>
              </w:rPr>
              <w:instrText xml:space="preserve"> </w:instrText>
            </w:r>
            <w:r>
              <w:rPr>
                <w:rFonts w:ascii="宋体" w:hAnsi="宋体"/>
                <w:color w:val="000000" w:themeColor="text1"/>
                <w:szCs w:val="24"/>
                <w14:textFill>
                  <w14:solidFill>
                    <w14:schemeClr w14:val="tx1"/>
                  </w14:solidFill>
                </w14:textFill>
              </w:rPr>
              <w:fldChar w:fldCharType="separate"/>
            </w:r>
            <w:r>
              <w:rPr>
                <w:rFonts w:hint="eastAsia" w:ascii="宋体" w:hAnsi="宋体"/>
                <w:color w:val="000000" w:themeColor="text1"/>
                <w:szCs w:val="24"/>
                <w14:textFill>
                  <w14:solidFill>
                    <w14:schemeClr w14:val="tx1"/>
                  </w14:solidFill>
                </w14:textFill>
              </w:rPr>
              <w:t>④</w:t>
            </w:r>
            <w:r>
              <w:rPr>
                <w:rFonts w:ascii="宋体" w:hAnsi="宋体"/>
                <w:color w:val="000000" w:themeColor="text1"/>
                <w:szCs w:val="24"/>
                <w14:textFill>
                  <w14:solidFill>
                    <w14:schemeClr w14:val="tx1"/>
                  </w14:solidFill>
                </w14:textFill>
              </w:rPr>
              <w:fldChar w:fldCharType="end"/>
            </w:r>
            <w:r>
              <w:rPr>
                <w:rFonts w:hint="eastAsia" w:ascii="宋体" w:hAnsi="宋体"/>
                <w:color w:val="000000" w:themeColor="text1"/>
                <w:szCs w:val="24"/>
                <w14:textFill>
                  <w14:solidFill>
                    <w14:schemeClr w14:val="tx1"/>
                  </w14:solidFill>
                </w14:textFill>
              </w:rPr>
              <w:t>固体废物</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项目所产生的树枝杂草用做柴薪，生活垃圾由环卫部门定期清运，废纸箱、化肥包装袋回收利用或外卖，农药包装袋（瓶）</w:t>
            </w:r>
            <w:r>
              <w:rPr>
                <w:rFonts w:hint="eastAsia" w:ascii="宋体" w:hAnsi="宋体"/>
                <w:color w:val="000000" w:themeColor="text1"/>
                <w:szCs w:val="24"/>
                <w:u w:val="single"/>
                <w14:textFill>
                  <w14:solidFill>
                    <w14:schemeClr w14:val="tx1"/>
                  </w14:solidFill>
                </w14:textFill>
              </w:rPr>
              <w:t>由农技站统一收集后交有资质单位处置。</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5、总量控制</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本项目建议不设置总量控制指标。</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6、环评总结论</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综上所述，本项目的建设符合国家有关产业政策，从环境景观美学的角度考虑，项目建成投入运营后与周边的生态环境和自然景观相协调，对周边的水、大气、噪声、固废环境的影响较小。该建设项目在建设过程中，应严格执行环保设施与主体工程同时设计、同时施工、同时投产的“三同时”制度。建设项目实施后，要制订并落实必要的环境管理规章制度，加强环保管理以确保污染物稳定达标排放，做到经济、社会、环境效益的统一协调发展。由此可见，本项目从环保角度考虑是可行的。</w:t>
            </w:r>
          </w:p>
          <w:p>
            <w:pPr>
              <w:ind w:firstLine="495"/>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二、要求与建议</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1、严格执行“三同时”管理制度，所有环保措施及环保设施，应在工程建设过程中同时设计、同时施工、同时投产运行。</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2、切实严格加强管理，采取一系列严密的安全防范措施，并加强职工的安全防范意识和劳动保护工作。</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3、严格选择农药品种和严格控制农药施用量，对农药的使用严格管理以减少其使用量，从而减少对周围环境的影响。</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4、注意增施有机肥和配合施用氮、磷、钾化肥，以减少化肥对土壤及地下水的影响。</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5建议园内病虫采用生物防治、物理防治等，以减少农药的用量。（生物防治：利用益虫吃害虫；  物理防治：在害虫繁殖期间，在园内树立起涂抹花生油的黄色板，吸引害虫；用灯光吸引飞蛾等害虫）。</w:t>
            </w:r>
          </w:p>
          <w:p>
            <w:pPr>
              <w:ind w:firstLine="495"/>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6、建议施工方合理安排施工季节，尽量避免雨季施工，不能避免时，应做好雨季排水工作，保证施工期排水通畅，以减少水土流失。</w:t>
            </w:r>
          </w:p>
          <w:p>
            <w:pPr>
              <w:ind w:firstLine="495"/>
              <w:rPr>
                <w:rFonts w:ascii="宋体" w:hAnsi="宋体"/>
                <w:color w:val="auto"/>
                <w:szCs w:val="24"/>
              </w:rPr>
            </w:pPr>
            <w:r>
              <w:rPr>
                <w:rFonts w:hint="eastAsia" w:ascii="宋体" w:hAnsi="宋体"/>
                <w:color w:val="000000" w:themeColor="text1"/>
                <w:szCs w:val="24"/>
                <w14:textFill>
                  <w14:solidFill>
                    <w14:schemeClr w14:val="tx1"/>
                  </w14:solidFill>
                </w14:textFill>
              </w:rPr>
              <w:t>7、建议施工方合理安排施工进度，衔接好各施工程序，及时配套完成水土保持措施，做到工序紧凑、有序。</w:t>
            </w:r>
          </w:p>
        </w:tc>
      </w:tr>
    </w:tbl>
    <w:p>
      <w:pPr>
        <w:ind w:firstLine="495"/>
        <w:rPr>
          <w:rFonts w:ascii="宋体" w:hAnsi="宋体"/>
          <w:color w:val="auto"/>
          <w:sz w:val="28"/>
          <w:szCs w:val="28"/>
        </w:rPr>
        <w:sectPr>
          <w:pgSz w:w="11906" w:h="16838"/>
          <w:pgMar w:top="1440" w:right="1800" w:bottom="1440" w:left="1800" w:header="851" w:footer="992" w:gutter="0"/>
          <w:cols w:space="425" w:num="1"/>
          <w:docGrid w:type="lines" w:linePitch="312" w:charSpace="0"/>
        </w:sectPr>
      </w:pPr>
    </w:p>
    <w:tbl>
      <w:tblPr>
        <w:tblStyle w:val="10"/>
        <w:tblpPr w:leftFromText="180" w:rightFromText="180" w:vertAnchor="text" w:horzAnchor="margin" w:tblpX="-209" w:tblpY="31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39" w:type="dxa"/>
            <w:tcBorders>
              <w:top w:val="single" w:color="auto" w:sz="12" w:space="0"/>
              <w:left w:val="single" w:color="auto" w:sz="12" w:space="0"/>
              <w:right w:val="single" w:color="auto" w:sz="12" w:space="0"/>
            </w:tcBorders>
            <w:shd w:val="clear" w:color="auto" w:fill="auto"/>
          </w:tcPr>
          <w:p>
            <w:pPr>
              <w:spacing w:line="400" w:lineRule="atLeast"/>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预审意见：</w:t>
            </w:r>
          </w:p>
          <w:p>
            <w:pPr>
              <w:spacing w:line="400" w:lineRule="atLeast"/>
              <w:rPr>
                <w:rFonts w:asciiTheme="minorEastAsia" w:hAnsiTheme="minorEastAsia"/>
                <w:color w:val="000000" w:themeColor="text1"/>
                <w14:textFill>
                  <w14:solidFill>
                    <w14:schemeClr w14:val="tx1"/>
                  </w14:solidFill>
                </w14:textFill>
              </w:rPr>
            </w:pPr>
          </w:p>
          <w:p>
            <w:pPr>
              <w:spacing w:line="400" w:lineRule="atLeast"/>
              <w:rPr>
                <w:rFonts w:asciiTheme="minorEastAsia" w:hAnsiTheme="minorEastAsia"/>
                <w:color w:val="000000" w:themeColor="text1"/>
                <w14:textFill>
                  <w14:solidFill>
                    <w14:schemeClr w14:val="tx1"/>
                  </w14:solidFill>
                </w14:textFill>
              </w:rPr>
            </w:pPr>
          </w:p>
          <w:p>
            <w:pPr>
              <w:spacing w:line="400" w:lineRule="atLeast"/>
              <w:rPr>
                <w:rFonts w:asciiTheme="minorEastAsia" w:hAnsiTheme="minorEastAsia"/>
                <w:color w:val="000000" w:themeColor="text1"/>
                <w14:textFill>
                  <w14:solidFill>
                    <w14:schemeClr w14:val="tx1"/>
                  </w14:solidFill>
                </w14:textFill>
              </w:rPr>
            </w:pPr>
          </w:p>
          <w:p>
            <w:pPr>
              <w:spacing w:line="400" w:lineRule="atLeast"/>
              <w:rPr>
                <w:rFonts w:asciiTheme="minorEastAsia" w:hAnsiTheme="minorEastAsia"/>
                <w:color w:val="000000" w:themeColor="text1"/>
                <w14:textFill>
                  <w14:solidFill>
                    <w14:schemeClr w14:val="tx1"/>
                  </w14:solidFill>
                </w14:textFill>
              </w:rPr>
            </w:pPr>
          </w:p>
          <w:p>
            <w:pPr>
              <w:spacing w:line="400" w:lineRule="atLeast"/>
              <w:rPr>
                <w:rFonts w:asciiTheme="minorEastAsia" w:hAnsiTheme="minorEastAsia"/>
                <w:color w:val="000000" w:themeColor="text1"/>
                <w14:textFill>
                  <w14:solidFill>
                    <w14:schemeClr w14:val="tx1"/>
                  </w14:solidFill>
                </w14:textFill>
              </w:rPr>
            </w:pPr>
          </w:p>
          <w:p>
            <w:pPr>
              <w:spacing w:line="400" w:lineRule="atLeast"/>
              <w:rPr>
                <w:rFonts w:asciiTheme="minorEastAsia" w:hAnsiTheme="minorEastAsia"/>
                <w:color w:val="000000" w:themeColor="text1"/>
                <w14:textFill>
                  <w14:solidFill>
                    <w14:schemeClr w14:val="tx1"/>
                  </w14:solidFill>
                </w14:textFill>
              </w:rPr>
            </w:pPr>
          </w:p>
          <w:p>
            <w:pPr>
              <w:spacing w:line="400" w:lineRule="atLeast"/>
              <w:rPr>
                <w:rFonts w:asciiTheme="minorEastAsia" w:hAnsiTheme="minorEastAsia"/>
                <w:color w:val="000000" w:themeColor="text1"/>
                <w14:textFill>
                  <w14:solidFill>
                    <w14:schemeClr w14:val="tx1"/>
                  </w14:solidFill>
                </w14:textFill>
              </w:rPr>
            </w:pPr>
          </w:p>
          <w:p>
            <w:pPr>
              <w:spacing w:line="400" w:lineRule="atLeast"/>
              <w:rPr>
                <w:rFonts w:asciiTheme="minorEastAsia" w:hAnsiTheme="minorEastAsia"/>
                <w:color w:val="000000" w:themeColor="text1"/>
                <w14:textFill>
                  <w14:solidFill>
                    <w14:schemeClr w14:val="tx1"/>
                  </w14:solidFill>
                </w14:textFill>
              </w:rPr>
            </w:pPr>
          </w:p>
          <w:p>
            <w:pPr>
              <w:spacing w:line="400" w:lineRule="atLeast"/>
              <w:rPr>
                <w:rFonts w:asciiTheme="minorEastAsia" w:hAnsiTheme="minorEastAsia"/>
                <w:color w:val="000000" w:themeColor="text1"/>
                <w14:textFill>
                  <w14:solidFill>
                    <w14:schemeClr w14:val="tx1"/>
                  </w14:solidFill>
                </w14:textFill>
              </w:rPr>
            </w:pPr>
          </w:p>
          <w:p>
            <w:pPr>
              <w:spacing w:line="400" w:lineRule="atLeast"/>
              <w:rPr>
                <w:rFonts w:asciiTheme="minorEastAsia" w:hAnsiTheme="minorEastAsia"/>
                <w:color w:val="000000" w:themeColor="text1"/>
                <w14:textFill>
                  <w14:solidFill>
                    <w14:schemeClr w14:val="tx1"/>
                  </w14:solidFill>
                </w14:textFill>
              </w:rPr>
            </w:pPr>
          </w:p>
          <w:p>
            <w:pPr>
              <w:spacing w:line="400" w:lineRule="atLeast"/>
              <w:rPr>
                <w:rFonts w:asciiTheme="minorEastAsia" w:hAnsiTheme="minorEastAsia"/>
                <w:color w:val="000000" w:themeColor="text1"/>
                <w14:textFill>
                  <w14:solidFill>
                    <w14:schemeClr w14:val="tx1"/>
                  </w14:solidFill>
                </w14:textFill>
              </w:rPr>
            </w:pPr>
          </w:p>
          <w:p>
            <w:pPr>
              <w:spacing w:line="400" w:lineRule="atLeast"/>
              <w:rPr>
                <w:rFonts w:asciiTheme="minorEastAsia" w:hAnsiTheme="minorEastAsia"/>
                <w:color w:val="000000" w:themeColor="text1"/>
                <w:sz w:val="30"/>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sz w:val="30"/>
                <w14:textFill>
                  <w14:solidFill>
                    <w14:schemeClr w14:val="tx1"/>
                  </w14:solidFill>
                </w14:textFill>
              </w:rPr>
              <w:t xml:space="preserve"> 公     章</w:t>
            </w:r>
          </w:p>
          <w:p>
            <w:pPr>
              <w:spacing w:line="400" w:lineRule="atLeast"/>
              <w:rPr>
                <w:rFonts w:asciiTheme="minorEastAsia" w:hAnsiTheme="minorEastAsia"/>
                <w:color w:val="000000" w:themeColor="text1"/>
                <w:sz w:val="30"/>
                <w14:textFill>
                  <w14:solidFill>
                    <w14:schemeClr w14:val="tx1"/>
                  </w14:solidFill>
                </w14:textFill>
              </w:rPr>
            </w:pPr>
            <w:r>
              <w:rPr>
                <w:rFonts w:hint="eastAsia" w:asciiTheme="minorEastAsia" w:hAnsiTheme="minorEastAsia"/>
                <w:color w:val="000000" w:themeColor="text1"/>
                <w:sz w:val="30"/>
                <w14:textFill>
                  <w14:solidFill>
                    <w14:schemeClr w14:val="tx1"/>
                  </w14:solidFill>
                </w14:textFill>
              </w:rPr>
              <w:t>经办人：</w:t>
            </w:r>
          </w:p>
          <w:p>
            <w:pPr>
              <w:spacing w:line="400" w:lineRule="atLeast"/>
              <w:rPr>
                <w:rFonts w:asciiTheme="minorEastAsia" w:hAnsiTheme="minorEastAsia"/>
                <w:color w:val="000000" w:themeColor="text1"/>
                <w:sz w:val="28"/>
                <w14:textFill>
                  <w14:solidFill>
                    <w14:schemeClr w14:val="tx1"/>
                  </w14:solidFill>
                </w14:textFill>
              </w:rPr>
            </w:pPr>
            <w:r>
              <w:rPr>
                <w:rFonts w:hint="eastAsia" w:asciiTheme="minorEastAsia" w:hAnsiTheme="minorEastAsia"/>
                <w:color w:val="000000" w:themeColor="text1"/>
                <w:sz w:val="30"/>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4" w:hRule="atLeast"/>
        </w:trPr>
        <w:tc>
          <w:tcPr>
            <w:tcW w:w="9039" w:type="dxa"/>
            <w:tcBorders>
              <w:left w:val="single" w:color="auto" w:sz="12" w:space="0"/>
              <w:bottom w:val="single" w:color="auto" w:sz="12" w:space="0"/>
              <w:right w:val="single" w:color="auto" w:sz="12" w:space="0"/>
            </w:tcBorders>
            <w:shd w:val="clear" w:color="auto" w:fill="auto"/>
          </w:tcPr>
          <w:p>
            <w:pPr>
              <w:spacing w:line="400" w:lineRule="atLeast"/>
              <w:rPr>
                <w:rFonts w:asciiTheme="minorEastAsia" w:hAnsiTheme="minorEastAsia"/>
                <w:color w:val="000000" w:themeColor="text1"/>
                <w:sz w:val="28"/>
                <w14:textFill>
                  <w14:solidFill>
                    <w14:schemeClr w14:val="tx1"/>
                  </w14:solidFill>
                </w14:textFill>
              </w:rPr>
            </w:pPr>
            <w:r>
              <w:rPr>
                <w:rFonts w:hint="eastAsia" w:asciiTheme="minorEastAsia" w:hAnsiTheme="minorEastAsia"/>
                <w:color w:val="000000" w:themeColor="text1"/>
                <w:sz w:val="28"/>
                <w14:textFill>
                  <w14:solidFill>
                    <w14:schemeClr w14:val="tx1"/>
                  </w14:solidFill>
                </w14:textFill>
              </w:rPr>
              <w:t>下一级环保行政主管部门审查意见：</w:t>
            </w:r>
          </w:p>
          <w:p>
            <w:pPr>
              <w:spacing w:line="400" w:lineRule="atLeast"/>
              <w:jc w:val="center"/>
              <w:rPr>
                <w:rFonts w:asciiTheme="minorEastAsia" w:hAnsiTheme="minorEastAsia"/>
                <w:color w:val="000000" w:themeColor="text1"/>
                <w:sz w:val="28"/>
                <w14:textFill>
                  <w14:solidFill>
                    <w14:schemeClr w14:val="tx1"/>
                  </w14:solidFill>
                </w14:textFill>
              </w:rPr>
            </w:pPr>
          </w:p>
          <w:p>
            <w:pPr>
              <w:spacing w:line="400" w:lineRule="atLeast"/>
              <w:jc w:val="center"/>
              <w:rPr>
                <w:rFonts w:asciiTheme="minorEastAsia" w:hAnsiTheme="minorEastAsia"/>
                <w:color w:val="000000" w:themeColor="text1"/>
                <w:sz w:val="28"/>
                <w14:textFill>
                  <w14:solidFill>
                    <w14:schemeClr w14:val="tx1"/>
                  </w14:solidFill>
                </w14:textFill>
              </w:rPr>
            </w:pPr>
          </w:p>
          <w:p>
            <w:pPr>
              <w:spacing w:line="400" w:lineRule="atLeast"/>
              <w:jc w:val="center"/>
              <w:rPr>
                <w:rFonts w:asciiTheme="minorEastAsia" w:hAnsiTheme="minorEastAsia"/>
                <w:color w:val="000000" w:themeColor="text1"/>
                <w:sz w:val="28"/>
                <w14:textFill>
                  <w14:solidFill>
                    <w14:schemeClr w14:val="tx1"/>
                  </w14:solidFill>
                </w14:textFill>
              </w:rPr>
            </w:pPr>
          </w:p>
          <w:p>
            <w:pPr>
              <w:spacing w:line="400" w:lineRule="atLeast"/>
              <w:jc w:val="center"/>
              <w:rPr>
                <w:rFonts w:asciiTheme="minorEastAsia" w:hAnsiTheme="minorEastAsia"/>
                <w:color w:val="000000" w:themeColor="text1"/>
                <w:sz w:val="28"/>
                <w14:textFill>
                  <w14:solidFill>
                    <w14:schemeClr w14:val="tx1"/>
                  </w14:solidFill>
                </w14:textFill>
              </w:rPr>
            </w:pPr>
          </w:p>
          <w:p>
            <w:pPr>
              <w:spacing w:line="400" w:lineRule="atLeast"/>
              <w:jc w:val="center"/>
              <w:rPr>
                <w:rFonts w:asciiTheme="minorEastAsia" w:hAnsiTheme="minorEastAsia"/>
                <w:color w:val="000000" w:themeColor="text1"/>
                <w:sz w:val="28"/>
                <w14:textFill>
                  <w14:solidFill>
                    <w14:schemeClr w14:val="tx1"/>
                  </w14:solidFill>
                </w14:textFill>
              </w:rPr>
            </w:pPr>
          </w:p>
          <w:p>
            <w:pPr>
              <w:spacing w:line="400" w:lineRule="atLeast"/>
              <w:jc w:val="center"/>
              <w:rPr>
                <w:rFonts w:asciiTheme="minorEastAsia" w:hAnsiTheme="minorEastAsia"/>
                <w:color w:val="000000" w:themeColor="text1"/>
                <w:sz w:val="28"/>
                <w14:textFill>
                  <w14:solidFill>
                    <w14:schemeClr w14:val="tx1"/>
                  </w14:solidFill>
                </w14:textFill>
              </w:rPr>
            </w:pPr>
            <w:r>
              <w:rPr>
                <w:rFonts w:hint="eastAsia" w:asciiTheme="minorEastAsia" w:hAnsiTheme="minorEastAsia"/>
                <w:color w:val="000000" w:themeColor="text1"/>
                <w:sz w:val="28"/>
                <w14:textFill>
                  <w14:solidFill>
                    <w14:schemeClr w14:val="tx1"/>
                  </w14:solidFill>
                </w14:textFill>
              </w:rPr>
              <w:t xml:space="preserve">                       公     章</w:t>
            </w:r>
          </w:p>
          <w:p>
            <w:pPr>
              <w:spacing w:line="400" w:lineRule="atLeast"/>
              <w:rPr>
                <w:rFonts w:asciiTheme="minorEastAsia" w:hAnsiTheme="minorEastAsia"/>
                <w:color w:val="000000" w:themeColor="text1"/>
                <w:sz w:val="28"/>
                <w14:textFill>
                  <w14:solidFill>
                    <w14:schemeClr w14:val="tx1"/>
                  </w14:solidFill>
                </w14:textFill>
              </w:rPr>
            </w:pPr>
            <w:r>
              <w:rPr>
                <w:rFonts w:hint="eastAsia" w:asciiTheme="minorEastAsia" w:hAnsiTheme="minorEastAsia"/>
                <w:color w:val="000000" w:themeColor="text1"/>
                <w:sz w:val="28"/>
                <w14:textFill>
                  <w14:solidFill>
                    <w14:schemeClr w14:val="tx1"/>
                  </w14:solidFill>
                </w14:textFill>
              </w:rPr>
              <w:t>经办人：</w:t>
            </w:r>
          </w:p>
          <w:p>
            <w:pPr>
              <w:spacing w:line="400" w:lineRule="atLeast"/>
              <w:rPr>
                <w:rFonts w:asciiTheme="minorEastAsia" w:hAnsiTheme="minorEastAsia"/>
                <w:color w:val="000000" w:themeColor="text1"/>
                <w:sz w:val="28"/>
                <w14:textFill>
                  <w14:solidFill>
                    <w14:schemeClr w14:val="tx1"/>
                  </w14:solidFill>
                </w14:textFill>
              </w:rPr>
            </w:pPr>
            <w:r>
              <w:rPr>
                <w:rFonts w:hint="eastAsia" w:asciiTheme="minorEastAsia" w:hAnsiTheme="minorEastAsia"/>
                <w:color w:val="000000" w:themeColor="text1"/>
                <w:sz w:val="28"/>
                <w14:textFill>
                  <w14:solidFill>
                    <w14:schemeClr w14:val="tx1"/>
                  </w14:solidFill>
                </w14:textFill>
              </w:rPr>
              <w:t xml:space="preserve">                                     年    月     日</w:t>
            </w:r>
          </w:p>
        </w:tc>
      </w:tr>
    </w:tbl>
    <w:p>
      <w:pPr>
        <w:rPr>
          <w:rFonts w:ascii="宋体" w:hAnsi="宋体"/>
          <w:color w:val="auto"/>
          <w:sz w:val="28"/>
          <w:szCs w:val="28"/>
        </w:rPr>
      </w:pPr>
    </w:p>
    <w:tbl>
      <w:tblPr>
        <w:tblStyle w:val="10"/>
        <w:tblpPr w:leftFromText="180" w:rightFromText="180" w:vertAnchor="text" w:horzAnchor="margin" w:tblpX="-176" w:tblpY="164"/>
        <w:tblW w:w="90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40" w:hRule="atLeast"/>
        </w:trPr>
        <w:tc>
          <w:tcPr>
            <w:tcW w:w="9073" w:type="dxa"/>
            <w:tcBorders>
              <w:top w:val="single" w:color="auto" w:sz="12" w:space="0"/>
              <w:left w:val="single" w:color="auto" w:sz="12" w:space="0"/>
              <w:bottom w:val="single" w:color="auto" w:sz="12" w:space="0"/>
              <w:right w:val="single" w:color="auto" w:sz="12" w:space="0"/>
            </w:tcBorders>
          </w:tcPr>
          <w:p>
            <w:pPr>
              <w:spacing w:line="400" w:lineRule="atLeast"/>
              <w:ind w:left="-123" w:leftChars="-52" w:hanging="2"/>
            </w:pPr>
            <w:r>
              <w:rPr>
                <w:rFonts w:hint="eastAsia"/>
                <w:sz w:val="30"/>
              </w:rPr>
              <w:t>审批意见：</w:t>
            </w: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ind w:firstLine="540" w:firstLineChars="225"/>
              <w:jc w:val="center"/>
            </w:pPr>
          </w:p>
          <w:p>
            <w:pPr>
              <w:spacing w:line="400" w:lineRule="atLeast"/>
              <w:rPr>
                <w:sz w:val="30"/>
              </w:rPr>
            </w:pPr>
            <w:r>
              <w:rPr>
                <w:rFonts w:hint="eastAsia"/>
                <w:sz w:val="30"/>
              </w:rPr>
              <w:t xml:space="preserve">                                   公     章</w:t>
            </w:r>
          </w:p>
          <w:p>
            <w:pPr>
              <w:spacing w:line="400" w:lineRule="atLeast"/>
              <w:ind w:firstLine="300" w:firstLineChars="100"/>
              <w:rPr>
                <w:sz w:val="30"/>
              </w:rPr>
            </w:pPr>
            <w:r>
              <w:rPr>
                <w:rFonts w:hint="eastAsia"/>
                <w:sz w:val="30"/>
              </w:rPr>
              <w:t>经办人：</w:t>
            </w:r>
          </w:p>
          <w:p>
            <w:pPr>
              <w:spacing w:line="0" w:lineRule="atLeast"/>
              <w:ind w:firstLine="600" w:firstLineChars="200"/>
              <w:rPr>
                <w:sz w:val="30"/>
              </w:rPr>
            </w:pPr>
            <w:r>
              <w:rPr>
                <w:rFonts w:hint="eastAsia"/>
                <w:sz w:val="30"/>
              </w:rPr>
              <w:t xml:space="preserve">                                 年      月     日</w:t>
            </w:r>
          </w:p>
        </w:tc>
      </w:tr>
    </w:tbl>
    <w:tbl>
      <w:tblPr>
        <w:tblStyle w:val="11"/>
        <w:tblW w:w="907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95" w:hRule="atLeast"/>
        </w:trPr>
        <w:tc>
          <w:tcPr>
            <w:tcW w:w="9073" w:type="dxa"/>
            <w:tcBorders>
              <w:top w:val="single" w:color="auto" w:sz="12" w:space="0"/>
              <w:left w:val="single" w:color="auto" w:sz="12" w:space="0"/>
              <w:bottom w:val="single" w:color="auto" w:sz="12" w:space="0"/>
              <w:right w:val="single" w:color="auto" w:sz="12" w:space="0"/>
            </w:tcBorders>
          </w:tcPr>
          <w:p>
            <w:pPr>
              <w:widowControl w:val="0"/>
              <w:spacing w:line="600" w:lineRule="exact"/>
              <w:ind w:left="120" w:leftChars="50" w:right="120" w:rightChars="50"/>
              <w:jc w:val="center"/>
              <w:rPr>
                <w:rFonts w:ascii="Times New Roman" w:hAnsi="Times New Roman" w:eastAsia="宋体" w:cs="Times New Roman"/>
                <w:b/>
                <w:color w:val="auto"/>
                <w:spacing w:val="6"/>
                <w:szCs w:val="24"/>
              </w:rPr>
            </w:pPr>
            <w:r>
              <w:rPr>
                <w:rFonts w:ascii="Times New Roman" w:hAnsi="Times New Roman" w:eastAsia="宋体" w:cs="Times New Roman"/>
                <w:b/>
                <w:color w:val="auto"/>
                <w:spacing w:val="6"/>
                <w:szCs w:val="24"/>
              </w:rPr>
              <w:t>注    释</w:t>
            </w:r>
          </w:p>
          <w:p>
            <w:pPr>
              <w:widowControl w:val="0"/>
              <w:ind w:left="120" w:leftChars="50" w:right="120" w:rightChars="50"/>
              <w:rPr>
                <w:rFonts w:cs="Times New Roman" w:asciiTheme="minorEastAsia" w:hAnsiTheme="minorEastAsia"/>
                <w:color w:val="auto"/>
                <w:spacing w:val="6"/>
                <w:szCs w:val="24"/>
              </w:rPr>
            </w:pPr>
            <w:r>
              <w:rPr>
                <w:rFonts w:cs="Times New Roman" w:asciiTheme="minorEastAsia" w:hAnsiTheme="minorEastAsia"/>
                <w:color w:val="auto"/>
                <w:spacing w:val="6"/>
                <w:szCs w:val="24"/>
              </w:rPr>
              <w:t>一、本报告表应附以附件、附图：</w:t>
            </w:r>
          </w:p>
          <w:p>
            <w:pPr>
              <w:widowControl w:val="0"/>
              <w:ind w:left="120" w:leftChars="50" w:right="120" w:rightChars="50" w:firstLine="480" w:firstLineChars="200"/>
              <w:rPr>
                <w:rFonts w:cs="Times New Roman" w:asciiTheme="minorEastAsia" w:hAnsiTheme="minorEastAsia"/>
                <w:color w:val="auto"/>
                <w:szCs w:val="24"/>
              </w:rPr>
            </w:pPr>
            <w:r>
              <w:rPr>
                <w:rFonts w:hint="eastAsia" w:cs="Times New Roman" w:asciiTheme="minorEastAsia" w:hAnsiTheme="minorEastAsia"/>
                <w:color w:val="auto"/>
                <w:szCs w:val="24"/>
              </w:rPr>
              <w:t>附件</w:t>
            </w:r>
            <w:r>
              <w:rPr>
                <w:rFonts w:cs="Times New Roman" w:asciiTheme="minorEastAsia" w:hAnsiTheme="minorEastAsia"/>
                <w:color w:val="auto"/>
                <w:szCs w:val="24"/>
              </w:rPr>
              <w:t>一</w:t>
            </w:r>
            <w:r>
              <w:rPr>
                <w:rFonts w:hint="eastAsia" w:cs="Times New Roman" w:asciiTheme="minorEastAsia" w:hAnsiTheme="minorEastAsia"/>
                <w:color w:val="auto"/>
                <w:szCs w:val="24"/>
              </w:rPr>
              <w:t xml:space="preserve">  环评委托书</w:t>
            </w:r>
          </w:p>
          <w:p>
            <w:pPr>
              <w:widowControl w:val="0"/>
              <w:ind w:left="120" w:leftChars="50" w:right="120" w:rightChars="50" w:firstLine="480" w:firstLineChars="200"/>
              <w:rPr>
                <w:rFonts w:cs="Times New Roman" w:asciiTheme="minorEastAsia" w:hAnsiTheme="minorEastAsia"/>
                <w:color w:val="auto"/>
                <w:szCs w:val="24"/>
              </w:rPr>
            </w:pPr>
            <w:r>
              <w:rPr>
                <w:rFonts w:cs="Times New Roman" w:asciiTheme="minorEastAsia" w:hAnsiTheme="minorEastAsia"/>
                <w:color w:val="auto"/>
                <w:szCs w:val="24"/>
              </w:rPr>
              <w:t>附件</w:t>
            </w:r>
            <w:r>
              <w:rPr>
                <w:rFonts w:hint="eastAsia" w:cs="Times New Roman" w:asciiTheme="minorEastAsia" w:hAnsiTheme="minorEastAsia"/>
                <w:color w:val="auto"/>
                <w:szCs w:val="24"/>
              </w:rPr>
              <w:t>二</w:t>
            </w:r>
            <w:r>
              <w:rPr>
                <w:rFonts w:cs="Times New Roman" w:asciiTheme="minorEastAsia" w:hAnsiTheme="minorEastAsia"/>
                <w:color w:val="auto"/>
                <w:szCs w:val="24"/>
              </w:rPr>
              <w:t xml:space="preserve"> </w:t>
            </w:r>
            <w:r>
              <w:rPr>
                <w:rFonts w:hint="eastAsia" w:cs="Times New Roman" w:asciiTheme="minorEastAsia" w:hAnsiTheme="minorEastAsia"/>
                <w:color w:val="auto"/>
                <w:szCs w:val="24"/>
                <w:lang w:eastAsia="zh-CN"/>
              </w:rPr>
              <w:t>乡镇同意落户的证明</w:t>
            </w:r>
          </w:p>
          <w:p>
            <w:pPr>
              <w:widowControl w:val="0"/>
              <w:ind w:left="120" w:leftChars="50" w:right="120" w:rightChars="50" w:firstLine="480" w:firstLineChars="200"/>
              <w:rPr>
                <w:rFonts w:cs="Times New Roman" w:asciiTheme="minorEastAsia" w:hAnsiTheme="minorEastAsia"/>
                <w:color w:val="auto"/>
                <w:szCs w:val="24"/>
              </w:rPr>
            </w:pPr>
            <w:r>
              <w:rPr>
                <w:rFonts w:hint="eastAsia" w:cs="Times New Roman" w:asciiTheme="minorEastAsia" w:hAnsiTheme="minorEastAsia"/>
                <w:color w:val="auto"/>
                <w:szCs w:val="24"/>
              </w:rPr>
              <w:t>附件三  项目营业执照</w:t>
            </w:r>
          </w:p>
          <w:p>
            <w:pPr>
              <w:widowControl w:val="0"/>
              <w:ind w:left="120" w:leftChars="50" w:right="120" w:rightChars="50" w:firstLine="480" w:firstLineChars="200"/>
              <w:rPr>
                <w:rFonts w:cs="Times New Roman" w:asciiTheme="minorEastAsia" w:hAnsiTheme="minorEastAsia"/>
                <w:color w:val="auto"/>
                <w:szCs w:val="24"/>
              </w:rPr>
            </w:pPr>
            <w:r>
              <w:rPr>
                <w:rFonts w:hint="eastAsia" w:cs="Times New Roman" w:asciiTheme="minorEastAsia" w:hAnsiTheme="minorEastAsia"/>
                <w:color w:val="auto"/>
                <w:szCs w:val="24"/>
              </w:rPr>
              <w:t>附件四  部分土地</w:t>
            </w:r>
            <w:r>
              <w:rPr>
                <w:rFonts w:cs="Times New Roman" w:asciiTheme="minorEastAsia" w:hAnsiTheme="minorEastAsia"/>
                <w:color w:val="auto"/>
                <w:szCs w:val="24"/>
              </w:rPr>
              <w:t>租赁合同</w:t>
            </w:r>
          </w:p>
          <w:p>
            <w:pPr>
              <w:widowControl w:val="0"/>
              <w:ind w:left="120" w:leftChars="50" w:right="120" w:rightChars="50" w:firstLine="480" w:firstLineChars="200"/>
              <w:rPr>
                <w:rFonts w:cs="Times New Roman" w:asciiTheme="minorEastAsia" w:hAnsiTheme="minorEastAsia"/>
                <w:color w:val="auto"/>
                <w:szCs w:val="24"/>
              </w:rPr>
            </w:pPr>
            <w:r>
              <w:rPr>
                <w:rFonts w:hint="eastAsia" w:cs="Times New Roman" w:asciiTheme="minorEastAsia" w:hAnsiTheme="minorEastAsia"/>
                <w:color w:val="auto"/>
                <w:szCs w:val="24"/>
              </w:rPr>
              <w:t>附件五  监测报告</w:t>
            </w:r>
          </w:p>
          <w:p>
            <w:pPr>
              <w:widowControl w:val="0"/>
              <w:ind w:left="120" w:leftChars="50" w:right="120" w:rightChars="50" w:firstLine="480" w:firstLineChars="200"/>
              <w:rPr>
                <w:rFonts w:cs="Times New Roman" w:asciiTheme="minorEastAsia" w:hAnsiTheme="minorEastAsia"/>
                <w:color w:val="auto"/>
                <w:szCs w:val="24"/>
              </w:rPr>
            </w:pPr>
            <w:r>
              <w:rPr>
                <w:rFonts w:hint="eastAsia" w:cs="Times New Roman" w:asciiTheme="minorEastAsia" w:hAnsiTheme="minorEastAsia"/>
                <w:color w:val="auto"/>
                <w:szCs w:val="24"/>
              </w:rPr>
              <w:t>附件六  湘艺牡丹园道路备案红线图</w:t>
            </w:r>
          </w:p>
          <w:p>
            <w:pPr>
              <w:widowControl w:val="0"/>
              <w:ind w:left="120" w:leftChars="50" w:right="120" w:rightChars="50" w:firstLine="480" w:firstLineChars="200"/>
              <w:rPr>
                <w:rFonts w:hint="eastAsia" w:cs="Times New Roman" w:asciiTheme="minorEastAsia" w:hAnsiTheme="minorEastAsia"/>
                <w:color w:val="auto"/>
                <w:szCs w:val="24"/>
                <w:lang w:eastAsia="zh-CN"/>
              </w:rPr>
            </w:pPr>
            <w:r>
              <w:rPr>
                <w:rFonts w:hint="eastAsia" w:cs="Times New Roman" w:asciiTheme="minorEastAsia" w:hAnsiTheme="minorEastAsia"/>
                <w:color w:val="auto"/>
                <w:szCs w:val="24"/>
              </w:rPr>
              <w:t xml:space="preserve">附件七  </w:t>
            </w:r>
            <w:r>
              <w:rPr>
                <w:rFonts w:hint="eastAsia" w:cs="Times New Roman" w:asciiTheme="minorEastAsia" w:hAnsiTheme="minorEastAsia"/>
                <w:color w:val="auto"/>
                <w:szCs w:val="24"/>
                <w:lang w:eastAsia="zh-CN"/>
              </w:rPr>
              <w:t>评审专家签字表</w:t>
            </w:r>
          </w:p>
          <w:p>
            <w:pPr>
              <w:widowControl w:val="0"/>
              <w:ind w:left="120" w:leftChars="50" w:right="120" w:rightChars="50" w:firstLine="480" w:firstLineChars="200"/>
              <w:rPr>
                <w:rFonts w:cs="Times New Roman" w:asciiTheme="minorEastAsia" w:hAnsiTheme="minorEastAsia"/>
                <w:color w:val="auto"/>
                <w:szCs w:val="24"/>
              </w:rPr>
            </w:pPr>
            <w:r>
              <w:rPr>
                <w:rFonts w:hint="eastAsia" w:cs="Times New Roman" w:asciiTheme="minorEastAsia" w:hAnsiTheme="minorEastAsia"/>
                <w:color w:val="auto"/>
                <w:szCs w:val="24"/>
                <w:lang w:eastAsia="zh-CN"/>
              </w:rPr>
              <w:t>附件八　</w:t>
            </w:r>
            <w:r>
              <w:rPr>
                <w:rFonts w:hint="eastAsia" w:cs="Times New Roman" w:asciiTheme="minorEastAsia" w:hAnsiTheme="minorEastAsia"/>
                <w:color w:val="auto"/>
                <w:szCs w:val="24"/>
              </w:rPr>
              <w:t>专家评审意见</w:t>
            </w:r>
          </w:p>
          <w:p>
            <w:pPr>
              <w:widowControl w:val="0"/>
              <w:ind w:left="120" w:leftChars="50" w:right="120" w:rightChars="50" w:firstLine="480" w:firstLineChars="200"/>
              <w:rPr>
                <w:rFonts w:cs="Times New Roman" w:asciiTheme="minorEastAsia" w:hAnsiTheme="minorEastAsia"/>
                <w:color w:val="auto"/>
                <w:szCs w:val="24"/>
              </w:rPr>
            </w:pPr>
            <w:r>
              <w:rPr>
                <w:rFonts w:hint="eastAsia" w:cs="Times New Roman" w:asciiTheme="minorEastAsia" w:hAnsiTheme="minorEastAsia"/>
                <w:color w:val="auto"/>
                <w:szCs w:val="24"/>
              </w:rPr>
              <w:t>附件</w:t>
            </w:r>
            <w:r>
              <w:rPr>
                <w:rFonts w:hint="eastAsia" w:cs="Times New Roman" w:asciiTheme="minorEastAsia" w:hAnsiTheme="minorEastAsia"/>
                <w:color w:val="auto"/>
                <w:szCs w:val="24"/>
                <w:lang w:eastAsia="zh-CN"/>
              </w:rPr>
              <w:t>九</w:t>
            </w:r>
            <w:r>
              <w:rPr>
                <w:rFonts w:hint="eastAsia" w:cs="Times New Roman" w:asciiTheme="minorEastAsia" w:hAnsiTheme="minorEastAsia"/>
                <w:color w:val="auto"/>
                <w:szCs w:val="24"/>
              </w:rPr>
              <w:t xml:space="preserve">  平江县湘艺牡丹花生态园环评批复申请函</w:t>
            </w:r>
          </w:p>
          <w:p>
            <w:pPr>
              <w:widowControl w:val="0"/>
              <w:ind w:left="120" w:leftChars="50" w:right="120" w:rightChars="50" w:firstLine="480" w:firstLineChars="200"/>
              <w:rPr>
                <w:rFonts w:cs="Times New Roman" w:asciiTheme="minorEastAsia" w:hAnsiTheme="minorEastAsia"/>
                <w:color w:val="auto"/>
                <w:szCs w:val="24"/>
              </w:rPr>
            </w:pPr>
            <w:r>
              <w:rPr>
                <w:rFonts w:cs="Times New Roman" w:asciiTheme="minorEastAsia" w:hAnsiTheme="minorEastAsia"/>
                <w:color w:val="auto"/>
                <w:szCs w:val="24"/>
              </w:rPr>
              <w:t>附图一  项目地理位置图</w:t>
            </w:r>
          </w:p>
          <w:p>
            <w:pPr>
              <w:widowControl w:val="0"/>
              <w:ind w:left="120" w:leftChars="50" w:right="120" w:rightChars="50" w:firstLine="480" w:firstLineChars="200"/>
              <w:rPr>
                <w:rFonts w:cs="Times New Roman" w:asciiTheme="minorEastAsia" w:hAnsiTheme="minorEastAsia"/>
                <w:color w:val="auto"/>
                <w:szCs w:val="24"/>
              </w:rPr>
            </w:pPr>
            <w:r>
              <w:rPr>
                <w:rFonts w:cs="Times New Roman" w:asciiTheme="minorEastAsia" w:hAnsiTheme="minorEastAsia"/>
                <w:color w:val="auto"/>
                <w:szCs w:val="24"/>
              </w:rPr>
              <w:t xml:space="preserve">附图二  </w:t>
            </w:r>
            <w:r>
              <w:rPr>
                <w:rFonts w:hint="eastAsia" w:cs="Times New Roman" w:asciiTheme="minorEastAsia" w:hAnsiTheme="minorEastAsia"/>
                <w:color w:val="auto"/>
                <w:szCs w:val="24"/>
              </w:rPr>
              <w:t>项目厂区平面布置图</w:t>
            </w:r>
          </w:p>
          <w:p>
            <w:pPr>
              <w:widowControl w:val="0"/>
              <w:ind w:left="120" w:leftChars="50" w:right="120" w:rightChars="50" w:firstLine="480" w:firstLineChars="200"/>
              <w:rPr>
                <w:rFonts w:cs="Times New Roman" w:asciiTheme="minorEastAsia" w:hAnsiTheme="minorEastAsia"/>
                <w:color w:val="auto"/>
                <w:szCs w:val="24"/>
              </w:rPr>
            </w:pPr>
            <w:r>
              <w:rPr>
                <w:rFonts w:cs="Times New Roman" w:asciiTheme="minorEastAsia" w:hAnsiTheme="minorEastAsia"/>
                <w:color w:val="auto"/>
                <w:szCs w:val="24"/>
              </w:rPr>
              <w:t xml:space="preserve">附图三  </w:t>
            </w:r>
            <w:r>
              <w:rPr>
                <w:rFonts w:hint="eastAsia" w:cs="Times New Roman" w:asciiTheme="minorEastAsia" w:hAnsiTheme="minorEastAsia"/>
                <w:color w:val="auto"/>
                <w:szCs w:val="24"/>
              </w:rPr>
              <w:t>项目监测布点图</w:t>
            </w:r>
          </w:p>
          <w:p>
            <w:pPr>
              <w:widowControl w:val="0"/>
              <w:ind w:left="120" w:leftChars="50" w:right="120" w:rightChars="50" w:firstLine="480" w:firstLineChars="200"/>
              <w:rPr>
                <w:rFonts w:cs="Times New Roman" w:asciiTheme="minorEastAsia" w:hAnsiTheme="minorEastAsia"/>
                <w:color w:val="auto"/>
                <w:szCs w:val="24"/>
              </w:rPr>
            </w:pPr>
            <w:r>
              <w:rPr>
                <w:rFonts w:hint="eastAsia" w:cs="Times New Roman" w:asciiTheme="minorEastAsia" w:hAnsiTheme="minorEastAsia"/>
                <w:color w:val="auto"/>
                <w:szCs w:val="24"/>
              </w:rPr>
              <w:t>附图四  项目周边现状照片</w:t>
            </w:r>
          </w:p>
          <w:p>
            <w:pPr>
              <w:widowControl w:val="0"/>
              <w:ind w:left="120" w:leftChars="50" w:right="120" w:rightChars="50" w:firstLine="480" w:firstLineChars="200"/>
              <w:rPr>
                <w:rFonts w:cs="Times New Roman" w:asciiTheme="minorEastAsia" w:hAnsiTheme="minorEastAsia"/>
                <w:color w:val="auto"/>
                <w:szCs w:val="24"/>
              </w:rPr>
            </w:pPr>
            <w:r>
              <w:rPr>
                <w:rFonts w:hint="eastAsia" w:cs="Times New Roman" w:asciiTheme="minorEastAsia" w:hAnsiTheme="minorEastAsia"/>
                <w:color w:val="auto"/>
                <w:szCs w:val="24"/>
              </w:rPr>
              <w:t>附图五  项目周边环境保护目标图</w:t>
            </w:r>
          </w:p>
          <w:p>
            <w:pPr>
              <w:widowControl w:val="0"/>
              <w:spacing w:line="600" w:lineRule="exact"/>
              <w:ind w:left="624" w:leftChars="50" w:right="120" w:rightChars="50" w:hanging="504" w:hangingChars="200"/>
              <w:rPr>
                <w:rFonts w:cs="Times New Roman" w:asciiTheme="minorEastAsia" w:hAnsiTheme="minorEastAsia"/>
                <w:color w:val="auto"/>
                <w:spacing w:val="6"/>
                <w:szCs w:val="24"/>
              </w:rPr>
            </w:pPr>
            <w:r>
              <w:rPr>
                <w:rFonts w:cs="Times New Roman" w:asciiTheme="minorEastAsia" w:hAnsiTheme="minorEastAsia"/>
                <w:color w:val="auto"/>
                <w:spacing w:val="6"/>
                <w:szCs w:val="24"/>
              </w:rPr>
              <w:t>二、如果本报告表不能说明项目产生的污染及对环境造成的影响，应进行专项评价。根据建设项目的特点和当地环境特征，应选下列1—2项进行专项评价。</w:t>
            </w:r>
          </w:p>
          <w:p>
            <w:pPr>
              <w:widowControl w:val="0"/>
              <w:tabs>
                <w:tab w:val="left" w:pos="1113"/>
              </w:tabs>
              <w:spacing w:line="520" w:lineRule="exact"/>
              <w:ind w:left="120" w:leftChars="50" w:right="120" w:rightChars="50" w:firstLine="504" w:firstLineChars="200"/>
              <w:rPr>
                <w:rFonts w:cs="Times New Roman" w:asciiTheme="minorEastAsia" w:hAnsiTheme="minorEastAsia"/>
                <w:color w:val="auto"/>
                <w:spacing w:val="6"/>
                <w:szCs w:val="24"/>
              </w:rPr>
            </w:pPr>
            <w:r>
              <w:rPr>
                <w:rFonts w:cs="Times New Roman" w:asciiTheme="minorEastAsia" w:hAnsiTheme="minorEastAsia"/>
                <w:color w:val="auto"/>
                <w:spacing w:val="6"/>
                <w:szCs w:val="24"/>
              </w:rPr>
              <w:t>1、大气环境影响专项评价</w:t>
            </w:r>
          </w:p>
          <w:p>
            <w:pPr>
              <w:widowControl w:val="0"/>
              <w:tabs>
                <w:tab w:val="left" w:pos="1113"/>
              </w:tabs>
              <w:spacing w:line="520" w:lineRule="exact"/>
              <w:ind w:left="120" w:leftChars="50" w:right="120" w:rightChars="50" w:firstLine="504" w:firstLineChars="200"/>
              <w:rPr>
                <w:rFonts w:cs="Times New Roman" w:asciiTheme="minorEastAsia" w:hAnsiTheme="minorEastAsia"/>
                <w:color w:val="auto"/>
                <w:spacing w:val="6"/>
                <w:szCs w:val="24"/>
              </w:rPr>
            </w:pPr>
            <w:r>
              <w:rPr>
                <w:rFonts w:cs="Times New Roman" w:asciiTheme="minorEastAsia" w:hAnsiTheme="minorEastAsia"/>
                <w:color w:val="auto"/>
                <w:spacing w:val="6"/>
                <w:szCs w:val="24"/>
              </w:rPr>
              <w:t>2、水环境影响专项评价（包括地表水和地下水）</w:t>
            </w:r>
          </w:p>
          <w:p>
            <w:pPr>
              <w:widowControl w:val="0"/>
              <w:tabs>
                <w:tab w:val="left" w:pos="1113"/>
              </w:tabs>
              <w:spacing w:line="520" w:lineRule="exact"/>
              <w:ind w:left="120" w:leftChars="50" w:right="120" w:rightChars="50" w:firstLine="504" w:firstLineChars="200"/>
              <w:rPr>
                <w:rFonts w:cs="Times New Roman" w:asciiTheme="minorEastAsia" w:hAnsiTheme="minorEastAsia"/>
                <w:color w:val="auto"/>
                <w:spacing w:val="6"/>
                <w:szCs w:val="24"/>
              </w:rPr>
            </w:pPr>
            <w:r>
              <w:rPr>
                <w:rFonts w:cs="Times New Roman" w:asciiTheme="minorEastAsia" w:hAnsiTheme="minorEastAsia"/>
                <w:color w:val="auto"/>
                <w:spacing w:val="6"/>
                <w:szCs w:val="24"/>
              </w:rPr>
              <w:t>3、生态影响专项评价</w:t>
            </w:r>
          </w:p>
          <w:p>
            <w:pPr>
              <w:widowControl w:val="0"/>
              <w:tabs>
                <w:tab w:val="left" w:pos="1113"/>
              </w:tabs>
              <w:spacing w:line="520" w:lineRule="exact"/>
              <w:ind w:left="120" w:leftChars="50" w:right="120" w:rightChars="50" w:firstLine="504" w:firstLineChars="200"/>
              <w:rPr>
                <w:rFonts w:cs="Times New Roman" w:asciiTheme="minorEastAsia" w:hAnsiTheme="minorEastAsia"/>
                <w:color w:val="auto"/>
                <w:spacing w:val="6"/>
                <w:szCs w:val="24"/>
              </w:rPr>
            </w:pPr>
            <w:r>
              <w:rPr>
                <w:rFonts w:cs="Times New Roman" w:asciiTheme="minorEastAsia" w:hAnsiTheme="minorEastAsia"/>
                <w:color w:val="auto"/>
                <w:spacing w:val="6"/>
                <w:szCs w:val="24"/>
              </w:rPr>
              <w:t>4、声影响专项评价</w:t>
            </w:r>
          </w:p>
          <w:p>
            <w:pPr>
              <w:widowControl w:val="0"/>
              <w:tabs>
                <w:tab w:val="left" w:pos="1113"/>
              </w:tabs>
              <w:spacing w:line="520" w:lineRule="exact"/>
              <w:ind w:left="120" w:leftChars="50" w:right="120" w:rightChars="50" w:firstLine="504" w:firstLineChars="200"/>
              <w:rPr>
                <w:rFonts w:cs="Times New Roman" w:asciiTheme="minorEastAsia" w:hAnsiTheme="minorEastAsia"/>
                <w:color w:val="auto"/>
                <w:spacing w:val="6"/>
                <w:szCs w:val="24"/>
              </w:rPr>
            </w:pPr>
            <w:r>
              <w:rPr>
                <w:rFonts w:cs="Times New Roman" w:asciiTheme="minorEastAsia" w:hAnsiTheme="minorEastAsia"/>
                <w:color w:val="auto"/>
                <w:spacing w:val="6"/>
                <w:szCs w:val="24"/>
              </w:rPr>
              <w:t>5、土壤影响专项评价</w:t>
            </w:r>
          </w:p>
          <w:p>
            <w:pPr>
              <w:widowControl w:val="0"/>
              <w:tabs>
                <w:tab w:val="left" w:pos="1113"/>
              </w:tabs>
              <w:spacing w:line="520" w:lineRule="exact"/>
              <w:ind w:left="120" w:leftChars="50" w:right="120" w:rightChars="50" w:firstLine="504" w:firstLineChars="200"/>
              <w:rPr>
                <w:rFonts w:cs="Times New Roman" w:asciiTheme="minorEastAsia" w:hAnsiTheme="minorEastAsia"/>
                <w:color w:val="auto"/>
                <w:spacing w:val="6"/>
                <w:szCs w:val="24"/>
              </w:rPr>
            </w:pPr>
            <w:r>
              <w:rPr>
                <w:rFonts w:cs="Times New Roman" w:asciiTheme="minorEastAsia" w:hAnsiTheme="minorEastAsia"/>
                <w:color w:val="auto"/>
                <w:spacing w:val="6"/>
                <w:szCs w:val="24"/>
              </w:rPr>
              <w:t>6、固体废物影响专项评价</w:t>
            </w:r>
          </w:p>
          <w:p>
            <w:pPr>
              <w:spacing w:line="240" w:lineRule="auto"/>
              <w:rPr>
                <w:rFonts w:ascii="宋体" w:hAnsi="宋体"/>
                <w:color w:val="auto"/>
                <w:sz w:val="28"/>
                <w:szCs w:val="28"/>
              </w:rPr>
            </w:pPr>
            <w:r>
              <w:rPr>
                <w:rFonts w:cs="Times New Roman" w:asciiTheme="minorEastAsia" w:hAnsiTheme="minorEastAsia"/>
                <w:color w:val="auto"/>
                <w:spacing w:val="6"/>
                <w:szCs w:val="24"/>
              </w:rPr>
              <w:t>以上专项评价未包括的可列专项，专项评价按照《环境影响评价技术导则》中的要求进行。</w:t>
            </w:r>
          </w:p>
        </w:tc>
      </w:tr>
    </w:tbl>
    <w:p>
      <w:pPr>
        <w:rPr>
          <w:rFonts w:ascii="宋体" w:hAnsi="宋体"/>
          <w:color w:val="auto"/>
          <w:sz w:val="28"/>
          <w:szCs w:val="28"/>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0714752"/>
    </w:sdtPr>
    <w:sdtEndPr>
      <w:rPr>
        <w:b/>
      </w:rPr>
    </w:sdtEndPr>
    <w:sdtContent>
      <w:p>
        <w:pPr>
          <w:pStyle w:val="4"/>
          <w:jc w:val="right"/>
          <w:rPr>
            <w:b/>
          </w:rPr>
        </w:pPr>
        <w:r>
          <w:rPr>
            <w:b/>
          </w:rPr>
          <w:fldChar w:fldCharType="begin"/>
        </w:r>
        <w:r>
          <w:rPr>
            <w:b/>
          </w:rPr>
          <w:instrText xml:space="preserve">PAGE   \* MERGEFORMAT</w:instrText>
        </w:r>
        <w:r>
          <w:rPr>
            <w:b/>
          </w:rPr>
          <w:fldChar w:fldCharType="separate"/>
        </w:r>
        <w:r>
          <w:rPr>
            <w:b/>
            <w:lang w:val="zh-CN"/>
          </w:rPr>
          <w:t>5</w:t>
        </w:r>
        <w:r>
          <w:rPr>
            <w:b/>
          </w:rPr>
          <w:fldChar w:fldCharType="end"/>
        </w:r>
      </w:p>
    </w:sdtContent>
  </w:sdt>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FDA"/>
    <w:rsid w:val="00002E48"/>
    <w:rsid w:val="000072F1"/>
    <w:rsid w:val="0001229F"/>
    <w:rsid w:val="00013DA9"/>
    <w:rsid w:val="00013F23"/>
    <w:rsid w:val="00016123"/>
    <w:rsid w:val="00016F26"/>
    <w:rsid w:val="0002203A"/>
    <w:rsid w:val="00022516"/>
    <w:rsid w:val="000265F1"/>
    <w:rsid w:val="000370E4"/>
    <w:rsid w:val="000404E4"/>
    <w:rsid w:val="00041400"/>
    <w:rsid w:val="00042A2A"/>
    <w:rsid w:val="0004394A"/>
    <w:rsid w:val="000530B3"/>
    <w:rsid w:val="00057F54"/>
    <w:rsid w:val="0006522B"/>
    <w:rsid w:val="0006635B"/>
    <w:rsid w:val="000753E5"/>
    <w:rsid w:val="00076960"/>
    <w:rsid w:val="000805A1"/>
    <w:rsid w:val="00083FA2"/>
    <w:rsid w:val="000B5600"/>
    <w:rsid w:val="000B71D0"/>
    <w:rsid w:val="000C2A42"/>
    <w:rsid w:val="000C4392"/>
    <w:rsid w:val="000C73FE"/>
    <w:rsid w:val="000C7CB1"/>
    <w:rsid w:val="000D62CE"/>
    <w:rsid w:val="000F5A9C"/>
    <w:rsid w:val="000F5B6B"/>
    <w:rsid w:val="00100144"/>
    <w:rsid w:val="001066A3"/>
    <w:rsid w:val="00110713"/>
    <w:rsid w:val="001137D3"/>
    <w:rsid w:val="00125EB5"/>
    <w:rsid w:val="001310BA"/>
    <w:rsid w:val="00135C85"/>
    <w:rsid w:val="00143F3A"/>
    <w:rsid w:val="001448C9"/>
    <w:rsid w:val="00146093"/>
    <w:rsid w:val="00147263"/>
    <w:rsid w:val="00154836"/>
    <w:rsid w:val="00167E02"/>
    <w:rsid w:val="001720D2"/>
    <w:rsid w:val="00174703"/>
    <w:rsid w:val="00180BA1"/>
    <w:rsid w:val="001838B6"/>
    <w:rsid w:val="00185864"/>
    <w:rsid w:val="00187EBA"/>
    <w:rsid w:val="0019579D"/>
    <w:rsid w:val="001A184C"/>
    <w:rsid w:val="001A5B12"/>
    <w:rsid w:val="001A7EA6"/>
    <w:rsid w:val="001B1A94"/>
    <w:rsid w:val="001B2708"/>
    <w:rsid w:val="001B372B"/>
    <w:rsid w:val="001B4694"/>
    <w:rsid w:val="001B7C29"/>
    <w:rsid w:val="001C1782"/>
    <w:rsid w:val="001C59BD"/>
    <w:rsid w:val="001C5D56"/>
    <w:rsid w:val="001C6E00"/>
    <w:rsid w:val="001D6BB9"/>
    <w:rsid w:val="001F238B"/>
    <w:rsid w:val="001F2626"/>
    <w:rsid w:val="001F5A3F"/>
    <w:rsid w:val="00222AFF"/>
    <w:rsid w:val="00225E73"/>
    <w:rsid w:val="00232464"/>
    <w:rsid w:val="002434C6"/>
    <w:rsid w:val="00244D74"/>
    <w:rsid w:val="00253850"/>
    <w:rsid w:val="00264FE1"/>
    <w:rsid w:val="00272A85"/>
    <w:rsid w:val="00280A51"/>
    <w:rsid w:val="00281A20"/>
    <w:rsid w:val="00281D5A"/>
    <w:rsid w:val="00285631"/>
    <w:rsid w:val="00286EB6"/>
    <w:rsid w:val="00295900"/>
    <w:rsid w:val="002A391B"/>
    <w:rsid w:val="002A429B"/>
    <w:rsid w:val="002B1418"/>
    <w:rsid w:val="002B3E9C"/>
    <w:rsid w:val="002B49E2"/>
    <w:rsid w:val="002B771E"/>
    <w:rsid w:val="002C0A78"/>
    <w:rsid w:val="002C5332"/>
    <w:rsid w:val="002C5685"/>
    <w:rsid w:val="002D7295"/>
    <w:rsid w:val="002E2675"/>
    <w:rsid w:val="002E3998"/>
    <w:rsid w:val="002E4141"/>
    <w:rsid w:val="002E4788"/>
    <w:rsid w:val="002E4B23"/>
    <w:rsid w:val="002E622D"/>
    <w:rsid w:val="002F1340"/>
    <w:rsid w:val="002F4135"/>
    <w:rsid w:val="002F52B6"/>
    <w:rsid w:val="002F5D51"/>
    <w:rsid w:val="002F6E0D"/>
    <w:rsid w:val="003030CB"/>
    <w:rsid w:val="0030585E"/>
    <w:rsid w:val="00306AC5"/>
    <w:rsid w:val="00312793"/>
    <w:rsid w:val="00313220"/>
    <w:rsid w:val="00317724"/>
    <w:rsid w:val="00321D2D"/>
    <w:rsid w:val="0032363F"/>
    <w:rsid w:val="00324157"/>
    <w:rsid w:val="00325431"/>
    <w:rsid w:val="0033571D"/>
    <w:rsid w:val="00345A6D"/>
    <w:rsid w:val="00350E9E"/>
    <w:rsid w:val="00353F63"/>
    <w:rsid w:val="003559D4"/>
    <w:rsid w:val="00356864"/>
    <w:rsid w:val="003571B7"/>
    <w:rsid w:val="003708F3"/>
    <w:rsid w:val="00372F33"/>
    <w:rsid w:val="00373C5D"/>
    <w:rsid w:val="00376D43"/>
    <w:rsid w:val="0038584F"/>
    <w:rsid w:val="0039235F"/>
    <w:rsid w:val="003953F2"/>
    <w:rsid w:val="00396C5E"/>
    <w:rsid w:val="003A1ADC"/>
    <w:rsid w:val="003A67D5"/>
    <w:rsid w:val="003A6E18"/>
    <w:rsid w:val="003B3A6D"/>
    <w:rsid w:val="003B583D"/>
    <w:rsid w:val="003C06C3"/>
    <w:rsid w:val="003C10E9"/>
    <w:rsid w:val="003C2E6D"/>
    <w:rsid w:val="003C2F73"/>
    <w:rsid w:val="003C5AC3"/>
    <w:rsid w:val="003C772E"/>
    <w:rsid w:val="003D07A6"/>
    <w:rsid w:val="003D1D6A"/>
    <w:rsid w:val="003D40CD"/>
    <w:rsid w:val="003D5266"/>
    <w:rsid w:val="003E1EA6"/>
    <w:rsid w:val="003E3A63"/>
    <w:rsid w:val="003E5475"/>
    <w:rsid w:val="003F016A"/>
    <w:rsid w:val="003F0925"/>
    <w:rsid w:val="003F14D0"/>
    <w:rsid w:val="003F1661"/>
    <w:rsid w:val="00410A3F"/>
    <w:rsid w:val="004275BB"/>
    <w:rsid w:val="00427921"/>
    <w:rsid w:val="0043068E"/>
    <w:rsid w:val="0043290F"/>
    <w:rsid w:val="00432A25"/>
    <w:rsid w:val="00432F1C"/>
    <w:rsid w:val="00443E89"/>
    <w:rsid w:val="00456B9C"/>
    <w:rsid w:val="00460D1E"/>
    <w:rsid w:val="00460D50"/>
    <w:rsid w:val="00463C50"/>
    <w:rsid w:val="00472508"/>
    <w:rsid w:val="0047382D"/>
    <w:rsid w:val="0047395E"/>
    <w:rsid w:val="00477331"/>
    <w:rsid w:val="00477ADD"/>
    <w:rsid w:val="00486561"/>
    <w:rsid w:val="004977CB"/>
    <w:rsid w:val="004A7277"/>
    <w:rsid w:val="004C338E"/>
    <w:rsid w:val="004C360E"/>
    <w:rsid w:val="004D2492"/>
    <w:rsid w:val="004D48EE"/>
    <w:rsid w:val="004D651F"/>
    <w:rsid w:val="004E12AF"/>
    <w:rsid w:val="004E2795"/>
    <w:rsid w:val="004E4759"/>
    <w:rsid w:val="004E6412"/>
    <w:rsid w:val="004E6A63"/>
    <w:rsid w:val="004F033A"/>
    <w:rsid w:val="004F44B5"/>
    <w:rsid w:val="004F618B"/>
    <w:rsid w:val="004F79CD"/>
    <w:rsid w:val="005038A2"/>
    <w:rsid w:val="00510338"/>
    <w:rsid w:val="00516E22"/>
    <w:rsid w:val="0052346B"/>
    <w:rsid w:val="00523D4C"/>
    <w:rsid w:val="00523E26"/>
    <w:rsid w:val="00532BA7"/>
    <w:rsid w:val="00534843"/>
    <w:rsid w:val="00550A50"/>
    <w:rsid w:val="005543D9"/>
    <w:rsid w:val="00557512"/>
    <w:rsid w:val="005633B5"/>
    <w:rsid w:val="00564145"/>
    <w:rsid w:val="0056627A"/>
    <w:rsid w:val="005714BD"/>
    <w:rsid w:val="00575639"/>
    <w:rsid w:val="00580AF5"/>
    <w:rsid w:val="00581287"/>
    <w:rsid w:val="005819E0"/>
    <w:rsid w:val="00583FA4"/>
    <w:rsid w:val="00595DFF"/>
    <w:rsid w:val="005A2EA2"/>
    <w:rsid w:val="005A3FFF"/>
    <w:rsid w:val="005A67D8"/>
    <w:rsid w:val="005C392E"/>
    <w:rsid w:val="005C4F2C"/>
    <w:rsid w:val="005C5832"/>
    <w:rsid w:val="005C5A27"/>
    <w:rsid w:val="005C634E"/>
    <w:rsid w:val="005D1D61"/>
    <w:rsid w:val="005D2CA2"/>
    <w:rsid w:val="005D2E00"/>
    <w:rsid w:val="005D45DE"/>
    <w:rsid w:val="005D5049"/>
    <w:rsid w:val="005D547D"/>
    <w:rsid w:val="005D6FA4"/>
    <w:rsid w:val="005E6118"/>
    <w:rsid w:val="005F0AC6"/>
    <w:rsid w:val="005F21E7"/>
    <w:rsid w:val="005F5C95"/>
    <w:rsid w:val="005F5D1A"/>
    <w:rsid w:val="006000EA"/>
    <w:rsid w:val="0060241C"/>
    <w:rsid w:val="00603DA6"/>
    <w:rsid w:val="006129E8"/>
    <w:rsid w:val="00615A46"/>
    <w:rsid w:val="00622862"/>
    <w:rsid w:val="00622B1B"/>
    <w:rsid w:val="0062536D"/>
    <w:rsid w:val="00632BD9"/>
    <w:rsid w:val="006335F0"/>
    <w:rsid w:val="006343A8"/>
    <w:rsid w:val="00635419"/>
    <w:rsid w:val="00636120"/>
    <w:rsid w:val="00640A2D"/>
    <w:rsid w:val="00645B7B"/>
    <w:rsid w:val="006511C5"/>
    <w:rsid w:val="006513FD"/>
    <w:rsid w:val="00656707"/>
    <w:rsid w:val="00657962"/>
    <w:rsid w:val="00657F04"/>
    <w:rsid w:val="006614FE"/>
    <w:rsid w:val="00663639"/>
    <w:rsid w:val="00670E45"/>
    <w:rsid w:val="00672A69"/>
    <w:rsid w:val="00672FAE"/>
    <w:rsid w:val="006733E7"/>
    <w:rsid w:val="00673B78"/>
    <w:rsid w:val="00673F34"/>
    <w:rsid w:val="00683E33"/>
    <w:rsid w:val="00694981"/>
    <w:rsid w:val="006A5FDA"/>
    <w:rsid w:val="006B5BE9"/>
    <w:rsid w:val="006B7DFD"/>
    <w:rsid w:val="006B7E6A"/>
    <w:rsid w:val="006C3ADE"/>
    <w:rsid w:val="006D08D9"/>
    <w:rsid w:val="006D1922"/>
    <w:rsid w:val="006E5D6D"/>
    <w:rsid w:val="006E6384"/>
    <w:rsid w:val="006E67F5"/>
    <w:rsid w:val="006F71F8"/>
    <w:rsid w:val="0071005C"/>
    <w:rsid w:val="00710226"/>
    <w:rsid w:val="00711D7C"/>
    <w:rsid w:val="00715DFA"/>
    <w:rsid w:val="00725ACE"/>
    <w:rsid w:val="0074620C"/>
    <w:rsid w:val="00746A04"/>
    <w:rsid w:val="00755E33"/>
    <w:rsid w:val="0076087F"/>
    <w:rsid w:val="007661FA"/>
    <w:rsid w:val="00771319"/>
    <w:rsid w:val="00772982"/>
    <w:rsid w:val="00772B70"/>
    <w:rsid w:val="00774015"/>
    <w:rsid w:val="00775273"/>
    <w:rsid w:val="00784BBB"/>
    <w:rsid w:val="00785F5A"/>
    <w:rsid w:val="00786A4D"/>
    <w:rsid w:val="0078792E"/>
    <w:rsid w:val="00787A7D"/>
    <w:rsid w:val="007906D4"/>
    <w:rsid w:val="007A0608"/>
    <w:rsid w:val="007A10D8"/>
    <w:rsid w:val="007A4543"/>
    <w:rsid w:val="007C2D5C"/>
    <w:rsid w:val="007C2EBE"/>
    <w:rsid w:val="007C37BF"/>
    <w:rsid w:val="007C62BE"/>
    <w:rsid w:val="007D0904"/>
    <w:rsid w:val="007F5D64"/>
    <w:rsid w:val="008012FB"/>
    <w:rsid w:val="0080523F"/>
    <w:rsid w:val="008106AE"/>
    <w:rsid w:val="00810B17"/>
    <w:rsid w:val="00813E91"/>
    <w:rsid w:val="00821AF7"/>
    <w:rsid w:val="00821B41"/>
    <w:rsid w:val="00832B79"/>
    <w:rsid w:val="0084017B"/>
    <w:rsid w:val="00844C67"/>
    <w:rsid w:val="00850763"/>
    <w:rsid w:val="0085442B"/>
    <w:rsid w:val="00855908"/>
    <w:rsid w:val="00862A5E"/>
    <w:rsid w:val="00866F51"/>
    <w:rsid w:val="0087154F"/>
    <w:rsid w:val="00873E3D"/>
    <w:rsid w:val="00873FCC"/>
    <w:rsid w:val="00890427"/>
    <w:rsid w:val="00890FE5"/>
    <w:rsid w:val="008934E9"/>
    <w:rsid w:val="008961EF"/>
    <w:rsid w:val="008A3460"/>
    <w:rsid w:val="008A60FA"/>
    <w:rsid w:val="008B5C10"/>
    <w:rsid w:val="008C2735"/>
    <w:rsid w:val="008C335E"/>
    <w:rsid w:val="008C6FE5"/>
    <w:rsid w:val="008D073A"/>
    <w:rsid w:val="008D7B24"/>
    <w:rsid w:val="008E2606"/>
    <w:rsid w:val="008E4DA4"/>
    <w:rsid w:val="008E55C6"/>
    <w:rsid w:val="008E5823"/>
    <w:rsid w:val="008F0C5D"/>
    <w:rsid w:val="008F49CC"/>
    <w:rsid w:val="0090155F"/>
    <w:rsid w:val="009020AE"/>
    <w:rsid w:val="00902AD2"/>
    <w:rsid w:val="00905F8A"/>
    <w:rsid w:val="00905FA8"/>
    <w:rsid w:val="009113AA"/>
    <w:rsid w:val="00916AE6"/>
    <w:rsid w:val="00920C6D"/>
    <w:rsid w:val="009340C4"/>
    <w:rsid w:val="00936B3D"/>
    <w:rsid w:val="00941B81"/>
    <w:rsid w:val="00941C5A"/>
    <w:rsid w:val="009475DB"/>
    <w:rsid w:val="00947BFD"/>
    <w:rsid w:val="0095498E"/>
    <w:rsid w:val="00954A61"/>
    <w:rsid w:val="00954DE0"/>
    <w:rsid w:val="00966C51"/>
    <w:rsid w:val="00973069"/>
    <w:rsid w:val="0097745D"/>
    <w:rsid w:val="00980C57"/>
    <w:rsid w:val="0099195F"/>
    <w:rsid w:val="00996B10"/>
    <w:rsid w:val="009A0125"/>
    <w:rsid w:val="009A2683"/>
    <w:rsid w:val="009B05A4"/>
    <w:rsid w:val="009B36B1"/>
    <w:rsid w:val="009B57A6"/>
    <w:rsid w:val="009B5EFB"/>
    <w:rsid w:val="009D657B"/>
    <w:rsid w:val="00A0512E"/>
    <w:rsid w:val="00A052C3"/>
    <w:rsid w:val="00A12B94"/>
    <w:rsid w:val="00A142A0"/>
    <w:rsid w:val="00A16D8B"/>
    <w:rsid w:val="00A21FC8"/>
    <w:rsid w:val="00A22B36"/>
    <w:rsid w:val="00A231E9"/>
    <w:rsid w:val="00A2407A"/>
    <w:rsid w:val="00A260D6"/>
    <w:rsid w:val="00A43984"/>
    <w:rsid w:val="00A44E54"/>
    <w:rsid w:val="00A475A7"/>
    <w:rsid w:val="00A525E5"/>
    <w:rsid w:val="00A53D51"/>
    <w:rsid w:val="00A709F5"/>
    <w:rsid w:val="00A753E9"/>
    <w:rsid w:val="00A75AD9"/>
    <w:rsid w:val="00A77F0E"/>
    <w:rsid w:val="00A81833"/>
    <w:rsid w:val="00A822B6"/>
    <w:rsid w:val="00A86F55"/>
    <w:rsid w:val="00AA0A88"/>
    <w:rsid w:val="00AA3DFA"/>
    <w:rsid w:val="00AA4940"/>
    <w:rsid w:val="00AA4B5F"/>
    <w:rsid w:val="00AB005C"/>
    <w:rsid w:val="00AB02D6"/>
    <w:rsid w:val="00AB6901"/>
    <w:rsid w:val="00AB7142"/>
    <w:rsid w:val="00AC7D04"/>
    <w:rsid w:val="00AD40B6"/>
    <w:rsid w:val="00AD44D5"/>
    <w:rsid w:val="00AD4EF5"/>
    <w:rsid w:val="00AD65BC"/>
    <w:rsid w:val="00AD7DAF"/>
    <w:rsid w:val="00AE1786"/>
    <w:rsid w:val="00AF1ED4"/>
    <w:rsid w:val="00AF550F"/>
    <w:rsid w:val="00AF59AB"/>
    <w:rsid w:val="00AF5FEB"/>
    <w:rsid w:val="00B170B1"/>
    <w:rsid w:val="00B2432E"/>
    <w:rsid w:val="00B27912"/>
    <w:rsid w:val="00B37804"/>
    <w:rsid w:val="00B4277E"/>
    <w:rsid w:val="00B505F0"/>
    <w:rsid w:val="00B50BE7"/>
    <w:rsid w:val="00B57381"/>
    <w:rsid w:val="00B62D55"/>
    <w:rsid w:val="00B657C2"/>
    <w:rsid w:val="00B70C96"/>
    <w:rsid w:val="00B71E49"/>
    <w:rsid w:val="00B75A2A"/>
    <w:rsid w:val="00B77016"/>
    <w:rsid w:val="00B8025A"/>
    <w:rsid w:val="00B87FB0"/>
    <w:rsid w:val="00B90A97"/>
    <w:rsid w:val="00B9505E"/>
    <w:rsid w:val="00B96298"/>
    <w:rsid w:val="00BA1190"/>
    <w:rsid w:val="00BA1CB1"/>
    <w:rsid w:val="00BA329A"/>
    <w:rsid w:val="00BB10D9"/>
    <w:rsid w:val="00BB2B59"/>
    <w:rsid w:val="00BB4A7D"/>
    <w:rsid w:val="00BC0F36"/>
    <w:rsid w:val="00BC2DB7"/>
    <w:rsid w:val="00BC364E"/>
    <w:rsid w:val="00BC3B6A"/>
    <w:rsid w:val="00BC7F16"/>
    <w:rsid w:val="00BD6FC0"/>
    <w:rsid w:val="00BE6738"/>
    <w:rsid w:val="00BE700B"/>
    <w:rsid w:val="00BF24D6"/>
    <w:rsid w:val="00BF408F"/>
    <w:rsid w:val="00BF4F1E"/>
    <w:rsid w:val="00BF74BC"/>
    <w:rsid w:val="00C04586"/>
    <w:rsid w:val="00C0480F"/>
    <w:rsid w:val="00C11F80"/>
    <w:rsid w:val="00C128DA"/>
    <w:rsid w:val="00C30FEA"/>
    <w:rsid w:val="00C37317"/>
    <w:rsid w:val="00C40BBD"/>
    <w:rsid w:val="00C42B5D"/>
    <w:rsid w:val="00C45520"/>
    <w:rsid w:val="00C468B7"/>
    <w:rsid w:val="00C61E2E"/>
    <w:rsid w:val="00C734F7"/>
    <w:rsid w:val="00C73FAB"/>
    <w:rsid w:val="00C812BA"/>
    <w:rsid w:val="00C86ECA"/>
    <w:rsid w:val="00CA4E25"/>
    <w:rsid w:val="00CA74F5"/>
    <w:rsid w:val="00CB00D1"/>
    <w:rsid w:val="00CB7451"/>
    <w:rsid w:val="00CC5AD0"/>
    <w:rsid w:val="00CC66CC"/>
    <w:rsid w:val="00CC759E"/>
    <w:rsid w:val="00CE00C4"/>
    <w:rsid w:val="00CE0930"/>
    <w:rsid w:val="00CE3ED9"/>
    <w:rsid w:val="00CE4376"/>
    <w:rsid w:val="00CE49B5"/>
    <w:rsid w:val="00CE55C0"/>
    <w:rsid w:val="00CE70F5"/>
    <w:rsid w:val="00CE7BE2"/>
    <w:rsid w:val="00CF42E4"/>
    <w:rsid w:val="00D06C0C"/>
    <w:rsid w:val="00D116F2"/>
    <w:rsid w:val="00D13396"/>
    <w:rsid w:val="00D16CED"/>
    <w:rsid w:val="00D2010A"/>
    <w:rsid w:val="00D27855"/>
    <w:rsid w:val="00D368C1"/>
    <w:rsid w:val="00D37FB3"/>
    <w:rsid w:val="00D4380D"/>
    <w:rsid w:val="00D46374"/>
    <w:rsid w:val="00D501C8"/>
    <w:rsid w:val="00D503D6"/>
    <w:rsid w:val="00D57632"/>
    <w:rsid w:val="00D61516"/>
    <w:rsid w:val="00D62A69"/>
    <w:rsid w:val="00D7017B"/>
    <w:rsid w:val="00D70310"/>
    <w:rsid w:val="00D8072F"/>
    <w:rsid w:val="00D80F35"/>
    <w:rsid w:val="00D85E3C"/>
    <w:rsid w:val="00D87FD2"/>
    <w:rsid w:val="00D900D6"/>
    <w:rsid w:val="00D93456"/>
    <w:rsid w:val="00DA256A"/>
    <w:rsid w:val="00DA2D68"/>
    <w:rsid w:val="00DB07AF"/>
    <w:rsid w:val="00DB1598"/>
    <w:rsid w:val="00DB2A14"/>
    <w:rsid w:val="00DB3C42"/>
    <w:rsid w:val="00DC55ED"/>
    <w:rsid w:val="00DC7431"/>
    <w:rsid w:val="00DD6CFA"/>
    <w:rsid w:val="00DD71D6"/>
    <w:rsid w:val="00DD7F35"/>
    <w:rsid w:val="00DE0029"/>
    <w:rsid w:val="00DF0A7C"/>
    <w:rsid w:val="00DF4B1D"/>
    <w:rsid w:val="00E045B0"/>
    <w:rsid w:val="00E06DEA"/>
    <w:rsid w:val="00E10033"/>
    <w:rsid w:val="00E215EA"/>
    <w:rsid w:val="00E26514"/>
    <w:rsid w:val="00E31BF9"/>
    <w:rsid w:val="00E37B0A"/>
    <w:rsid w:val="00E4573E"/>
    <w:rsid w:val="00E47951"/>
    <w:rsid w:val="00E503FE"/>
    <w:rsid w:val="00E5081F"/>
    <w:rsid w:val="00E51805"/>
    <w:rsid w:val="00E54F59"/>
    <w:rsid w:val="00E60ADC"/>
    <w:rsid w:val="00E61178"/>
    <w:rsid w:val="00E73410"/>
    <w:rsid w:val="00E76F98"/>
    <w:rsid w:val="00E8178E"/>
    <w:rsid w:val="00E8462E"/>
    <w:rsid w:val="00E865A2"/>
    <w:rsid w:val="00E92F42"/>
    <w:rsid w:val="00E95879"/>
    <w:rsid w:val="00EB0758"/>
    <w:rsid w:val="00EB2C5D"/>
    <w:rsid w:val="00EB456C"/>
    <w:rsid w:val="00EB654C"/>
    <w:rsid w:val="00EC5094"/>
    <w:rsid w:val="00ED26AF"/>
    <w:rsid w:val="00ED3666"/>
    <w:rsid w:val="00EE6BE1"/>
    <w:rsid w:val="00F10B2C"/>
    <w:rsid w:val="00F25FB6"/>
    <w:rsid w:val="00F2658B"/>
    <w:rsid w:val="00F36AFB"/>
    <w:rsid w:val="00F41E26"/>
    <w:rsid w:val="00F47C61"/>
    <w:rsid w:val="00F50A0B"/>
    <w:rsid w:val="00F600A5"/>
    <w:rsid w:val="00F84961"/>
    <w:rsid w:val="00F85AFA"/>
    <w:rsid w:val="00F85FE5"/>
    <w:rsid w:val="00F8607C"/>
    <w:rsid w:val="00F86ADA"/>
    <w:rsid w:val="00F90179"/>
    <w:rsid w:val="00F95B30"/>
    <w:rsid w:val="00F974BD"/>
    <w:rsid w:val="00FA515C"/>
    <w:rsid w:val="00FB034A"/>
    <w:rsid w:val="00FB438A"/>
    <w:rsid w:val="00FB696E"/>
    <w:rsid w:val="00FC4FA5"/>
    <w:rsid w:val="00FC5E9B"/>
    <w:rsid w:val="00FD1993"/>
    <w:rsid w:val="00FE4979"/>
    <w:rsid w:val="00FF0A40"/>
    <w:rsid w:val="00FF49B4"/>
    <w:rsid w:val="00FF6A65"/>
    <w:rsid w:val="00FF7CC0"/>
    <w:rsid w:val="05BB6F4B"/>
    <w:rsid w:val="169F38A2"/>
    <w:rsid w:val="1CB11CA5"/>
    <w:rsid w:val="2A4A4D7A"/>
    <w:rsid w:val="2C876339"/>
    <w:rsid w:val="2D726084"/>
    <w:rsid w:val="31B2616F"/>
    <w:rsid w:val="3BC87D7F"/>
    <w:rsid w:val="492D716E"/>
    <w:rsid w:val="586706B7"/>
    <w:rsid w:val="5C742648"/>
    <w:rsid w:val="62596A93"/>
    <w:rsid w:val="63B3533F"/>
    <w:rsid w:val="67F812FF"/>
    <w:rsid w:val="68795249"/>
    <w:rsid w:val="69A46693"/>
    <w:rsid w:val="69F455D0"/>
    <w:rsid w:val="6C4823D6"/>
    <w:rsid w:val="79616425"/>
    <w:rsid w:val="7A10661F"/>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Theme="minorEastAsia" w:cs="Arial"/>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jc w:val="both"/>
    </w:pPr>
    <w:rPr>
      <w:rFonts w:ascii="Arial" w:hAnsi="Arial" w:cs="Arial" w:eastAsiaTheme="minorEastAsia"/>
      <w:color w:val="333333"/>
      <w:kern w:val="2"/>
      <w:sz w:val="24"/>
      <w:szCs w:val="21"/>
      <w:lang w:val="en-US" w:eastAsia="zh-CN" w:bidi="ar-SA"/>
    </w:rPr>
  </w:style>
  <w:style w:type="character" w:default="1" w:styleId="8">
    <w:name w:val="Default Paragraph Font"/>
    <w:unhideWhenUsed/>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unhideWhenUsed/>
    <w:qFormat/>
    <w:uiPriority w:val="99"/>
    <w:pPr>
      <w:jc w:val="left"/>
    </w:pPr>
  </w:style>
  <w:style w:type="paragraph" w:styleId="3">
    <w:name w:val="Balloon Text"/>
    <w:basedOn w:val="1"/>
    <w:link w:val="16"/>
    <w:unhideWhenUsed/>
    <w:qFormat/>
    <w:uiPriority w:val="99"/>
    <w:pPr>
      <w:spacing w:line="240" w:lineRule="auto"/>
    </w:pPr>
    <w:rPr>
      <w:sz w:val="18"/>
      <w:szCs w:val="18"/>
    </w:rPr>
  </w:style>
  <w:style w:type="paragraph" w:styleId="4">
    <w:name w:val="footer"/>
    <w:basedOn w:val="1"/>
    <w:link w:val="13"/>
    <w:unhideWhenUsed/>
    <w:qFormat/>
    <w:uiPriority w:val="99"/>
    <w:pPr>
      <w:tabs>
        <w:tab w:val="center" w:pos="4153"/>
        <w:tab w:val="right" w:pos="8306"/>
      </w:tabs>
      <w:snapToGrid w:val="0"/>
      <w:spacing w:line="240" w:lineRule="auto"/>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6">
    <w:name w:val="Subtitle"/>
    <w:basedOn w:val="1"/>
    <w:next w:val="1"/>
    <w:link w:val="17"/>
    <w:qFormat/>
    <w:uiPriority w:val="0"/>
    <w:pPr>
      <w:widowControl w:val="0"/>
      <w:spacing w:line="240" w:lineRule="auto"/>
      <w:jc w:val="center"/>
    </w:pPr>
    <w:rPr>
      <w:rFonts w:ascii="Calibri" w:hAnsi="Calibri" w:eastAsia="宋体" w:cs="Times New Roman"/>
      <w:b/>
      <w:bCs/>
      <w:color w:val="auto"/>
      <w:kern w:val="28"/>
      <w:sz w:val="21"/>
      <w:szCs w:val="32"/>
    </w:rPr>
  </w:style>
  <w:style w:type="paragraph" w:styleId="7">
    <w:name w:val="Body Text Indent 3"/>
    <w:basedOn w:val="1"/>
    <w:link w:val="20"/>
    <w:qFormat/>
    <w:uiPriority w:val="0"/>
    <w:pPr>
      <w:widowControl w:val="0"/>
      <w:spacing w:after="120" w:line="240" w:lineRule="auto"/>
      <w:ind w:left="420" w:leftChars="200"/>
    </w:pPr>
    <w:rPr>
      <w:rFonts w:ascii="Calibri" w:hAnsi="Calibri" w:eastAsia="宋体" w:cs="Times New Roman"/>
      <w:color w:val="auto"/>
      <w:sz w:val="16"/>
      <w:szCs w:val="16"/>
    </w:rPr>
  </w:style>
  <w:style w:type="character" w:styleId="9">
    <w:name w:val="annotation reference"/>
    <w:basedOn w:val="8"/>
    <w:unhideWhenUsed/>
    <w:qFormat/>
    <w:uiPriority w:val="99"/>
    <w:rPr>
      <w:sz w:val="21"/>
      <w:szCs w:val="21"/>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页眉 Char"/>
    <w:basedOn w:val="8"/>
    <w:link w:val="5"/>
    <w:qFormat/>
    <w:uiPriority w:val="99"/>
    <w:rPr>
      <w:sz w:val="18"/>
      <w:szCs w:val="18"/>
    </w:rPr>
  </w:style>
  <w:style w:type="character" w:customStyle="1" w:styleId="13">
    <w:name w:val="页脚 Char"/>
    <w:basedOn w:val="8"/>
    <w:link w:val="4"/>
    <w:qFormat/>
    <w:uiPriority w:val="99"/>
    <w:rPr>
      <w:sz w:val="18"/>
      <w:szCs w:val="18"/>
    </w:rPr>
  </w:style>
  <w:style w:type="paragraph" w:customStyle="1" w:styleId="14">
    <w:name w:val="列出段落1"/>
    <w:basedOn w:val="1"/>
    <w:qFormat/>
    <w:uiPriority w:val="34"/>
    <w:pPr>
      <w:ind w:firstLine="420" w:firstLineChars="200"/>
    </w:pPr>
  </w:style>
  <w:style w:type="character" w:customStyle="1" w:styleId="15">
    <w:name w:val="占位符文本1"/>
    <w:basedOn w:val="8"/>
    <w:semiHidden/>
    <w:qFormat/>
    <w:uiPriority w:val="99"/>
    <w:rPr>
      <w:color w:val="808080"/>
    </w:rPr>
  </w:style>
  <w:style w:type="character" w:customStyle="1" w:styleId="16">
    <w:name w:val="批注框文本 Char"/>
    <w:basedOn w:val="8"/>
    <w:link w:val="3"/>
    <w:semiHidden/>
    <w:qFormat/>
    <w:uiPriority w:val="99"/>
    <w:rPr>
      <w:sz w:val="18"/>
      <w:szCs w:val="18"/>
    </w:rPr>
  </w:style>
  <w:style w:type="character" w:customStyle="1" w:styleId="17">
    <w:name w:val="副标题 Char"/>
    <w:basedOn w:val="8"/>
    <w:link w:val="6"/>
    <w:qFormat/>
    <w:uiPriority w:val="0"/>
    <w:rPr>
      <w:rFonts w:ascii="Calibri" w:hAnsi="Calibri" w:eastAsia="宋体" w:cs="Times New Roman"/>
      <w:b/>
      <w:bCs/>
      <w:color w:val="auto"/>
      <w:kern w:val="28"/>
      <w:sz w:val="21"/>
      <w:szCs w:val="32"/>
    </w:rPr>
  </w:style>
  <w:style w:type="paragraph" w:customStyle="1" w:styleId="18">
    <w:name w:val="_Style 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_Style 3"/>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0">
    <w:name w:val="正文文本缩进 3 Char"/>
    <w:basedOn w:val="8"/>
    <w:link w:val="7"/>
    <w:qFormat/>
    <w:uiPriority w:val="0"/>
    <w:rPr>
      <w:rFonts w:ascii="Calibri" w:hAnsi="Calibri" w:eastAsia="宋体" w:cs="Times New Roman"/>
      <w:color w:val="auto"/>
      <w:sz w:val="16"/>
      <w:szCs w:val="16"/>
    </w:rPr>
  </w:style>
  <w:style w:type="paragraph" w:customStyle="1" w:styleId="21">
    <w:name w:val="reader-word-layer"/>
    <w:basedOn w:val="1"/>
    <w:qFormat/>
    <w:uiPriority w:val="0"/>
    <w:pPr>
      <w:spacing w:before="100" w:beforeAutospacing="1" w:after="100" w:afterAutospacing="1" w:line="240" w:lineRule="auto"/>
      <w:jc w:val="left"/>
    </w:pPr>
    <w:rPr>
      <w:rFonts w:ascii="宋体" w:hAnsi="宋体" w:eastAsia="宋体" w:cs="宋体"/>
      <w:color w:val="auto"/>
      <w:kern w:val="0"/>
      <w:szCs w:val="24"/>
    </w:rPr>
  </w:style>
  <w:style w:type="paragraph" w:customStyle="1" w:styleId="22">
    <w:name w:val="表格文字"/>
    <w:basedOn w:val="1"/>
    <w:link w:val="25"/>
    <w:qFormat/>
    <w:uiPriority w:val="0"/>
    <w:pPr>
      <w:widowControl w:val="0"/>
      <w:adjustRightInd w:val="0"/>
      <w:snapToGrid w:val="0"/>
      <w:spacing w:line="240" w:lineRule="auto"/>
      <w:jc w:val="center"/>
      <w:textAlignment w:val="center"/>
    </w:pPr>
    <w:rPr>
      <w:rFonts w:ascii="Times New Roman" w:hAnsi="Times New Roman" w:eastAsia="宋体" w:cs="Times New Roman"/>
      <w:color w:val="auto"/>
      <w:sz w:val="21"/>
      <w:szCs w:val="18"/>
    </w:rPr>
  </w:style>
  <w:style w:type="paragraph" w:customStyle="1" w:styleId="23">
    <w:name w:val="正文1"/>
    <w:basedOn w:val="1"/>
    <w:qFormat/>
    <w:uiPriority w:val="0"/>
    <w:pPr>
      <w:widowControl w:val="0"/>
      <w:spacing w:line="440" w:lineRule="exact"/>
    </w:pPr>
    <w:rPr>
      <w:rFonts w:ascii="Times New Roman" w:hAnsi="Times New Roman" w:eastAsia="宋体" w:cs="Times New Roman"/>
      <w:color w:val="auto"/>
      <w:szCs w:val="24"/>
    </w:rPr>
  </w:style>
  <w:style w:type="paragraph" w:customStyle="1" w:styleId="24">
    <w:name w:val="样式 首行缩进:  2 字符"/>
    <w:basedOn w:val="1"/>
    <w:qFormat/>
    <w:uiPriority w:val="0"/>
    <w:pPr>
      <w:widowControl w:val="0"/>
      <w:ind w:firstLine="420" w:firstLineChars="200"/>
    </w:pPr>
    <w:rPr>
      <w:rFonts w:ascii="Times New Roman" w:hAnsi="Times New Roman" w:eastAsia="宋体" w:cs="Times New Roman"/>
      <w:color w:val="auto"/>
      <w:sz w:val="21"/>
      <w:szCs w:val="20"/>
    </w:rPr>
  </w:style>
  <w:style w:type="character" w:customStyle="1" w:styleId="25">
    <w:name w:val="表格文字 Char"/>
    <w:link w:val="22"/>
    <w:qFormat/>
    <w:uiPriority w:val="0"/>
    <w:rPr>
      <w:rFonts w:ascii="Times New Roman" w:hAnsi="Times New Roman" w:eastAsia="宋体" w:cs="Times New Roman"/>
      <w:color w:val="auto"/>
      <w:sz w:val="21"/>
      <w:szCs w:val="18"/>
    </w:rPr>
  </w:style>
  <w:style w:type="paragraph" w:customStyle="1" w:styleId="2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5.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DA8F00-071E-4E3E-B051-75A358E98496}">
  <ds:schemaRefs/>
</ds:datastoreItem>
</file>

<file path=docProps/app.xml><?xml version="1.0" encoding="utf-8"?>
<Properties xmlns="http://schemas.openxmlformats.org/officeDocument/2006/extended-properties" xmlns:vt="http://schemas.openxmlformats.org/officeDocument/2006/docPropsVTypes">
  <Template>Normal</Template>
  <Pages>36</Pages>
  <Words>3295</Words>
  <Characters>18784</Characters>
  <Lines>156</Lines>
  <Paragraphs>44</Paragraphs>
  <ScaleCrop>false</ScaleCrop>
  <LinksUpToDate>false</LinksUpToDate>
  <CharactersWithSpaces>22035</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2016-10-08T01:18:00Z</dcterms:created>
  <dc:creator>lenovo</dc:creator>
  <cp:lastModifiedBy>Administrator</cp:lastModifiedBy>
  <cp:lastPrinted>2016-12-05T06:16:00Z</cp:lastPrinted>
  <dcterms:modified xsi:type="dcterms:W3CDTF">2016-12-05T06:47:38Z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