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color w:val="FF0000"/>
          <w:sz w:val="36"/>
          <w:u w:val="single"/>
        </w:rPr>
      </w:pPr>
    </w:p>
    <w:p>
      <w:pPr>
        <w:spacing w:line="360" w:lineRule="auto"/>
        <w:rPr>
          <w:rFonts w:hint="eastAsia"/>
          <w:color w:val="FF0000"/>
          <w:sz w:val="36"/>
          <w:u w:val="single"/>
        </w:rPr>
      </w:pPr>
    </w:p>
    <w:p>
      <w:pPr>
        <w:spacing w:line="360" w:lineRule="auto"/>
        <w:rPr>
          <w:color w:val="FF0000"/>
          <w:sz w:val="36"/>
          <w:u w:val="single"/>
        </w:rPr>
      </w:pPr>
    </w:p>
    <w:p>
      <w:pPr>
        <w:spacing w:line="360" w:lineRule="auto"/>
        <w:rPr>
          <w:color w:val="auto"/>
          <w:sz w:val="36"/>
          <w:u w:val="single"/>
        </w:rPr>
      </w:pPr>
    </w:p>
    <w:p>
      <w:pPr>
        <w:jc w:val="center"/>
        <w:rPr>
          <w:b/>
          <w:color w:val="auto"/>
          <w:sz w:val="44"/>
        </w:rPr>
      </w:pPr>
      <w:r>
        <w:rPr>
          <w:rFonts w:hint="eastAsia"/>
          <w:b/>
          <w:color w:val="auto"/>
          <w:sz w:val="44"/>
        </w:rPr>
        <w:t>建设项目环境影响报告表</w:t>
      </w:r>
    </w:p>
    <w:p>
      <w:pPr>
        <w:spacing w:line="360" w:lineRule="auto"/>
        <w:rPr>
          <w:color w:val="auto"/>
          <w:sz w:val="36"/>
          <w:u w:val="single"/>
        </w:rPr>
      </w:pPr>
    </w:p>
    <w:p>
      <w:pPr>
        <w:spacing w:line="360" w:lineRule="auto"/>
        <w:rPr>
          <w:color w:val="auto"/>
          <w:sz w:val="36"/>
          <w:u w:val="single"/>
        </w:rPr>
      </w:pPr>
    </w:p>
    <w:p>
      <w:pPr>
        <w:spacing w:line="360" w:lineRule="auto"/>
        <w:rPr>
          <w:color w:val="auto"/>
          <w:sz w:val="36"/>
          <w:u w:val="single"/>
        </w:rPr>
      </w:pPr>
    </w:p>
    <w:p>
      <w:pPr>
        <w:spacing w:line="360" w:lineRule="auto"/>
        <w:rPr>
          <w:color w:val="auto"/>
          <w:sz w:val="36"/>
          <w:u w:val="single"/>
        </w:rPr>
      </w:pPr>
    </w:p>
    <w:p>
      <w:pPr>
        <w:spacing w:line="360" w:lineRule="auto"/>
        <w:rPr>
          <w:color w:val="auto"/>
          <w:sz w:val="36"/>
          <w:u w:val="single"/>
        </w:rPr>
      </w:pPr>
    </w:p>
    <w:p>
      <w:pPr>
        <w:spacing w:line="360" w:lineRule="auto"/>
        <w:rPr>
          <w:color w:val="auto"/>
          <w:sz w:val="36"/>
          <w:u w:val="single"/>
        </w:rPr>
      </w:pPr>
    </w:p>
    <w:p>
      <w:pPr>
        <w:spacing w:line="360" w:lineRule="auto"/>
        <w:rPr>
          <w:rFonts w:hint="eastAsia"/>
          <w:b/>
          <w:color w:val="auto"/>
          <w:sz w:val="36"/>
          <w:szCs w:val="36"/>
        </w:rPr>
      </w:pPr>
    </w:p>
    <w:p>
      <w:pPr>
        <w:spacing w:line="360" w:lineRule="auto"/>
        <w:ind w:left="2161" w:leftChars="172" w:hanging="1800" w:hangingChars="500"/>
        <w:rPr>
          <w:rFonts w:hint="eastAsia" w:eastAsia="黑体"/>
          <w:color w:val="auto"/>
          <w:sz w:val="32"/>
          <w:szCs w:val="32"/>
          <w:u w:val="single"/>
        </w:rPr>
      </w:pPr>
      <w:r>
        <w:rPr>
          <w:rFonts w:eastAsia="黑体"/>
          <w:color w:val="auto"/>
          <w:sz w:val="36"/>
          <w:szCs w:val="36"/>
        </w:rPr>
        <w:t>项目名称：</w:t>
      </w:r>
      <w:r>
        <w:rPr>
          <w:rFonts w:hint="eastAsia" w:eastAsia="黑体"/>
          <w:color w:val="auto"/>
          <w:sz w:val="32"/>
          <w:szCs w:val="32"/>
          <w:u w:val="single"/>
          <w:lang w:eastAsia="zh-CN"/>
        </w:rPr>
        <w:t>平江供水枢纽工程建设项目</w:t>
      </w:r>
    </w:p>
    <w:p>
      <w:pPr>
        <w:spacing w:line="360" w:lineRule="auto"/>
        <w:ind w:firstLine="360" w:firstLineChars="100"/>
        <w:rPr>
          <w:rFonts w:eastAsia="黑体"/>
          <w:color w:val="auto"/>
          <w:sz w:val="36"/>
          <w:szCs w:val="36"/>
        </w:rPr>
      </w:pPr>
      <w:r>
        <w:rPr>
          <w:rFonts w:eastAsia="黑体"/>
          <w:color w:val="auto"/>
          <w:sz w:val="36"/>
          <w:szCs w:val="36"/>
        </w:rPr>
        <w:t>建设单位：</w:t>
      </w:r>
      <w:r>
        <w:rPr>
          <w:rFonts w:hint="eastAsia" w:eastAsia="黑体"/>
          <w:color w:val="auto"/>
          <w:sz w:val="32"/>
          <w:szCs w:val="32"/>
          <w:u w:val="single"/>
        </w:rPr>
        <w:t xml:space="preserve">平江县供水枢纽建设开发有限公司    </w:t>
      </w:r>
    </w:p>
    <w:p>
      <w:pPr>
        <w:spacing w:line="360" w:lineRule="auto"/>
        <w:rPr>
          <w:color w:val="auto"/>
          <w:sz w:val="32"/>
          <w:u w:val="single"/>
        </w:rPr>
      </w:pPr>
    </w:p>
    <w:p>
      <w:pPr>
        <w:spacing w:line="360" w:lineRule="auto"/>
        <w:rPr>
          <w:rFonts w:hint="eastAsia"/>
          <w:color w:val="auto"/>
          <w:sz w:val="32"/>
          <w:u w:val="single"/>
        </w:rPr>
      </w:pPr>
    </w:p>
    <w:p>
      <w:pPr>
        <w:spacing w:line="360" w:lineRule="auto"/>
        <w:rPr>
          <w:rFonts w:hint="eastAsia"/>
          <w:color w:val="auto"/>
          <w:sz w:val="32"/>
          <w:u w:val="single"/>
        </w:rPr>
      </w:pPr>
    </w:p>
    <w:p>
      <w:pPr>
        <w:spacing w:line="360" w:lineRule="auto"/>
        <w:rPr>
          <w:rFonts w:hint="eastAsia"/>
          <w:color w:val="auto"/>
          <w:sz w:val="32"/>
          <w:u w:val="single"/>
        </w:rPr>
      </w:pPr>
    </w:p>
    <w:p>
      <w:pPr>
        <w:spacing w:line="360" w:lineRule="auto"/>
        <w:jc w:val="center"/>
        <w:rPr>
          <w:b/>
          <w:color w:val="auto"/>
          <w:sz w:val="32"/>
        </w:rPr>
      </w:pPr>
      <w:r>
        <w:rPr>
          <w:rFonts w:hint="eastAsia"/>
          <w:b/>
          <w:color w:val="auto"/>
          <w:sz w:val="32"/>
        </w:rPr>
        <w:t>编制日期：2016年11月17日</w:t>
      </w:r>
    </w:p>
    <w:p>
      <w:pPr>
        <w:spacing w:line="360" w:lineRule="auto"/>
        <w:jc w:val="center"/>
        <w:rPr>
          <w:rFonts w:hint="eastAsia"/>
          <w:color w:val="auto"/>
          <w:sz w:val="36"/>
        </w:rPr>
      </w:pPr>
      <w:r>
        <w:rPr>
          <w:rFonts w:hint="eastAsia"/>
          <w:b/>
          <w:color w:val="auto"/>
          <w:sz w:val="32"/>
        </w:rPr>
        <w:t>国家环境保护部制</w:t>
      </w:r>
    </w:p>
    <w:p>
      <w:pPr>
        <w:spacing w:line="360" w:lineRule="auto"/>
        <w:rPr>
          <w:color w:val="auto"/>
          <w:sz w:val="32"/>
          <w:u w:val="single"/>
        </w:rPr>
      </w:pPr>
    </w:p>
    <w:p>
      <w:pPr>
        <w:spacing w:line="360" w:lineRule="auto"/>
        <w:jc w:val="center"/>
        <w:outlineLvl w:val="0"/>
        <w:rPr>
          <w:rFonts w:eastAsia="楷体"/>
          <w:color w:val="auto"/>
          <w:kern w:val="0"/>
          <w:sz w:val="36"/>
        </w:rPr>
      </w:pPr>
      <w:r>
        <w:rPr>
          <w:b/>
          <w:bCs/>
          <w:color w:val="auto"/>
          <w:sz w:val="28"/>
        </w:rPr>
        <w:br w:type="page"/>
      </w:r>
      <w:r>
        <w:rPr>
          <w:rFonts w:hAnsi="楷体" w:eastAsia="楷体"/>
          <w:color w:val="auto"/>
          <w:kern w:val="0"/>
          <w:sz w:val="36"/>
        </w:rPr>
        <w:t>《建设项目环境影响报告表》编制说明</w:t>
      </w:r>
    </w:p>
    <w:p>
      <w:pPr>
        <w:autoSpaceDE w:val="0"/>
        <w:autoSpaceDN w:val="0"/>
        <w:adjustRightInd w:val="0"/>
        <w:spacing w:line="580" w:lineRule="atLeast"/>
        <w:ind w:firstLine="581" w:firstLineChars="200"/>
        <w:rPr>
          <w:rFonts w:eastAsia="楷体"/>
          <w:color w:val="auto"/>
          <w:w w:val="97"/>
          <w:kern w:val="0"/>
          <w:sz w:val="30"/>
        </w:rPr>
      </w:pPr>
    </w:p>
    <w:p>
      <w:pPr>
        <w:autoSpaceDE w:val="0"/>
        <w:autoSpaceDN w:val="0"/>
        <w:adjustRightInd w:val="0"/>
        <w:spacing w:line="580" w:lineRule="atLeast"/>
        <w:ind w:firstLine="581" w:firstLineChars="200"/>
        <w:rPr>
          <w:rFonts w:eastAsia="楷体"/>
          <w:color w:val="auto"/>
          <w:w w:val="97"/>
          <w:kern w:val="0"/>
          <w:sz w:val="30"/>
        </w:rPr>
      </w:pPr>
      <w:r>
        <w:rPr>
          <w:rFonts w:hAnsi="楷体" w:eastAsia="楷体"/>
          <w:color w:val="auto"/>
          <w:w w:val="97"/>
          <w:kern w:val="0"/>
          <w:sz w:val="30"/>
        </w:rPr>
        <w:t>《建设项目环境影响报告表》由具有环境影响评价工作资质的单位编制。</w:t>
      </w:r>
    </w:p>
    <w:p>
      <w:pPr>
        <w:autoSpaceDE w:val="0"/>
        <w:autoSpaceDN w:val="0"/>
        <w:adjustRightInd w:val="0"/>
        <w:spacing w:line="580" w:lineRule="atLeast"/>
        <w:ind w:firstLine="548" w:firstLineChars="200"/>
        <w:rPr>
          <w:rFonts w:eastAsia="楷体"/>
          <w:color w:val="auto"/>
          <w:w w:val="97"/>
          <w:kern w:val="0"/>
          <w:sz w:val="30"/>
        </w:rPr>
      </w:pPr>
      <w:r>
        <w:rPr>
          <w:rFonts w:eastAsia="楷体"/>
          <w:color w:val="auto"/>
          <w:w w:val="92"/>
          <w:kern w:val="0"/>
          <w:sz w:val="30"/>
        </w:rPr>
        <w:t>1.</w:t>
      </w:r>
      <w:r>
        <w:rPr>
          <w:rFonts w:hAnsi="楷体" w:eastAsia="楷体"/>
          <w:color w:val="auto"/>
          <w:w w:val="92"/>
          <w:kern w:val="0"/>
          <w:sz w:val="30"/>
        </w:rPr>
        <w:t>项目名称</w:t>
      </w:r>
      <w:r>
        <w:rPr>
          <w:rFonts w:eastAsia="楷体"/>
          <w:color w:val="auto"/>
          <w:w w:val="92"/>
          <w:kern w:val="0"/>
          <w:sz w:val="30"/>
        </w:rPr>
        <w:t>——</w:t>
      </w:r>
      <w:r>
        <w:rPr>
          <w:rFonts w:hAnsi="楷体" w:eastAsia="楷体"/>
          <w:color w:val="auto"/>
          <w:w w:val="92"/>
          <w:kern w:val="0"/>
          <w:sz w:val="30"/>
        </w:rPr>
        <w:t>指项目立项批复时的名称，应不超过</w:t>
      </w:r>
      <w:r>
        <w:rPr>
          <w:rFonts w:eastAsia="楷体"/>
          <w:color w:val="auto"/>
          <w:w w:val="92"/>
          <w:kern w:val="0"/>
          <w:sz w:val="30"/>
        </w:rPr>
        <w:t>30</w:t>
      </w:r>
      <w:r>
        <w:rPr>
          <w:rFonts w:hAnsi="楷体" w:eastAsia="楷体"/>
          <w:color w:val="auto"/>
          <w:w w:val="92"/>
          <w:kern w:val="0"/>
          <w:sz w:val="30"/>
        </w:rPr>
        <w:t>个字（两个</w:t>
      </w:r>
      <w:r>
        <w:rPr>
          <w:rFonts w:hAnsi="楷体" w:eastAsia="楷体"/>
          <w:color w:val="auto"/>
          <w:w w:val="97"/>
          <w:kern w:val="0"/>
          <w:sz w:val="30"/>
        </w:rPr>
        <w:t>英文字段作一个汉字）。</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2.</w:t>
      </w:r>
      <w:r>
        <w:rPr>
          <w:rFonts w:hAnsi="楷体" w:eastAsia="楷体"/>
          <w:color w:val="auto"/>
          <w:w w:val="97"/>
          <w:kern w:val="0"/>
          <w:sz w:val="30"/>
        </w:rPr>
        <w:t>建设地点</w:t>
      </w:r>
      <w:r>
        <w:rPr>
          <w:rFonts w:eastAsia="楷体"/>
          <w:color w:val="auto"/>
          <w:w w:val="97"/>
          <w:kern w:val="0"/>
          <w:sz w:val="30"/>
        </w:rPr>
        <w:t>——</w:t>
      </w:r>
      <w:r>
        <w:rPr>
          <w:rFonts w:hAnsi="楷体" w:eastAsia="楷体"/>
          <w:color w:val="auto"/>
          <w:w w:val="97"/>
          <w:kern w:val="0"/>
          <w:sz w:val="30"/>
        </w:rPr>
        <w:t>指项目所在地详细地址，公路、铁路应填写起止地点。</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3.</w:t>
      </w:r>
      <w:r>
        <w:rPr>
          <w:rFonts w:hAnsi="楷体" w:eastAsia="楷体"/>
          <w:color w:val="auto"/>
          <w:w w:val="97"/>
          <w:kern w:val="0"/>
          <w:sz w:val="30"/>
        </w:rPr>
        <w:t>行业类别</w:t>
      </w:r>
      <w:r>
        <w:rPr>
          <w:rFonts w:eastAsia="楷体"/>
          <w:color w:val="auto"/>
          <w:w w:val="97"/>
          <w:kern w:val="0"/>
          <w:sz w:val="30"/>
        </w:rPr>
        <w:t>——</w:t>
      </w:r>
      <w:r>
        <w:rPr>
          <w:rFonts w:hAnsi="楷体" w:eastAsia="楷体"/>
          <w:color w:val="auto"/>
          <w:w w:val="97"/>
          <w:kern w:val="0"/>
          <w:sz w:val="30"/>
        </w:rPr>
        <w:t>按国标填写。</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4.</w:t>
      </w:r>
      <w:r>
        <w:rPr>
          <w:rFonts w:hAnsi="楷体" w:eastAsia="楷体"/>
          <w:color w:val="auto"/>
          <w:w w:val="97"/>
          <w:kern w:val="0"/>
          <w:sz w:val="30"/>
        </w:rPr>
        <w:t>总投资</w:t>
      </w:r>
      <w:r>
        <w:rPr>
          <w:rFonts w:eastAsia="楷体"/>
          <w:color w:val="auto"/>
          <w:w w:val="97"/>
          <w:kern w:val="0"/>
          <w:sz w:val="30"/>
        </w:rPr>
        <w:t>——</w:t>
      </w:r>
      <w:r>
        <w:rPr>
          <w:rFonts w:hAnsi="楷体" w:eastAsia="楷体"/>
          <w:color w:val="auto"/>
          <w:w w:val="97"/>
          <w:kern w:val="0"/>
          <w:sz w:val="30"/>
        </w:rPr>
        <w:t>指项目投资总额。</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5.</w:t>
      </w:r>
      <w:r>
        <w:rPr>
          <w:rFonts w:hAnsi="楷体" w:eastAsia="楷体"/>
          <w:color w:val="auto"/>
          <w:w w:val="97"/>
          <w:kern w:val="0"/>
          <w:sz w:val="30"/>
        </w:rPr>
        <w:t>主要环境保护目标</w:t>
      </w:r>
      <w:r>
        <w:rPr>
          <w:rFonts w:eastAsia="楷体"/>
          <w:color w:val="auto"/>
          <w:w w:val="97"/>
          <w:kern w:val="0"/>
          <w:sz w:val="30"/>
        </w:rPr>
        <w:t>——</w:t>
      </w:r>
      <w:r>
        <w:rPr>
          <w:rFonts w:hAnsi="楷体" w:eastAsia="楷体"/>
          <w:color w:val="auto"/>
          <w:w w:val="97"/>
          <w:kern w:val="0"/>
          <w:sz w:val="30"/>
        </w:rPr>
        <w:t>指项目区周围一定范围内集中居民住宅区、学校、医院、保护文物、风景名胜区、水源地和生态敏感点等，应尽可能给出保护目标、性质、规模和距厂界距离等。</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6.</w:t>
      </w:r>
      <w:r>
        <w:rPr>
          <w:rFonts w:hAnsi="楷体" w:eastAsia="楷体"/>
          <w:color w:val="auto"/>
          <w:w w:val="97"/>
          <w:kern w:val="0"/>
          <w:sz w:val="30"/>
        </w:rPr>
        <w:t>结论与建议</w:t>
      </w:r>
      <w:r>
        <w:rPr>
          <w:rFonts w:eastAsia="楷体"/>
          <w:color w:val="auto"/>
          <w:w w:val="97"/>
          <w:kern w:val="0"/>
          <w:sz w:val="30"/>
        </w:rPr>
        <w:t>——</w:t>
      </w:r>
      <w:r>
        <w:rPr>
          <w:rFonts w:hAnsi="楷体" w:eastAsia="楷体"/>
          <w:color w:val="auto"/>
          <w:w w:val="97"/>
          <w:kern w:val="0"/>
          <w:sz w:val="30"/>
        </w:rPr>
        <w:t>给出本项目清洁生产、达标排放和总量控制的分析结论，确定污染防治措施的有效性，说明本项目对环境造成的影响，给出建设项目环境可行性的明确结论。同时提出减少环境影响的其他建议。</w:t>
      </w:r>
    </w:p>
    <w:p>
      <w:pPr>
        <w:autoSpaceDE w:val="0"/>
        <w:autoSpaceDN w:val="0"/>
        <w:adjustRightInd w:val="0"/>
        <w:spacing w:line="580" w:lineRule="atLeast"/>
        <w:ind w:firstLine="581" w:firstLineChars="200"/>
        <w:rPr>
          <w:rFonts w:eastAsia="楷体"/>
          <w:color w:val="auto"/>
          <w:w w:val="97"/>
          <w:kern w:val="0"/>
          <w:sz w:val="30"/>
        </w:rPr>
      </w:pPr>
      <w:r>
        <w:rPr>
          <w:rFonts w:eastAsia="楷体"/>
          <w:color w:val="auto"/>
          <w:w w:val="97"/>
          <w:kern w:val="0"/>
          <w:sz w:val="30"/>
        </w:rPr>
        <w:t>7.</w:t>
      </w:r>
      <w:r>
        <w:rPr>
          <w:rFonts w:hAnsi="楷体" w:eastAsia="楷体"/>
          <w:color w:val="auto"/>
          <w:w w:val="97"/>
          <w:kern w:val="0"/>
          <w:sz w:val="30"/>
        </w:rPr>
        <w:t>预审意见</w:t>
      </w:r>
      <w:r>
        <w:rPr>
          <w:rFonts w:eastAsia="楷体"/>
          <w:color w:val="auto"/>
          <w:w w:val="97"/>
          <w:kern w:val="0"/>
          <w:sz w:val="30"/>
        </w:rPr>
        <w:t>——</w:t>
      </w:r>
      <w:r>
        <w:rPr>
          <w:rFonts w:hAnsi="楷体" w:eastAsia="楷体"/>
          <w:color w:val="auto"/>
          <w:w w:val="97"/>
          <w:kern w:val="0"/>
          <w:sz w:val="30"/>
        </w:rPr>
        <w:t>由行业主管部门填写答复意见，无主管部门项目，可不填。</w:t>
      </w:r>
    </w:p>
    <w:p>
      <w:pPr>
        <w:autoSpaceDE w:val="0"/>
        <w:autoSpaceDN w:val="0"/>
        <w:adjustRightInd w:val="0"/>
        <w:spacing w:line="580" w:lineRule="atLeast"/>
        <w:ind w:firstLine="581" w:firstLineChars="200"/>
        <w:rPr>
          <w:rFonts w:eastAsia="楷体"/>
          <w:b/>
          <w:bCs/>
          <w:color w:val="auto"/>
          <w:sz w:val="28"/>
        </w:rPr>
      </w:pPr>
      <w:r>
        <w:rPr>
          <w:rFonts w:eastAsia="楷体"/>
          <w:color w:val="auto"/>
          <w:w w:val="97"/>
          <w:kern w:val="0"/>
          <w:sz w:val="30"/>
        </w:rPr>
        <w:t>8.</w:t>
      </w:r>
      <w:r>
        <w:rPr>
          <w:rFonts w:hAnsi="楷体" w:eastAsia="楷体"/>
          <w:color w:val="auto"/>
          <w:w w:val="97"/>
          <w:kern w:val="0"/>
          <w:sz w:val="30"/>
        </w:rPr>
        <w:t>审批意见</w:t>
      </w:r>
      <w:r>
        <w:rPr>
          <w:rFonts w:eastAsia="楷体"/>
          <w:color w:val="auto"/>
          <w:w w:val="97"/>
          <w:kern w:val="0"/>
          <w:sz w:val="30"/>
        </w:rPr>
        <w:t>——</w:t>
      </w:r>
      <w:r>
        <w:rPr>
          <w:rFonts w:hAnsi="楷体" w:eastAsia="楷体"/>
          <w:color w:val="auto"/>
          <w:w w:val="97"/>
          <w:kern w:val="0"/>
          <w:sz w:val="30"/>
        </w:rPr>
        <w:t>由负责审批该项目的环境保护行政主管部门批复。</w:t>
      </w:r>
    </w:p>
    <w:p>
      <w:pPr>
        <w:spacing w:line="360" w:lineRule="auto"/>
        <w:outlineLvl w:val="0"/>
        <w:rPr>
          <w:color w:val="auto"/>
        </w:rPr>
      </w:pPr>
      <w:r>
        <w:rPr>
          <w:b/>
          <w:bCs/>
          <w:color w:val="auto"/>
          <w:sz w:val="28"/>
        </w:rPr>
        <w:br w:type="page"/>
      </w:r>
      <w:r>
        <w:rPr>
          <w:b/>
          <w:bCs/>
          <w:color w:val="auto"/>
          <w:sz w:val="28"/>
        </w:rPr>
        <w:t>建设项目基本情况</w:t>
      </w:r>
    </w:p>
    <w:tbl>
      <w:tblPr>
        <w:tblStyle w:val="14"/>
        <w:tblW w:w="862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5"/>
        <w:gridCol w:w="1578"/>
        <w:gridCol w:w="33"/>
        <w:gridCol w:w="1218"/>
        <w:gridCol w:w="226"/>
        <w:gridCol w:w="904"/>
        <w:gridCol w:w="449"/>
        <w:gridCol w:w="1007"/>
        <w:gridCol w:w="688"/>
        <w:gridCol w:w="89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0" w:hRule="atLeast"/>
          <w:jc w:val="center"/>
        </w:trPr>
        <w:tc>
          <w:tcPr>
            <w:tcW w:w="1625" w:type="dxa"/>
            <w:vAlign w:val="center"/>
          </w:tcPr>
          <w:p>
            <w:pPr>
              <w:jc w:val="center"/>
              <w:rPr>
                <w:color w:val="auto"/>
                <w:sz w:val="24"/>
              </w:rPr>
            </w:pPr>
            <w:r>
              <w:rPr>
                <w:color w:val="auto"/>
                <w:sz w:val="24"/>
              </w:rPr>
              <w:t>项目名称</w:t>
            </w:r>
          </w:p>
        </w:tc>
        <w:tc>
          <w:tcPr>
            <w:tcW w:w="7000" w:type="dxa"/>
            <w:gridSpan w:val="9"/>
            <w:vAlign w:val="center"/>
          </w:tcPr>
          <w:p>
            <w:pPr>
              <w:spacing w:line="360" w:lineRule="auto"/>
              <w:jc w:val="center"/>
              <w:rPr>
                <w:rFonts w:hint="eastAsia" w:eastAsia="宋体"/>
                <w:color w:val="auto"/>
                <w:sz w:val="24"/>
                <w:lang w:eastAsia="zh-CN"/>
              </w:rPr>
            </w:pPr>
            <w:r>
              <w:rPr>
                <w:rFonts w:hint="eastAsia"/>
                <w:color w:val="auto"/>
                <w:sz w:val="24"/>
                <w:lang w:eastAsia="zh-CN"/>
              </w:rPr>
              <w:t>平江供水枢纽工程建设项目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1625" w:type="dxa"/>
            <w:vAlign w:val="center"/>
          </w:tcPr>
          <w:p>
            <w:pPr>
              <w:jc w:val="center"/>
              <w:rPr>
                <w:color w:val="auto"/>
                <w:sz w:val="24"/>
              </w:rPr>
            </w:pPr>
            <w:r>
              <w:rPr>
                <w:color w:val="auto"/>
                <w:sz w:val="24"/>
              </w:rPr>
              <w:t>建设单位</w:t>
            </w:r>
          </w:p>
        </w:tc>
        <w:tc>
          <w:tcPr>
            <w:tcW w:w="7000" w:type="dxa"/>
            <w:gridSpan w:val="9"/>
            <w:vAlign w:val="center"/>
          </w:tcPr>
          <w:p>
            <w:pPr>
              <w:spacing w:line="360" w:lineRule="auto"/>
              <w:jc w:val="center"/>
              <w:rPr>
                <w:color w:val="auto"/>
                <w:sz w:val="24"/>
              </w:rPr>
            </w:pPr>
            <w:r>
              <w:rPr>
                <w:rFonts w:hint="eastAsia"/>
                <w:color w:val="auto"/>
                <w:sz w:val="24"/>
              </w:rPr>
              <w:t>平江县供水枢纽建设开发有限公司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4" w:hRule="atLeast"/>
          <w:jc w:val="center"/>
        </w:trPr>
        <w:tc>
          <w:tcPr>
            <w:tcW w:w="1625" w:type="dxa"/>
            <w:vAlign w:val="center"/>
          </w:tcPr>
          <w:p>
            <w:pPr>
              <w:jc w:val="center"/>
              <w:rPr>
                <w:color w:val="auto"/>
                <w:sz w:val="24"/>
              </w:rPr>
            </w:pPr>
            <w:r>
              <w:rPr>
                <w:color w:val="auto"/>
                <w:sz w:val="24"/>
              </w:rPr>
              <w:t>法人代表</w:t>
            </w:r>
          </w:p>
        </w:tc>
        <w:tc>
          <w:tcPr>
            <w:tcW w:w="2829" w:type="dxa"/>
            <w:gridSpan w:val="3"/>
            <w:vAlign w:val="center"/>
          </w:tcPr>
          <w:p>
            <w:pPr>
              <w:spacing w:line="360" w:lineRule="auto"/>
              <w:jc w:val="center"/>
              <w:rPr>
                <w:rFonts w:hint="eastAsia"/>
                <w:color w:val="auto"/>
                <w:sz w:val="24"/>
              </w:rPr>
            </w:pPr>
            <w:r>
              <w:rPr>
                <w:rFonts w:hint="eastAsia"/>
                <w:color w:val="auto"/>
                <w:sz w:val="24"/>
              </w:rPr>
              <w:t>陈文中</w:t>
            </w:r>
          </w:p>
        </w:tc>
        <w:tc>
          <w:tcPr>
            <w:tcW w:w="1130" w:type="dxa"/>
            <w:gridSpan w:val="2"/>
            <w:vAlign w:val="center"/>
          </w:tcPr>
          <w:p>
            <w:pPr>
              <w:spacing w:line="360" w:lineRule="auto"/>
              <w:jc w:val="center"/>
              <w:rPr>
                <w:color w:val="auto"/>
                <w:sz w:val="24"/>
              </w:rPr>
            </w:pPr>
            <w:r>
              <w:rPr>
                <w:color w:val="auto"/>
                <w:sz w:val="24"/>
              </w:rPr>
              <w:t>联系人</w:t>
            </w:r>
          </w:p>
        </w:tc>
        <w:tc>
          <w:tcPr>
            <w:tcW w:w="3041" w:type="dxa"/>
            <w:gridSpan w:val="4"/>
            <w:vAlign w:val="center"/>
          </w:tcPr>
          <w:p>
            <w:pPr>
              <w:spacing w:line="360" w:lineRule="auto"/>
              <w:jc w:val="center"/>
              <w:rPr>
                <w:rFonts w:hint="eastAsia"/>
                <w:color w:val="auto"/>
                <w:sz w:val="24"/>
              </w:rPr>
            </w:pPr>
            <w:r>
              <w:rPr>
                <w:rFonts w:hint="eastAsia"/>
                <w:color w:val="auto"/>
                <w:sz w:val="24"/>
              </w:rPr>
              <w:t>付军</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jc w:val="center"/>
        </w:trPr>
        <w:tc>
          <w:tcPr>
            <w:tcW w:w="1625" w:type="dxa"/>
            <w:vAlign w:val="center"/>
          </w:tcPr>
          <w:p>
            <w:pPr>
              <w:jc w:val="center"/>
              <w:rPr>
                <w:color w:val="auto"/>
                <w:sz w:val="24"/>
              </w:rPr>
            </w:pPr>
            <w:r>
              <w:rPr>
                <w:color w:val="auto"/>
                <w:sz w:val="24"/>
              </w:rPr>
              <w:t>通讯地址</w:t>
            </w:r>
          </w:p>
        </w:tc>
        <w:tc>
          <w:tcPr>
            <w:tcW w:w="7000" w:type="dxa"/>
            <w:gridSpan w:val="9"/>
            <w:vAlign w:val="center"/>
          </w:tcPr>
          <w:p>
            <w:pPr>
              <w:spacing w:line="360" w:lineRule="auto"/>
              <w:jc w:val="center"/>
              <w:rPr>
                <w:rFonts w:hint="eastAsia"/>
                <w:color w:val="auto"/>
                <w:sz w:val="24"/>
              </w:rPr>
            </w:pPr>
            <w:r>
              <w:rPr>
                <w:rFonts w:hint="eastAsia"/>
                <w:color w:val="auto"/>
                <w:sz w:val="24"/>
              </w:rPr>
              <w:t>平江县城关镇三犊源88号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jc w:val="center"/>
        </w:trPr>
        <w:tc>
          <w:tcPr>
            <w:tcW w:w="1625" w:type="dxa"/>
            <w:vAlign w:val="center"/>
          </w:tcPr>
          <w:p>
            <w:pPr>
              <w:jc w:val="center"/>
              <w:rPr>
                <w:color w:val="auto"/>
                <w:sz w:val="24"/>
              </w:rPr>
            </w:pPr>
            <w:r>
              <w:rPr>
                <w:color w:val="auto"/>
                <w:sz w:val="24"/>
              </w:rPr>
              <w:t>联系电话</w:t>
            </w:r>
          </w:p>
        </w:tc>
        <w:tc>
          <w:tcPr>
            <w:tcW w:w="1578" w:type="dxa"/>
            <w:vAlign w:val="center"/>
          </w:tcPr>
          <w:p>
            <w:pPr>
              <w:spacing w:line="360" w:lineRule="auto"/>
              <w:jc w:val="center"/>
              <w:rPr>
                <w:rFonts w:hint="eastAsia"/>
                <w:color w:val="auto"/>
                <w:sz w:val="24"/>
              </w:rPr>
            </w:pPr>
            <w:r>
              <w:rPr>
                <w:rFonts w:hint="eastAsia"/>
                <w:color w:val="auto"/>
                <w:sz w:val="24"/>
              </w:rPr>
              <w:t>6222350</w:t>
            </w:r>
          </w:p>
        </w:tc>
        <w:tc>
          <w:tcPr>
            <w:tcW w:w="1251" w:type="dxa"/>
            <w:gridSpan w:val="2"/>
            <w:vAlign w:val="center"/>
          </w:tcPr>
          <w:p>
            <w:pPr>
              <w:spacing w:line="360" w:lineRule="auto"/>
              <w:jc w:val="center"/>
              <w:rPr>
                <w:color w:val="auto"/>
                <w:sz w:val="24"/>
              </w:rPr>
            </w:pPr>
            <w:r>
              <w:rPr>
                <w:color w:val="auto"/>
                <w:sz w:val="24"/>
              </w:rPr>
              <w:t>传真</w:t>
            </w:r>
          </w:p>
        </w:tc>
        <w:tc>
          <w:tcPr>
            <w:tcW w:w="1130" w:type="dxa"/>
            <w:gridSpan w:val="2"/>
            <w:vAlign w:val="center"/>
          </w:tcPr>
          <w:p>
            <w:pPr>
              <w:spacing w:line="360" w:lineRule="auto"/>
              <w:jc w:val="center"/>
              <w:rPr>
                <w:rFonts w:hint="eastAsia"/>
                <w:color w:val="auto"/>
                <w:sz w:val="24"/>
              </w:rPr>
            </w:pPr>
            <w:r>
              <w:rPr>
                <w:rFonts w:hint="eastAsia"/>
                <w:color w:val="auto"/>
                <w:sz w:val="24"/>
              </w:rPr>
              <w:t>/</w:t>
            </w:r>
          </w:p>
        </w:tc>
        <w:tc>
          <w:tcPr>
            <w:tcW w:w="1456" w:type="dxa"/>
            <w:gridSpan w:val="2"/>
            <w:vAlign w:val="center"/>
          </w:tcPr>
          <w:p>
            <w:pPr>
              <w:spacing w:line="360" w:lineRule="auto"/>
              <w:jc w:val="center"/>
              <w:rPr>
                <w:color w:val="auto"/>
                <w:sz w:val="24"/>
              </w:rPr>
            </w:pPr>
            <w:r>
              <w:rPr>
                <w:color w:val="auto"/>
                <w:sz w:val="24"/>
              </w:rPr>
              <w:t>邮政编码</w:t>
            </w:r>
          </w:p>
        </w:tc>
        <w:tc>
          <w:tcPr>
            <w:tcW w:w="1585" w:type="dxa"/>
            <w:gridSpan w:val="2"/>
            <w:vAlign w:val="center"/>
          </w:tcPr>
          <w:p>
            <w:pPr>
              <w:spacing w:line="360" w:lineRule="auto"/>
              <w:jc w:val="center"/>
              <w:rPr>
                <w:rFonts w:hint="eastAsia"/>
                <w:color w:val="auto"/>
                <w:sz w:val="24"/>
              </w:rPr>
            </w:pPr>
            <w:r>
              <w:rPr>
                <w:rFonts w:hint="eastAsia"/>
                <w:color w:val="auto"/>
                <w:sz w:val="24"/>
              </w:rPr>
              <w:t>410400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96" w:hRule="atLeast"/>
          <w:jc w:val="center"/>
        </w:trPr>
        <w:tc>
          <w:tcPr>
            <w:tcW w:w="1625" w:type="dxa"/>
            <w:vAlign w:val="center"/>
          </w:tcPr>
          <w:p>
            <w:pPr>
              <w:jc w:val="center"/>
              <w:rPr>
                <w:color w:val="auto"/>
                <w:sz w:val="24"/>
              </w:rPr>
            </w:pPr>
            <w:r>
              <w:rPr>
                <w:color w:val="auto"/>
                <w:sz w:val="24"/>
              </w:rPr>
              <w:t>建设地点</w:t>
            </w:r>
          </w:p>
        </w:tc>
        <w:tc>
          <w:tcPr>
            <w:tcW w:w="7000" w:type="dxa"/>
            <w:gridSpan w:val="9"/>
            <w:vAlign w:val="center"/>
          </w:tcPr>
          <w:p>
            <w:pPr>
              <w:spacing w:line="360" w:lineRule="auto"/>
              <w:jc w:val="both"/>
              <w:rPr>
                <w:rFonts w:hint="eastAsia"/>
                <w:color w:val="auto"/>
                <w:sz w:val="24"/>
              </w:rPr>
            </w:pPr>
            <w:r>
              <w:rPr>
                <w:rFonts w:hint="eastAsia"/>
                <w:color w:val="auto"/>
                <w:sz w:val="24"/>
                <w:lang w:eastAsia="zh-CN"/>
              </w:rPr>
              <w:t>扩建净水厂：平江县</w:t>
            </w:r>
            <w:r>
              <w:rPr>
                <w:rFonts w:hint="eastAsia"/>
                <w:color w:val="auto"/>
                <w:sz w:val="24"/>
              </w:rPr>
              <w:t>长寿镇长寿村</w:t>
            </w:r>
          </w:p>
          <w:p>
            <w:pPr>
              <w:spacing w:line="360" w:lineRule="auto"/>
              <w:jc w:val="both"/>
              <w:rPr>
                <w:color w:val="auto"/>
                <w:sz w:val="24"/>
              </w:rPr>
            </w:pPr>
            <w:r>
              <w:rPr>
                <w:rFonts w:hint="eastAsia"/>
                <w:color w:val="auto"/>
                <w:sz w:val="24"/>
                <w:lang w:eastAsia="zh-CN"/>
              </w:rPr>
              <w:t>扩建管网：</w:t>
            </w:r>
            <w:r>
              <w:rPr>
                <w:rFonts w:hint="eastAsia"/>
                <w:color w:val="auto"/>
                <w:sz w:val="24"/>
              </w:rPr>
              <w:t>城关镇（原汉昌镇）、三阳乡、安定镇、三市镇、加义镇、长寿镇、木金乡、梅仙镇、余坪镇（原余坪乡）、瓮江镇、浯口镇、伍市镇、向家镇、福寿山镇（原西村乡）等S308沿线</w:t>
            </w:r>
            <w:r>
              <w:rPr>
                <w:rFonts w:hint="eastAsia"/>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6" w:hRule="atLeast"/>
          <w:jc w:val="center"/>
        </w:trPr>
        <w:tc>
          <w:tcPr>
            <w:tcW w:w="1625" w:type="dxa"/>
            <w:tcMar>
              <w:left w:w="17" w:type="dxa"/>
              <w:right w:w="17" w:type="dxa"/>
            </w:tcMar>
            <w:vAlign w:val="center"/>
          </w:tcPr>
          <w:p>
            <w:pPr>
              <w:jc w:val="center"/>
              <w:rPr>
                <w:color w:val="auto"/>
                <w:sz w:val="24"/>
              </w:rPr>
            </w:pPr>
            <w:r>
              <w:rPr>
                <w:color w:val="auto"/>
                <w:sz w:val="24"/>
              </w:rPr>
              <w:t>立项审批部门</w:t>
            </w:r>
          </w:p>
        </w:tc>
        <w:tc>
          <w:tcPr>
            <w:tcW w:w="3055" w:type="dxa"/>
            <w:gridSpan w:val="4"/>
            <w:vAlign w:val="center"/>
          </w:tcPr>
          <w:p>
            <w:pPr>
              <w:spacing w:line="360" w:lineRule="auto"/>
              <w:jc w:val="center"/>
              <w:rPr>
                <w:rFonts w:hint="eastAsia"/>
                <w:color w:val="auto"/>
                <w:sz w:val="24"/>
              </w:rPr>
            </w:pPr>
            <w:r>
              <w:rPr>
                <w:rFonts w:hint="eastAsia"/>
                <w:color w:val="auto"/>
                <w:sz w:val="24"/>
              </w:rPr>
              <w:t>/</w:t>
            </w:r>
          </w:p>
        </w:tc>
        <w:tc>
          <w:tcPr>
            <w:tcW w:w="1353" w:type="dxa"/>
            <w:gridSpan w:val="2"/>
            <w:vAlign w:val="center"/>
          </w:tcPr>
          <w:p>
            <w:pPr>
              <w:spacing w:line="360" w:lineRule="auto"/>
              <w:jc w:val="center"/>
              <w:rPr>
                <w:color w:val="auto"/>
                <w:sz w:val="24"/>
              </w:rPr>
            </w:pPr>
            <w:r>
              <w:rPr>
                <w:color w:val="auto"/>
                <w:sz w:val="24"/>
              </w:rPr>
              <w:t>批准文号</w:t>
            </w:r>
          </w:p>
        </w:tc>
        <w:tc>
          <w:tcPr>
            <w:tcW w:w="2592" w:type="dxa"/>
            <w:gridSpan w:val="3"/>
            <w:vAlign w:val="center"/>
          </w:tcPr>
          <w:p>
            <w:pPr>
              <w:spacing w:line="360" w:lineRule="auto"/>
              <w:jc w:val="center"/>
              <w:rPr>
                <w:rFonts w:hint="eastAsia"/>
                <w:color w:val="auto"/>
                <w:sz w:val="24"/>
              </w:rPr>
            </w:pPr>
            <w:r>
              <w:rPr>
                <w:rFonts w:hint="eastAsia"/>
                <w:color w:val="auto"/>
                <w:sz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jc w:val="center"/>
        </w:trPr>
        <w:tc>
          <w:tcPr>
            <w:tcW w:w="1625" w:type="dxa"/>
            <w:vAlign w:val="center"/>
          </w:tcPr>
          <w:p>
            <w:pPr>
              <w:jc w:val="center"/>
              <w:rPr>
                <w:color w:val="auto"/>
                <w:sz w:val="24"/>
              </w:rPr>
            </w:pPr>
            <w:r>
              <w:rPr>
                <w:color w:val="auto"/>
                <w:sz w:val="24"/>
              </w:rPr>
              <w:t>建设性质</w:t>
            </w:r>
          </w:p>
        </w:tc>
        <w:tc>
          <w:tcPr>
            <w:tcW w:w="3055" w:type="dxa"/>
            <w:gridSpan w:val="4"/>
            <w:vAlign w:val="center"/>
          </w:tcPr>
          <w:p>
            <w:pPr>
              <w:spacing w:line="360" w:lineRule="auto"/>
              <w:jc w:val="center"/>
              <w:rPr>
                <w:rFonts w:hint="eastAsia"/>
                <w:color w:val="auto"/>
                <w:sz w:val="24"/>
              </w:rPr>
            </w:pPr>
            <w:r>
              <w:rPr>
                <w:color w:val="auto"/>
                <w:sz w:val="24"/>
              </w:rPr>
              <w:t>新建</w:t>
            </w:r>
            <w:r>
              <w:rPr>
                <w:rFonts w:hint="eastAsia" w:ascii="宋体" w:hAnsi="宋体"/>
                <w:color w:val="auto"/>
                <w:sz w:val="24"/>
              </w:rPr>
              <w:t>□</w:t>
            </w:r>
            <w:r>
              <w:rPr>
                <w:rFonts w:hint="eastAsia"/>
                <w:color w:val="auto"/>
                <w:sz w:val="24"/>
              </w:rPr>
              <w:t>扩建</w:t>
            </w:r>
            <w:r>
              <w:rPr>
                <w:rFonts w:hint="eastAsia" w:ascii="宋体" w:hAnsi="宋体"/>
                <w:color w:val="auto"/>
                <w:sz w:val="24"/>
              </w:rPr>
              <w:t>■</w:t>
            </w:r>
            <w:r>
              <w:rPr>
                <w:rFonts w:hint="eastAsia"/>
                <w:color w:val="auto"/>
                <w:sz w:val="24"/>
              </w:rPr>
              <w:t>技改</w:t>
            </w:r>
            <w:r>
              <w:rPr>
                <w:rFonts w:hint="eastAsia" w:ascii="宋体" w:hAnsi="宋体"/>
                <w:color w:val="auto"/>
                <w:sz w:val="24"/>
              </w:rPr>
              <w:t>□</w:t>
            </w:r>
          </w:p>
        </w:tc>
        <w:tc>
          <w:tcPr>
            <w:tcW w:w="1353" w:type="dxa"/>
            <w:gridSpan w:val="2"/>
            <w:vAlign w:val="center"/>
          </w:tcPr>
          <w:p>
            <w:pPr>
              <w:jc w:val="center"/>
              <w:rPr>
                <w:color w:val="auto"/>
                <w:sz w:val="24"/>
              </w:rPr>
            </w:pPr>
            <w:r>
              <w:rPr>
                <w:color w:val="auto"/>
                <w:sz w:val="24"/>
              </w:rPr>
              <w:t>行业类别</w:t>
            </w:r>
          </w:p>
          <w:p>
            <w:pPr>
              <w:jc w:val="center"/>
              <w:rPr>
                <w:color w:val="auto"/>
                <w:sz w:val="24"/>
              </w:rPr>
            </w:pPr>
            <w:r>
              <w:rPr>
                <w:color w:val="auto"/>
                <w:sz w:val="24"/>
              </w:rPr>
              <w:t>及代码</w:t>
            </w:r>
          </w:p>
        </w:tc>
        <w:tc>
          <w:tcPr>
            <w:tcW w:w="2592" w:type="dxa"/>
            <w:gridSpan w:val="3"/>
            <w:vAlign w:val="center"/>
          </w:tcPr>
          <w:p>
            <w:pPr>
              <w:jc w:val="center"/>
              <w:rPr>
                <w:color w:val="auto"/>
                <w:sz w:val="24"/>
              </w:rPr>
            </w:pPr>
            <w:r>
              <w:rPr>
                <w:rFonts w:hint="eastAsia"/>
                <w:color w:val="auto"/>
                <w:sz w:val="24"/>
                <w:lang w:val="en-US" w:eastAsia="zh-CN"/>
              </w:rPr>
              <w:t>D4610</w:t>
            </w:r>
            <w:r>
              <w:rPr>
                <w:rFonts w:hint="eastAsia"/>
                <w:color w:val="auto"/>
                <w:sz w:val="24"/>
              </w:rPr>
              <w:t>-自来水生产和供应</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42" w:hRule="atLeast"/>
          <w:jc w:val="center"/>
        </w:trPr>
        <w:tc>
          <w:tcPr>
            <w:tcW w:w="1625" w:type="dxa"/>
            <w:vAlign w:val="center"/>
          </w:tcPr>
          <w:p>
            <w:pPr>
              <w:jc w:val="center"/>
              <w:rPr>
                <w:color w:val="auto"/>
                <w:sz w:val="24"/>
              </w:rPr>
            </w:pPr>
            <w:r>
              <w:rPr>
                <w:color w:val="auto"/>
                <w:sz w:val="24"/>
              </w:rPr>
              <w:t>占地面积(</w:t>
            </w:r>
            <w:r>
              <w:rPr>
                <w:rFonts w:hint="eastAsia"/>
                <w:color w:val="auto"/>
                <w:sz w:val="24"/>
              </w:rPr>
              <w:t>m</w:t>
            </w:r>
            <w:r>
              <w:rPr>
                <w:rFonts w:hint="eastAsia"/>
                <w:color w:val="auto"/>
                <w:sz w:val="24"/>
                <w:vertAlign w:val="superscript"/>
              </w:rPr>
              <w:t>2</w:t>
            </w:r>
            <w:r>
              <w:rPr>
                <w:color w:val="auto"/>
                <w:sz w:val="24"/>
              </w:rPr>
              <w:t>)</w:t>
            </w:r>
          </w:p>
        </w:tc>
        <w:tc>
          <w:tcPr>
            <w:tcW w:w="3055" w:type="dxa"/>
            <w:gridSpan w:val="4"/>
            <w:vAlign w:val="center"/>
          </w:tcPr>
          <w:p>
            <w:pPr>
              <w:jc w:val="center"/>
              <w:rPr>
                <w:rFonts w:hint="eastAsia" w:eastAsia="宋体"/>
                <w:color w:val="auto"/>
                <w:sz w:val="24"/>
                <w:lang w:eastAsia="zh-CN"/>
              </w:rPr>
            </w:pPr>
            <w:r>
              <w:rPr>
                <w:rFonts w:hint="eastAsia"/>
                <w:color w:val="auto"/>
                <w:sz w:val="24"/>
                <w:lang w:eastAsia="zh-CN"/>
              </w:rPr>
              <w:t>扩建水厂：48968m</w:t>
            </w:r>
            <w:r>
              <w:rPr>
                <w:rFonts w:hint="eastAsia"/>
                <w:color w:val="auto"/>
                <w:sz w:val="24"/>
                <w:vertAlign w:val="superscript"/>
                <w:lang w:eastAsia="zh-CN"/>
              </w:rPr>
              <w:t>2</w:t>
            </w:r>
          </w:p>
          <w:p>
            <w:pPr>
              <w:jc w:val="center"/>
              <w:rPr>
                <w:rFonts w:hint="eastAsia"/>
                <w:color w:val="auto"/>
                <w:sz w:val="24"/>
              </w:rPr>
            </w:pPr>
            <w:r>
              <w:rPr>
                <w:rFonts w:hint="eastAsia"/>
                <w:color w:val="auto"/>
                <w:sz w:val="24"/>
                <w:lang w:eastAsia="zh-CN"/>
              </w:rPr>
              <w:t>扩建配水</w:t>
            </w:r>
            <w:r>
              <w:rPr>
                <w:color w:val="auto"/>
                <w:sz w:val="24"/>
              </w:rPr>
              <w:t>管道</w:t>
            </w:r>
            <w:r>
              <w:rPr>
                <w:rFonts w:hint="eastAsia"/>
                <w:color w:val="auto"/>
                <w:sz w:val="24"/>
                <w:lang w:eastAsia="zh-CN"/>
              </w:rPr>
              <w:t>：</w:t>
            </w:r>
            <w:r>
              <w:rPr>
                <w:rFonts w:hint="eastAsia"/>
                <w:color w:val="auto"/>
                <w:sz w:val="24"/>
              </w:rPr>
              <w:t>60467m</w:t>
            </w:r>
          </w:p>
        </w:tc>
        <w:tc>
          <w:tcPr>
            <w:tcW w:w="1353" w:type="dxa"/>
            <w:gridSpan w:val="2"/>
            <w:vAlign w:val="center"/>
          </w:tcPr>
          <w:p>
            <w:pPr>
              <w:jc w:val="center"/>
              <w:rPr>
                <w:color w:val="auto"/>
                <w:sz w:val="24"/>
              </w:rPr>
            </w:pPr>
            <w:r>
              <w:rPr>
                <w:color w:val="auto"/>
                <w:sz w:val="24"/>
              </w:rPr>
              <w:t>绿化面积(</w:t>
            </w:r>
            <w:r>
              <w:rPr>
                <w:rFonts w:hint="eastAsia"/>
                <w:color w:val="auto"/>
                <w:spacing w:val="-20"/>
                <w:sz w:val="24"/>
              </w:rPr>
              <w:t>m</w:t>
            </w:r>
            <w:r>
              <w:rPr>
                <w:rFonts w:hint="eastAsia"/>
                <w:color w:val="auto"/>
                <w:spacing w:val="-20"/>
                <w:sz w:val="24"/>
                <w:vertAlign w:val="superscript"/>
              </w:rPr>
              <w:t>2</w:t>
            </w:r>
            <w:r>
              <w:rPr>
                <w:color w:val="auto"/>
                <w:sz w:val="24"/>
              </w:rPr>
              <w:t>)</w:t>
            </w:r>
          </w:p>
        </w:tc>
        <w:tc>
          <w:tcPr>
            <w:tcW w:w="2592" w:type="dxa"/>
            <w:gridSpan w:val="3"/>
            <w:vAlign w:val="center"/>
          </w:tcPr>
          <w:p>
            <w:pPr>
              <w:widowControl/>
              <w:jc w:val="center"/>
              <w:rPr>
                <w:rFonts w:hint="eastAsia" w:eastAsia="宋体"/>
                <w:color w:val="auto"/>
                <w:sz w:val="24"/>
                <w:lang w:val="en-US" w:eastAsia="zh-CN"/>
              </w:rPr>
            </w:pPr>
            <w:r>
              <w:rPr>
                <w:rFonts w:hint="eastAsia"/>
                <w:color w:val="auto"/>
                <w:sz w:val="24"/>
                <w:lang w:val="en-US" w:eastAsia="zh-CN"/>
              </w:rPr>
              <w:t>9560㎡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22" w:hRule="atLeast"/>
          <w:jc w:val="center"/>
        </w:trPr>
        <w:tc>
          <w:tcPr>
            <w:tcW w:w="1625" w:type="dxa"/>
            <w:vAlign w:val="center"/>
          </w:tcPr>
          <w:p>
            <w:pPr>
              <w:jc w:val="center"/>
              <w:rPr>
                <w:color w:val="auto"/>
                <w:sz w:val="24"/>
              </w:rPr>
            </w:pPr>
            <w:r>
              <w:rPr>
                <w:color w:val="auto"/>
                <w:sz w:val="24"/>
              </w:rPr>
              <w:t>总投资(万元)</w:t>
            </w:r>
          </w:p>
        </w:tc>
        <w:tc>
          <w:tcPr>
            <w:tcW w:w="1611" w:type="dxa"/>
            <w:gridSpan w:val="2"/>
            <w:vAlign w:val="center"/>
          </w:tcPr>
          <w:p>
            <w:pPr>
              <w:jc w:val="center"/>
              <w:rPr>
                <w:rFonts w:hint="eastAsia"/>
                <w:color w:val="auto"/>
                <w:sz w:val="24"/>
              </w:rPr>
            </w:pPr>
            <w:r>
              <w:rPr>
                <w:rFonts w:hint="eastAsia"/>
                <w:color w:val="auto"/>
                <w:sz w:val="24"/>
              </w:rPr>
              <w:t>26000</w:t>
            </w:r>
          </w:p>
        </w:tc>
        <w:tc>
          <w:tcPr>
            <w:tcW w:w="1444" w:type="dxa"/>
            <w:gridSpan w:val="2"/>
            <w:vAlign w:val="center"/>
          </w:tcPr>
          <w:p>
            <w:pPr>
              <w:jc w:val="center"/>
              <w:rPr>
                <w:color w:val="auto"/>
                <w:sz w:val="24"/>
              </w:rPr>
            </w:pPr>
            <w:r>
              <w:rPr>
                <w:color w:val="auto"/>
                <w:sz w:val="24"/>
              </w:rPr>
              <w:t>其中：环保</w:t>
            </w:r>
          </w:p>
          <w:p>
            <w:pPr>
              <w:jc w:val="center"/>
              <w:rPr>
                <w:color w:val="auto"/>
                <w:sz w:val="24"/>
              </w:rPr>
            </w:pPr>
            <w:r>
              <w:rPr>
                <w:color w:val="auto"/>
                <w:sz w:val="24"/>
              </w:rPr>
              <w:t>投资(万元)</w:t>
            </w:r>
          </w:p>
        </w:tc>
        <w:tc>
          <w:tcPr>
            <w:tcW w:w="1353" w:type="dxa"/>
            <w:gridSpan w:val="2"/>
            <w:vAlign w:val="center"/>
          </w:tcPr>
          <w:p>
            <w:pPr>
              <w:jc w:val="center"/>
              <w:rPr>
                <w:rFonts w:hint="eastAsia"/>
                <w:color w:val="auto"/>
                <w:sz w:val="24"/>
              </w:rPr>
            </w:pPr>
            <w:r>
              <w:rPr>
                <w:rFonts w:hint="eastAsia"/>
                <w:color w:val="auto"/>
                <w:sz w:val="24"/>
              </w:rPr>
              <w:t>175</w:t>
            </w:r>
          </w:p>
        </w:tc>
        <w:tc>
          <w:tcPr>
            <w:tcW w:w="1695" w:type="dxa"/>
            <w:gridSpan w:val="2"/>
            <w:vAlign w:val="center"/>
          </w:tcPr>
          <w:p>
            <w:pPr>
              <w:jc w:val="center"/>
              <w:rPr>
                <w:color w:val="auto"/>
                <w:spacing w:val="-20"/>
                <w:sz w:val="24"/>
              </w:rPr>
            </w:pPr>
            <w:r>
              <w:rPr>
                <w:color w:val="auto"/>
                <w:sz w:val="24"/>
              </w:rPr>
              <w:t>环保投资占总投资比例</w:t>
            </w:r>
          </w:p>
        </w:tc>
        <w:tc>
          <w:tcPr>
            <w:tcW w:w="897" w:type="dxa"/>
            <w:vAlign w:val="center"/>
          </w:tcPr>
          <w:p>
            <w:pPr>
              <w:widowControl/>
              <w:jc w:val="center"/>
              <w:rPr>
                <w:rFonts w:hint="eastAsia"/>
                <w:color w:val="auto"/>
                <w:sz w:val="24"/>
              </w:rPr>
            </w:pPr>
            <w:r>
              <w:rPr>
                <w:rFonts w:hint="eastAsia"/>
                <w:color w:val="auto"/>
                <w:sz w:val="24"/>
              </w:rPr>
              <w:t>0.67%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7" w:hRule="atLeast"/>
          <w:jc w:val="center"/>
        </w:trPr>
        <w:tc>
          <w:tcPr>
            <w:tcW w:w="1625" w:type="dxa"/>
            <w:vAlign w:val="center"/>
          </w:tcPr>
          <w:p>
            <w:pPr>
              <w:jc w:val="center"/>
              <w:rPr>
                <w:color w:val="auto"/>
                <w:sz w:val="24"/>
              </w:rPr>
            </w:pPr>
            <w:r>
              <w:rPr>
                <w:color w:val="auto"/>
                <w:sz w:val="24"/>
              </w:rPr>
              <w:t>评价经费</w:t>
            </w:r>
          </w:p>
          <w:p>
            <w:pPr>
              <w:jc w:val="center"/>
              <w:rPr>
                <w:color w:val="auto"/>
                <w:sz w:val="24"/>
              </w:rPr>
            </w:pPr>
            <w:r>
              <w:rPr>
                <w:color w:val="auto"/>
                <w:sz w:val="24"/>
              </w:rPr>
              <w:t>(万元)</w:t>
            </w:r>
          </w:p>
        </w:tc>
        <w:tc>
          <w:tcPr>
            <w:tcW w:w="1611" w:type="dxa"/>
            <w:gridSpan w:val="2"/>
            <w:vAlign w:val="center"/>
          </w:tcPr>
          <w:p>
            <w:pPr>
              <w:jc w:val="center"/>
              <w:rPr>
                <w:color w:val="auto"/>
                <w:sz w:val="24"/>
              </w:rPr>
            </w:pPr>
          </w:p>
        </w:tc>
        <w:tc>
          <w:tcPr>
            <w:tcW w:w="1444" w:type="dxa"/>
            <w:gridSpan w:val="2"/>
            <w:vAlign w:val="center"/>
          </w:tcPr>
          <w:p>
            <w:pPr>
              <w:jc w:val="center"/>
              <w:rPr>
                <w:color w:val="auto"/>
                <w:sz w:val="24"/>
              </w:rPr>
            </w:pPr>
            <w:r>
              <w:rPr>
                <w:color w:val="auto"/>
                <w:sz w:val="24"/>
              </w:rPr>
              <w:t>预期投产</w:t>
            </w:r>
          </w:p>
          <w:p>
            <w:pPr>
              <w:jc w:val="center"/>
              <w:rPr>
                <w:color w:val="auto"/>
                <w:sz w:val="24"/>
              </w:rPr>
            </w:pPr>
            <w:r>
              <w:rPr>
                <w:color w:val="auto"/>
                <w:sz w:val="24"/>
              </w:rPr>
              <w:t>日期</w:t>
            </w:r>
          </w:p>
        </w:tc>
        <w:tc>
          <w:tcPr>
            <w:tcW w:w="3945" w:type="dxa"/>
            <w:gridSpan w:val="5"/>
            <w:vAlign w:val="center"/>
          </w:tcPr>
          <w:p>
            <w:pPr>
              <w:jc w:val="center"/>
              <w:rPr>
                <w:rFonts w:hint="eastAsia"/>
                <w:color w:val="auto"/>
                <w:sz w:val="24"/>
              </w:rPr>
            </w:pPr>
            <w:r>
              <w:rPr>
                <w:rFonts w:hint="eastAsia"/>
                <w:color w:val="auto"/>
                <w:sz w:val="24"/>
              </w:rPr>
              <w:t>2017年7月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679" w:hRule="atLeast"/>
          <w:jc w:val="center"/>
        </w:trPr>
        <w:tc>
          <w:tcPr>
            <w:tcW w:w="8625" w:type="dxa"/>
            <w:gridSpan w:val="10"/>
            <w:vAlign w:val="top"/>
          </w:tcPr>
          <w:p>
            <w:pPr>
              <w:adjustRightInd w:val="0"/>
              <w:spacing w:line="360" w:lineRule="auto"/>
              <w:rPr>
                <w:rFonts w:hint="eastAsia" w:hAnsi="宋体"/>
                <w:color w:val="auto"/>
                <w:sz w:val="28"/>
                <w:szCs w:val="28"/>
              </w:rPr>
            </w:pPr>
            <w:r>
              <w:rPr>
                <w:rFonts w:hint="eastAsia" w:hAnsi="宋体"/>
                <w:color w:val="auto"/>
                <w:sz w:val="28"/>
                <w:szCs w:val="28"/>
              </w:rPr>
              <w:t>工程内容及规模：</w:t>
            </w:r>
          </w:p>
          <w:p>
            <w:pPr>
              <w:numPr>
                <w:ilvl w:val="0"/>
                <w:numId w:val="2"/>
              </w:numPr>
              <w:adjustRightInd w:val="0"/>
              <w:spacing w:line="360" w:lineRule="auto"/>
              <w:rPr>
                <w:b/>
                <w:color w:val="auto"/>
                <w:sz w:val="24"/>
              </w:rPr>
            </w:pPr>
            <w:r>
              <w:rPr>
                <w:b/>
                <w:color w:val="auto"/>
                <w:sz w:val="24"/>
              </w:rPr>
              <w:t>项目背景</w:t>
            </w:r>
            <w:r>
              <w:rPr>
                <w:rFonts w:hint="eastAsia"/>
                <w:b/>
                <w:color w:val="auto"/>
                <w:sz w:val="24"/>
              </w:rPr>
              <w:t>及由来</w:t>
            </w:r>
          </w:p>
          <w:p>
            <w:pPr>
              <w:spacing w:line="360" w:lineRule="auto"/>
              <w:ind w:firstLine="480" w:firstLineChars="200"/>
              <w:rPr>
                <w:rFonts w:hint="eastAsia"/>
                <w:color w:val="auto"/>
                <w:sz w:val="24"/>
              </w:rPr>
            </w:pPr>
            <w:r>
              <w:rPr>
                <w:rFonts w:hint="eastAsia"/>
                <w:color w:val="auto"/>
                <w:sz w:val="24"/>
              </w:rPr>
              <w:t>平江县县城设有自来水厂一座，</w:t>
            </w:r>
            <w:r>
              <w:rPr>
                <w:color w:val="auto"/>
                <w:sz w:val="24"/>
              </w:rPr>
              <w:t>位于县城西北侧的铁炉巷，其供水能力为</w:t>
            </w:r>
            <w:r>
              <w:rPr>
                <w:rFonts w:hint="eastAsia"/>
                <w:color w:val="auto"/>
                <w:sz w:val="24"/>
              </w:rPr>
              <w:t>3</w:t>
            </w:r>
            <w:r>
              <w:rPr>
                <w:color w:val="auto"/>
                <w:sz w:val="24"/>
              </w:rPr>
              <w:t>.0×10</w:t>
            </w:r>
            <w:r>
              <w:rPr>
                <w:color w:val="auto"/>
                <w:sz w:val="24"/>
                <w:vertAlign w:val="superscript"/>
              </w:rPr>
              <w:t>4</w:t>
            </w:r>
            <w:r>
              <w:rPr>
                <w:rFonts w:hint="eastAsia"/>
                <w:color w:val="auto"/>
                <w:sz w:val="24"/>
                <w:lang w:eastAsia="zh-CN"/>
              </w:rPr>
              <w:t>m³</w:t>
            </w:r>
            <w:r>
              <w:rPr>
                <w:color w:val="auto"/>
                <w:sz w:val="24"/>
              </w:rPr>
              <w:t>/d</w:t>
            </w:r>
            <w:r>
              <w:rPr>
                <w:rFonts w:hint="eastAsia"/>
                <w:color w:val="auto"/>
                <w:sz w:val="24"/>
              </w:rPr>
              <w:t>；除县城水厂之外，平江县还有22座镇（乡）级水厂及130座村级供水站，共解决供水人口43.85万，占全县总人口的40.55%，全县未解决饮水总人数为64.282万人，涉及村为536个。</w:t>
            </w:r>
          </w:p>
          <w:p>
            <w:pPr>
              <w:spacing w:line="360" w:lineRule="auto"/>
              <w:ind w:firstLine="480" w:firstLineChars="200"/>
              <w:rPr>
                <w:rFonts w:hint="eastAsia"/>
                <w:color w:val="auto"/>
                <w:sz w:val="24"/>
              </w:rPr>
            </w:pPr>
            <w:r>
              <w:rPr>
                <w:color w:val="auto"/>
                <w:sz w:val="24"/>
              </w:rPr>
              <w:t>同时由于平江县</w:t>
            </w:r>
            <w:r>
              <w:rPr>
                <w:rFonts w:hint="eastAsia"/>
                <w:color w:val="auto"/>
                <w:sz w:val="24"/>
              </w:rPr>
              <w:t>现有</w:t>
            </w:r>
            <w:r>
              <w:rPr>
                <w:color w:val="auto"/>
                <w:sz w:val="24"/>
              </w:rPr>
              <w:t>供水设施简陋或根本没有供水设施，直接从河道、坑塘、山泉、浅井取水饮用，</w:t>
            </w:r>
            <w:r>
              <w:rPr>
                <w:rFonts w:hint="eastAsia"/>
                <w:color w:val="auto"/>
                <w:sz w:val="24"/>
              </w:rPr>
              <w:t>区域内的溪河属湘江水系，年径流量有限且受季节影响较大，虽然平江降雨量充沛，但分布不均，大部分降水集中在雨季阶段，地下水脉断裂并向深部渗漏造成地上无水可供；平江县金属矿多年无序开采，地下巷道犬牙交错，而且逐年向地下深部开采，改变了地下水的流向，丧失了土地蕴藏水分的功能。因此，以溪河等地表河流水作为引用水源时</w:t>
            </w:r>
            <w:r>
              <w:rPr>
                <w:color w:val="auto"/>
                <w:sz w:val="24"/>
              </w:rPr>
              <w:t>水源保证率低，季节性缺水严重，干旱季节缺水时仍需远距离挑水或拉水。</w:t>
            </w:r>
            <w:r>
              <w:rPr>
                <w:rFonts w:hint="eastAsia"/>
                <w:color w:val="auto"/>
                <w:sz w:val="24"/>
              </w:rPr>
              <w:t>改革开放以来受经济利益驱动，加上林业管理体制的问题，树木难成林，山地涵养水分功能下降，泉水断涌，溪水断流，大河枯水，形成干旱无水吃，下雨成涝灾的局面。历史以来一些水资源丰富的山区也出现了缺水的现象。</w:t>
            </w:r>
          </w:p>
          <w:p>
            <w:pPr>
              <w:spacing w:line="360" w:lineRule="auto"/>
              <w:ind w:firstLine="480" w:firstLineChars="200"/>
              <w:rPr>
                <w:rFonts w:hint="eastAsia"/>
                <w:color w:val="auto"/>
                <w:sz w:val="24"/>
                <w:lang w:eastAsia="zh-CN"/>
              </w:rPr>
            </w:pPr>
            <w:r>
              <w:rPr>
                <w:rFonts w:hint="eastAsia"/>
                <w:color w:val="auto"/>
                <w:sz w:val="24"/>
              </w:rPr>
              <w:t>为了改善居民缺水、用污染水的现状，保障居民用水安全、可靠，平江县自来水公司根据</w:t>
            </w:r>
            <w:r>
              <w:rPr>
                <w:color w:val="auto"/>
                <w:sz w:val="24"/>
              </w:rPr>
              <w:t>《</w:t>
            </w:r>
            <w:r>
              <w:rPr>
                <w:rFonts w:hint="eastAsia"/>
                <w:color w:val="auto"/>
                <w:sz w:val="24"/>
              </w:rPr>
              <w:t>平江县城乡供水一体化规划</w:t>
            </w:r>
            <w:r>
              <w:rPr>
                <w:color w:val="auto"/>
                <w:sz w:val="24"/>
              </w:rPr>
              <w:t>》中提出的</w:t>
            </w:r>
            <w:r>
              <w:rPr>
                <w:rFonts w:hint="eastAsia"/>
                <w:color w:val="auto"/>
                <w:sz w:val="24"/>
              </w:rPr>
              <w:t>“统一</w:t>
            </w:r>
            <w:r>
              <w:rPr>
                <w:color w:val="auto"/>
                <w:sz w:val="24"/>
              </w:rPr>
              <w:t>供水为主、分散供水为辅的原则</w:t>
            </w:r>
            <w:r>
              <w:rPr>
                <w:rFonts w:hint="eastAsia"/>
                <w:color w:val="auto"/>
                <w:sz w:val="24"/>
              </w:rPr>
              <w:t>”，在平江县东南部的长寿镇实施平江县东部供水枢纽工程，该工程以黄金洞水库为水源地，建设一座供水能力为5</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r>
              <w:rPr>
                <w:rFonts w:hint="eastAsia"/>
                <w:color w:val="auto"/>
                <w:sz w:val="24"/>
              </w:rPr>
              <w:t>的净水厂</w:t>
            </w:r>
            <w:r>
              <w:rPr>
                <w:rFonts w:hint="eastAsia"/>
                <w:color w:val="auto"/>
                <w:sz w:val="24"/>
                <w:lang w:eastAsia="zh-CN"/>
              </w:rPr>
              <w:t>（根据实际调研，目前实际长寿水厂一期供水能力为</w:t>
            </w:r>
            <w:r>
              <w:rPr>
                <w:rFonts w:hint="eastAsia"/>
                <w:color w:val="auto"/>
                <w:sz w:val="24"/>
                <w:lang w:val="en-US" w:eastAsia="zh-CN"/>
              </w:rPr>
              <w:t>1.5</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r>
              <w:rPr>
                <w:rFonts w:hint="eastAsia"/>
                <w:color w:val="auto"/>
                <w:sz w:val="24"/>
              </w:rPr>
              <w:t>，工程供水服务范围包括长寿镇、木金乡、加义镇、三市镇、安定镇、城关镇6个乡镇；该项目主要建设内容包括取水工程、引水工程、净水厂工程和配水工程四部分。岳阳市环境保护局于2014年6月30日以“岳环评[2014]39号”文对该项目进行了批复。根据项目环境影响报告书及环评批复可知，</w:t>
            </w:r>
            <w:r>
              <w:rPr>
                <w:rFonts w:hint="eastAsia"/>
                <w:color w:val="auto"/>
                <w:sz w:val="24"/>
                <w:lang w:eastAsia="zh-CN"/>
              </w:rPr>
              <w:t>该</w:t>
            </w:r>
            <w:r>
              <w:rPr>
                <w:rFonts w:hint="eastAsia"/>
                <w:color w:val="auto"/>
                <w:sz w:val="24"/>
              </w:rPr>
              <w:t>项目主要建设内容包括取水工程、引水工程、净水厂工程和配水工程四部分。取水工程主要构（建）筑物有启闭塔和五层拍门；</w:t>
            </w:r>
            <w:r>
              <w:rPr>
                <w:rFonts w:hint="eastAsia"/>
                <w:color w:val="auto"/>
                <w:sz w:val="24"/>
                <w:lang w:eastAsia="zh-CN"/>
              </w:rPr>
              <w:t>饮水工程</w:t>
            </w:r>
            <w:r>
              <w:rPr>
                <w:rFonts w:hint="eastAsia"/>
                <w:color w:val="auto"/>
                <w:sz w:val="24"/>
              </w:rPr>
              <w:t>采用压力管道将黄金洞水库水源水引至位于国富村、宝枫村的财源坑净化场地</w:t>
            </w:r>
            <w:r>
              <w:rPr>
                <w:rFonts w:hint="eastAsia"/>
                <w:color w:val="auto"/>
                <w:sz w:val="24"/>
                <w:lang w:eastAsia="zh-CN"/>
              </w:rPr>
              <w:t>；</w:t>
            </w:r>
            <w:r>
              <w:rPr>
                <w:rFonts w:hint="eastAsia"/>
                <w:color w:val="auto"/>
                <w:sz w:val="24"/>
              </w:rPr>
              <w:t>净水厂工程主要构（建）筑物有门卫、综合楼、水处理工艺建筑及加药间等</w:t>
            </w:r>
            <w:r>
              <w:rPr>
                <w:rFonts w:hint="eastAsia"/>
                <w:color w:val="auto"/>
                <w:sz w:val="24"/>
                <w:lang w:eastAsia="zh-CN"/>
              </w:rPr>
              <w:t>；</w:t>
            </w:r>
            <w:r>
              <w:rPr>
                <w:rFonts w:hint="eastAsia"/>
                <w:color w:val="auto"/>
                <w:sz w:val="24"/>
              </w:rPr>
              <w:t>配水工程的建设内容为从长寿净水厂沿S308、G106铺设DN</w:t>
            </w:r>
            <w:r>
              <w:rPr>
                <w:rFonts w:hint="eastAsia"/>
                <w:color w:val="auto"/>
                <w:sz w:val="24"/>
                <w:lang w:val="en-US" w:eastAsia="zh-CN"/>
              </w:rPr>
              <w:t>1100-1200</w:t>
            </w:r>
            <w:r>
              <w:rPr>
                <w:rFonts w:hint="eastAsia"/>
                <w:color w:val="auto"/>
                <w:sz w:val="24"/>
              </w:rPr>
              <w:t>球墨铸铁管49780m至平江县城，为配水管线区域供水。该工程于2012年6月开工建设，至今已基本完成了引水工程及净水厂的土建施工，但相应的配水工程尚未建成</w:t>
            </w:r>
            <w:r>
              <w:rPr>
                <w:rFonts w:hint="eastAsia"/>
                <w:color w:val="auto"/>
                <w:sz w:val="24"/>
                <w:lang w:eastAsia="zh-CN"/>
              </w:rPr>
              <w:t>。</w:t>
            </w:r>
          </w:p>
          <w:p>
            <w:pPr>
              <w:spacing w:line="360" w:lineRule="auto"/>
              <w:ind w:firstLine="480" w:firstLineChars="200"/>
              <w:rPr>
                <w:rFonts w:hint="eastAsia"/>
                <w:color w:val="auto"/>
                <w:sz w:val="24"/>
                <w:lang w:eastAsia="zh-CN"/>
              </w:rPr>
            </w:pPr>
            <w:r>
              <w:rPr>
                <w:rFonts w:hint="eastAsia"/>
                <w:color w:val="auto"/>
                <w:sz w:val="24"/>
                <w:lang w:eastAsia="zh-CN"/>
              </w:rPr>
              <w:t>为进一步覆盖平江县境内</w:t>
            </w:r>
            <w:r>
              <w:rPr>
                <w:rFonts w:hint="eastAsia"/>
                <w:color w:val="auto"/>
                <w:sz w:val="24"/>
              </w:rPr>
              <w:t>城关镇（原汉昌镇）、三阳乡、安定镇、三市镇、加义镇、长寿镇、木金乡、梅仙镇、余坪镇（原余坪乡）、瓮江镇、浯口镇、伍市镇、向家镇、福寿山镇（原西村乡）等S308沿线</w:t>
            </w:r>
            <w:r>
              <w:rPr>
                <w:rFonts w:hint="eastAsia"/>
                <w:color w:val="auto"/>
                <w:sz w:val="24"/>
                <w:lang w:eastAsia="zh-CN"/>
              </w:rPr>
              <w:t>乡镇，切实改善平江县域境内居民的饮用水安全，平江县供水枢纽建设开发有限公司拟延长平江县东部供水枢纽工程配水工程，将该配水工程铺设至平江县东部的向家镇，共扩建配水管道</w:t>
            </w:r>
            <w:r>
              <w:rPr>
                <w:rFonts w:hint="eastAsia"/>
                <w:color w:val="auto"/>
                <w:sz w:val="24"/>
              </w:rPr>
              <w:t>60467m</w:t>
            </w:r>
            <w:r>
              <w:rPr>
                <w:rFonts w:hint="eastAsia"/>
                <w:color w:val="auto"/>
                <w:sz w:val="24"/>
                <w:lang w:eastAsia="zh-CN"/>
              </w:rPr>
              <w:t>。同时根据供水量预测拟扩建现有长寿水厂，将水厂总规增加至</w:t>
            </w:r>
            <w:r>
              <w:rPr>
                <w:rFonts w:hint="eastAsia"/>
                <w:color w:val="auto"/>
                <w:sz w:val="24"/>
                <w:lang w:val="en-US" w:eastAsia="zh-CN"/>
              </w:rPr>
              <w:t>10.0</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p>
          <w:p>
            <w:pPr>
              <w:spacing w:line="360" w:lineRule="auto"/>
              <w:ind w:firstLine="480" w:firstLineChars="200"/>
              <w:rPr>
                <w:rFonts w:hint="eastAsia"/>
                <w:color w:val="auto"/>
                <w:sz w:val="24"/>
              </w:rPr>
            </w:pPr>
            <w:r>
              <w:rPr>
                <w:color w:val="auto"/>
                <w:sz w:val="24"/>
              </w:rPr>
              <w:t>根据</w:t>
            </w:r>
            <w:r>
              <w:rPr>
                <w:rFonts w:hint="eastAsia"/>
                <w:color w:val="auto"/>
                <w:sz w:val="24"/>
              </w:rPr>
              <w:t>《中华人民共和国环境保护法》、</w:t>
            </w:r>
            <w:r>
              <w:rPr>
                <w:color w:val="auto"/>
                <w:sz w:val="24"/>
              </w:rPr>
              <w:t>《中华人民共和国环境影响评价法》</w:t>
            </w:r>
            <w:r>
              <w:rPr>
                <w:rFonts w:hint="eastAsia"/>
                <w:color w:val="auto"/>
                <w:sz w:val="24"/>
              </w:rPr>
              <w:t>和</w:t>
            </w:r>
            <w:r>
              <w:rPr>
                <w:color w:val="auto"/>
                <w:sz w:val="24"/>
              </w:rPr>
              <w:t>《建设项目环境</w:t>
            </w:r>
            <w:r>
              <w:rPr>
                <w:rFonts w:hint="eastAsia"/>
                <w:color w:val="auto"/>
                <w:sz w:val="24"/>
              </w:rPr>
              <w:t>影响评价</w:t>
            </w:r>
            <w:r>
              <w:rPr>
                <w:color w:val="auto"/>
                <w:sz w:val="24"/>
              </w:rPr>
              <w:t>分类管理名录》</w:t>
            </w:r>
            <w:r>
              <w:rPr>
                <w:rFonts w:hint="eastAsia"/>
                <w:color w:val="auto"/>
                <w:sz w:val="24"/>
              </w:rPr>
              <w:t>（</w:t>
            </w:r>
            <w:r>
              <w:rPr>
                <w:color w:val="auto"/>
                <w:sz w:val="24"/>
              </w:rPr>
              <w:t>中华人民共和国环境保护部令第</w:t>
            </w:r>
            <w:r>
              <w:rPr>
                <w:rFonts w:hint="eastAsia"/>
                <w:color w:val="auto"/>
                <w:sz w:val="24"/>
              </w:rPr>
              <w:t>33</w:t>
            </w:r>
            <w:r>
              <w:rPr>
                <w:color w:val="auto"/>
                <w:sz w:val="24"/>
              </w:rPr>
              <w:t>号</w:t>
            </w:r>
            <w:r>
              <w:rPr>
                <w:rFonts w:hint="eastAsia"/>
                <w:color w:val="auto"/>
                <w:sz w:val="24"/>
              </w:rPr>
              <w:t>）</w:t>
            </w:r>
            <w:r>
              <w:rPr>
                <w:color w:val="auto"/>
                <w:sz w:val="24"/>
              </w:rPr>
              <w:t>等有关规定，本</w:t>
            </w:r>
            <w:r>
              <w:rPr>
                <w:rFonts w:hint="eastAsia"/>
                <w:color w:val="auto"/>
                <w:sz w:val="24"/>
              </w:rPr>
              <w:t>项目</w:t>
            </w:r>
            <w:r>
              <w:rPr>
                <w:color w:val="auto"/>
                <w:sz w:val="24"/>
              </w:rPr>
              <w:t>应</w:t>
            </w:r>
            <w:r>
              <w:rPr>
                <w:rFonts w:hint="eastAsia"/>
                <w:color w:val="auto"/>
                <w:sz w:val="24"/>
              </w:rPr>
              <w:t>进行</w:t>
            </w:r>
            <w:r>
              <w:rPr>
                <w:color w:val="auto"/>
                <w:sz w:val="24"/>
              </w:rPr>
              <w:t>环境影响</w:t>
            </w:r>
            <w:r>
              <w:rPr>
                <w:rFonts w:hint="eastAsia"/>
                <w:color w:val="auto"/>
                <w:sz w:val="24"/>
              </w:rPr>
              <w:t>评价工作</w:t>
            </w:r>
            <w:r>
              <w:rPr>
                <w:color w:val="auto"/>
                <w:sz w:val="24"/>
              </w:rPr>
              <w:t>。</w:t>
            </w:r>
            <w:r>
              <w:rPr>
                <w:rFonts w:hint="eastAsia"/>
                <w:color w:val="auto"/>
                <w:sz w:val="24"/>
              </w:rPr>
              <w:t>为此平江县供水枢纽建设开发有限公司特</w:t>
            </w:r>
            <w:r>
              <w:rPr>
                <w:color w:val="auto"/>
                <w:sz w:val="24"/>
              </w:rPr>
              <w:t>委托</w:t>
            </w:r>
            <w:r>
              <w:rPr>
                <w:rFonts w:hint="eastAsia"/>
                <w:color w:val="auto"/>
                <w:sz w:val="24"/>
                <w:lang w:eastAsia="zh-CN"/>
              </w:rPr>
              <w:t>湖南华中矿业有限公司</w:t>
            </w:r>
            <w:r>
              <w:rPr>
                <w:color w:val="auto"/>
                <w:sz w:val="24"/>
              </w:rPr>
              <w:t>承担该</w:t>
            </w:r>
            <w:r>
              <w:rPr>
                <w:rFonts w:hint="eastAsia"/>
                <w:color w:val="auto"/>
                <w:sz w:val="24"/>
              </w:rPr>
              <w:t>项目</w:t>
            </w:r>
            <w:r>
              <w:rPr>
                <w:color w:val="auto"/>
                <w:sz w:val="24"/>
              </w:rPr>
              <w:t>的环境影响评价工作。</w:t>
            </w:r>
            <w:r>
              <w:rPr>
                <w:rFonts w:hint="eastAsia"/>
                <w:color w:val="auto"/>
                <w:sz w:val="24"/>
              </w:rPr>
              <w:t>在</w:t>
            </w:r>
            <w:r>
              <w:rPr>
                <w:color w:val="auto"/>
                <w:sz w:val="24"/>
              </w:rPr>
              <w:t>接受委托后，</w:t>
            </w:r>
            <w:r>
              <w:rPr>
                <w:rFonts w:hint="eastAsia"/>
                <w:color w:val="auto"/>
                <w:sz w:val="24"/>
              </w:rPr>
              <w:t>我公司</w:t>
            </w:r>
            <w:r>
              <w:rPr>
                <w:color w:val="auto"/>
                <w:sz w:val="24"/>
              </w:rPr>
              <w:t>组织专业技术人员，在对现场进行详细踏勘、收集相关资料并进行类比调研的基础上，依据有关技术规范，编写该项目环境影响报告表</w:t>
            </w:r>
            <w:r>
              <w:rPr>
                <w:rFonts w:hint="eastAsia"/>
                <w:color w:val="auto"/>
                <w:sz w:val="24"/>
              </w:rPr>
              <w:t>，</w:t>
            </w:r>
            <w:r>
              <w:rPr>
                <w:rFonts w:hint="eastAsia" w:hAnsi="宋体"/>
                <w:color w:val="auto"/>
                <w:sz w:val="24"/>
              </w:rPr>
              <w:t>特此呈报，敬请审查！</w:t>
            </w:r>
          </w:p>
          <w:p>
            <w:pPr>
              <w:numPr>
                <w:ilvl w:val="0"/>
                <w:numId w:val="2"/>
              </w:numPr>
              <w:spacing w:line="360" w:lineRule="auto"/>
              <w:rPr>
                <w:b/>
                <w:color w:val="auto"/>
                <w:sz w:val="24"/>
              </w:rPr>
            </w:pPr>
            <w:r>
              <w:rPr>
                <w:rFonts w:hint="eastAsia"/>
                <w:b/>
                <w:color w:val="auto"/>
                <w:sz w:val="24"/>
              </w:rPr>
              <w:t>编制依据</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《中华人民共和国环境保护法》</w:t>
            </w:r>
            <w:r>
              <w:rPr>
                <w:rFonts w:hint="eastAsia"/>
                <w:color w:val="auto"/>
                <w:sz w:val="24"/>
              </w:rPr>
              <w:t>，</w:t>
            </w:r>
            <w:r>
              <w:rPr>
                <w:color w:val="auto"/>
                <w:sz w:val="24"/>
              </w:rPr>
              <w:t>20</w:t>
            </w:r>
            <w:r>
              <w:rPr>
                <w:rFonts w:hint="eastAsia"/>
                <w:color w:val="auto"/>
                <w:sz w:val="24"/>
              </w:rPr>
              <w:t>15</w:t>
            </w:r>
            <w:r>
              <w:rPr>
                <w:color w:val="auto"/>
                <w:sz w:val="24"/>
              </w:rPr>
              <w:t>年</w:t>
            </w:r>
            <w:r>
              <w:rPr>
                <w:rFonts w:hint="eastAsia"/>
                <w:color w:val="auto"/>
                <w:sz w:val="24"/>
              </w:rPr>
              <w:t>1</w:t>
            </w:r>
            <w:r>
              <w:rPr>
                <w:color w:val="auto"/>
                <w:sz w:val="24"/>
              </w:rPr>
              <w:t>月1日施行；</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《中华人民共和国环境影响评价法》</w:t>
            </w:r>
            <w:r>
              <w:rPr>
                <w:rFonts w:hint="eastAsia"/>
                <w:color w:val="auto"/>
                <w:sz w:val="24"/>
              </w:rPr>
              <w:t>（</w:t>
            </w:r>
            <w:r>
              <w:rPr>
                <w:color w:val="auto"/>
                <w:sz w:val="24"/>
              </w:rPr>
              <w:t>201</w:t>
            </w:r>
            <w:r>
              <w:rPr>
                <w:rFonts w:hint="eastAsia"/>
                <w:color w:val="auto"/>
                <w:sz w:val="24"/>
              </w:rPr>
              <w:t>6</w:t>
            </w:r>
            <w:r>
              <w:rPr>
                <w:color w:val="auto"/>
                <w:sz w:val="24"/>
              </w:rPr>
              <w:t>年修订版</w:t>
            </w:r>
            <w:r>
              <w:rPr>
                <w:rFonts w:hint="eastAsia"/>
                <w:color w:val="auto"/>
                <w:sz w:val="24"/>
              </w:rPr>
              <w:t>）</w:t>
            </w:r>
            <w:r>
              <w:rPr>
                <w:color w:val="auto"/>
                <w:sz w:val="24"/>
              </w:rPr>
              <w:t>，</w:t>
            </w:r>
            <w:r>
              <w:rPr>
                <w:rFonts w:hint="eastAsia"/>
                <w:color w:val="auto"/>
                <w:sz w:val="24"/>
              </w:rPr>
              <w:t>2016</w:t>
            </w:r>
            <w:r>
              <w:rPr>
                <w:color w:val="auto"/>
                <w:sz w:val="24"/>
              </w:rPr>
              <w:t>年</w:t>
            </w:r>
            <w:r>
              <w:rPr>
                <w:rFonts w:hint="eastAsia"/>
                <w:color w:val="auto"/>
                <w:sz w:val="24"/>
              </w:rPr>
              <w:t>9</w:t>
            </w:r>
            <w:r>
              <w:rPr>
                <w:color w:val="auto"/>
                <w:sz w:val="24"/>
              </w:rPr>
              <w:t>月1日施行</w:t>
            </w:r>
            <w:r>
              <w:rPr>
                <w:rFonts w:hint="eastAsia"/>
                <w:color w:val="auto"/>
                <w:sz w:val="24"/>
              </w:rPr>
              <w:t>；</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《中华人民共和国水污染防治法》，2008年6月1</w:t>
            </w:r>
            <w:r>
              <w:rPr>
                <w:rFonts w:hint="eastAsia"/>
                <w:color w:val="auto"/>
                <w:sz w:val="24"/>
              </w:rPr>
              <w:t>日</w:t>
            </w:r>
            <w:r>
              <w:rPr>
                <w:color w:val="auto"/>
                <w:sz w:val="24"/>
              </w:rPr>
              <w:t>实施；</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《水污染防治行动计划》，国发[2015]17号，2015年4月2日；</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《中华人民共和国大气污染防治法》</w:t>
            </w:r>
            <w:r>
              <w:rPr>
                <w:rFonts w:hint="eastAsia"/>
                <w:color w:val="auto"/>
                <w:sz w:val="24"/>
              </w:rPr>
              <w:t>（</w:t>
            </w:r>
            <w:r>
              <w:rPr>
                <w:color w:val="auto"/>
                <w:sz w:val="24"/>
              </w:rPr>
              <w:t>2015年修订版</w:t>
            </w:r>
            <w:r>
              <w:rPr>
                <w:rFonts w:hint="eastAsia"/>
                <w:color w:val="auto"/>
                <w:sz w:val="24"/>
              </w:rPr>
              <w:t>）</w:t>
            </w:r>
            <w:r>
              <w:rPr>
                <w:color w:val="auto"/>
                <w:sz w:val="24"/>
              </w:rPr>
              <w:t>，2016年1月1日起施行；</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《大气污染防治行动计划》（国发[2013]37号），2013年9月10日；</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《中华人民共和国固体废物污染环境防治法》</w:t>
            </w:r>
            <w:r>
              <w:rPr>
                <w:rFonts w:hint="eastAsia"/>
                <w:color w:val="auto"/>
                <w:sz w:val="24"/>
              </w:rPr>
              <w:t>（</w:t>
            </w:r>
            <w:r>
              <w:rPr>
                <w:color w:val="auto"/>
                <w:sz w:val="24"/>
              </w:rPr>
              <w:t>2015年修订版</w:t>
            </w:r>
            <w:r>
              <w:rPr>
                <w:rFonts w:hint="eastAsia"/>
                <w:color w:val="auto"/>
                <w:sz w:val="24"/>
              </w:rPr>
              <w:t>）</w:t>
            </w:r>
            <w:r>
              <w:rPr>
                <w:color w:val="auto"/>
                <w:sz w:val="24"/>
              </w:rPr>
              <w:t>，20</w:t>
            </w:r>
            <w:r>
              <w:rPr>
                <w:rFonts w:hint="eastAsia"/>
                <w:color w:val="auto"/>
                <w:sz w:val="24"/>
              </w:rPr>
              <w:t>15</w:t>
            </w:r>
            <w:r>
              <w:rPr>
                <w:color w:val="auto"/>
                <w:sz w:val="24"/>
              </w:rPr>
              <w:t>年</w:t>
            </w:r>
            <w:r>
              <w:rPr>
                <w:rFonts w:hint="eastAsia"/>
                <w:color w:val="auto"/>
                <w:sz w:val="24"/>
              </w:rPr>
              <w:t>4</w:t>
            </w:r>
            <w:r>
              <w:rPr>
                <w:color w:val="auto"/>
                <w:sz w:val="24"/>
              </w:rPr>
              <w:t>月</w:t>
            </w:r>
            <w:r>
              <w:rPr>
                <w:rFonts w:hint="eastAsia"/>
                <w:color w:val="auto"/>
                <w:sz w:val="24"/>
              </w:rPr>
              <w:t>23</w:t>
            </w:r>
            <w:r>
              <w:rPr>
                <w:color w:val="auto"/>
                <w:sz w:val="24"/>
              </w:rPr>
              <w:t>日施行；</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《中华人民共和国噪声污染防治法》，1997年3月1</w:t>
            </w:r>
            <w:r>
              <w:rPr>
                <w:rFonts w:hint="eastAsia"/>
                <w:color w:val="auto"/>
                <w:sz w:val="24"/>
              </w:rPr>
              <w:t>日</w:t>
            </w:r>
            <w:r>
              <w:rPr>
                <w:color w:val="auto"/>
                <w:sz w:val="24"/>
              </w:rPr>
              <w:t>施行；</w:t>
            </w:r>
          </w:p>
          <w:p>
            <w:pPr>
              <w:pStyle w:val="7"/>
              <w:numPr>
                <w:ilvl w:val="0"/>
                <w:numId w:val="3"/>
              </w:numPr>
              <w:spacing w:after="0" w:line="360" w:lineRule="auto"/>
              <w:ind w:left="0" w:firstLine="480" w:firstLineChars="200"/>
              <w:rPr>
                <w:rFonts w:hint="eastAsia"/>
                <w:color w:val="auto"/>
                <w:sz w:val="24"/>
              </w:rPr>
            </w:pPr>
            <w:r>
              <w:rPr>
                <w:color w:val="auto"/>
                <w:sz w:val="24"/>
              </w:rPr>
              <w:t>《建设项目环境保护管理条例》（国务院令253号），1998年11月29</w:t>
            </w:r>
            <w:r>
              <w:rPr>
                <w:rFonts w:hint="eastAsia"/>
                <w:color w:val="auto"/>
                <w:sz w:val="24"/>
              </w:rPr>
              <w:t>日</w:t>
            </w:r>
            <w:r>
              <w:rPr>
                <w:color w:val="auto"/>
                <w:sz w:val="24"/>
              </w:rPr>
              <w:t>施行；</w:t>
            </w:r>
          </w:p>
          <w:p>
            <w:pPr>
              <w:pStyle w:val="7"/>
              <w:numPr>
                <w:ilvl w:val="0"/>
                <w:numId w:val="3"/>
              </w:numPr>
              <w:spacing w:after="0" w:line="360" w:lineRule="auto"/>
              <w:ind w:left="0" w:firstLine="480" w:firstLineChars="200"/>
              <w:rPr>
                <w:rFonts w:hint="eastAsia"/>
                <w:color w:val="auto"/>
                <w:sz w:val="24"/>
              </w:rPr>
            </w:pPr>
            <w:r>
              <w:rPr>
                <w:color w:val="auto"/>
                <w:sz w:val="24"/>
              </w:rPr>
              <w:t>《中华人民共和国清洁生产促进法》，</w:t>
            </w:r>
            <w:r>
              <w:rPr>
                <w:rFonts w:hint="eastAsia"/>
                <w:color w:val="auto"/>
                <w:sz w:val="24"/>
              </w:rPr>
              <w:t>2012年2月29日修订</w:t>
            </w:r>
            <w:r>
              <w:rPr>
                <w:color w:val="auto"/>
                <w:sz w:val="24"/>
              </w:rPr>
              <w:t>，20</w:t>
            </w:r>
            <w:r>
              <w:rPr>
                <w:rFonts w:hint="eastAsia"/>
                <w:color w:val="auto"/>
                <w:sz w:val="24"/>
              </w:rPr>
              <w:t>12</w:t>
            </w:r>
            <w:r>
              <w:rPr>
                <w:color w:val="auto"/>
                <w:sz w:val="24"/>
              </w:rPr>
              <w:t>年</w:t>
            </w:r>
            <w:r>
              <w:rPr>
                <w:rFonts w:hint="eastAsia"/>
                <w:color w:val="auto"/>
                <w:sz w:val="24"/>
              </w:rPr>
              <w:t>7</w:t>
            </w:r>
            <w:r>
              <w:rPr>
                <w:color w:val="auto"/>
                <w:sz w:val="24"/>
              </w:rPr>
              <w:t>月1日施行；</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《环境保护公众参与办法》（环境保护部令第35号），2015年9月1日施行；</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《产业结构调整指导目录（</w:t>
            </w:r>
            <w:r>
              <w:rPr>
                <w:color w:val="auto"/>
                <w:sz w:val="24"/>
              </w:rPr>
              <w:t>2011</w:t>
            </w:r>
            <w:r>
              <w:rPr>
                <w:rFonts w:hint="eastAsia"/>
                <w:color w:val="auto"/>
                <w:sz w:val="24"/>
              </w:rPr>
              <w:t>年本）》（</w:t>
            </w:r>
            <w:r>
              <w:rPr>
                <w:color w:val="auto"/>
                <w:sz w:val="24"/>
              </w:rPr>
              <w:t>2013</w:t>
            </w:r>
            <w:r>
              <w:rPr>
                <w:rFonts w:hint="eastAsia"/>
                <w:color w:val="auto"/>
                <w:sz w:val="24"/>
              </w:rPr>
              <w:t>年修订），</w:t>
            </w:r>
            <w:r>
              <w:rPr>
                <w:color w:val="auto"/>
                <w:sz w:val="24"/>
              </w:rPr>
              <w:t>2013</w:t>
            </w:r>
            <w:r>
              <w:rPr>
                <w:rFonts w:hint="eastAsia"/>
                <w:color w:val="auto"/>
                <w:sz w:val="24"/>
              </w:rPr>
              <w:t>年</w:t>
            </w:r>
            <w:r>
              <w:rPr>
                <w:color w:val="auto"/>
                <w:sz w:val="24"/>
              </w:rPr>
              <w:t>5</w:t>
            </w:r>
            <w:r>
              <w:rPr>
                <w:rFonts w:hint="eastAsia"/>
                <w:color w:val="auto"/>
                <w:sz w:val="24"/>
              </w:rPr>
              <w:t>月</w:t>
            </w:r>
            <w:r>
              <w:rPr>
                <w:color w:val="auto"/>
                <w:sz w:val="24"/>
              </w:rPr>
              <w:t>1</w:t>
            </w:r>
            <w:r>
              <w:rPr>
                <w:rFonts w:hint="eastAsia"/>
                <w:color w:val="auto"/>
                <w:sz w:val="24"/>
              </w:rPr>
              <w:t>日起施行；</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《建设项目环境影响评价分类管理名录》（国家环境保护部令 第33号），</w:t>
            </w:r>
            <w:r>
              <w:rPr>
                <w:color w:val="auto"/>
                <w:sz w:val="24"/>
              </w:rPr>
              <w:t>20</w:t>
            </w:r>
            <w:r>
              <w:rPr>
                <w:rFonts w:hint="eastAsia"/>
                <w:color w:val="auto"/>
                <w:sz w:val="24"/>
              </w:rPr>
              <w:t>15年4月9日；</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《湖南省建设项目环境保护管理办法》（湖南省人民政府令 第</w:t>
            </w:r>
            <w:r>
              <w:rPr>
                <w:color w:val="auto"/>
                <w:sz w:val="24"/>
              </w:rPr>
              <w:t>215</w:t>
            </w:r>
            <w:r>
              <w:rPr>
                <w:rFonts w:hint="eastAsia"/>
                <w:color w:val="auto"/>
                <w:sz w:val="24"/>
              </w:rPr>
              <w:t>号）；</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《湖南省主要地表水系水环境功能区划》（</w:t>
            </w:r>
            <w:r>
              <w:rPr>
                <w:color w:val="auto"/>
                <w:sz w:val="24"/>
              </w:rPr>
              <w:t>DB43/023-2005</w:t>
            </w:r>
            <w:r>
              <w:rPr>
                <w:rFonts w:hint="eastAsia"/>
                <w:color w:val="auto"/>
                <w:sz w:val="24"/>
              </w:rPr>
              <w:t>）；</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《湖南省“十三五”环境保护规划》，湖南省环保厅；</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《湖南省用水定额》（DB43/T388-2014）；</w:t>
            </w:r>
          </w:p>
          <w:p>
            <w:pPr>
              <w:pStyle w:val="7"/>
              <w:numPr>
                <w:ilvl w:val="0"/>
                <w:numId w:val="3"/>
              </w:numPr>
              <w:spacing w:after="0" w:line="360" w:lineRule="auto"/>
              <w:ind w:left="0" w:firstLine="480" w:firstLineChars="200"/>
              <w:rPr>
                <w:rFonts w:hint="eastAsia"/>
                <w:color w:val="auto"/>
                <w:sz w:val="24"/>
              </w:rPr>
            </w:pPr>
            <w:r>
              <w:rPr>
                <w:rFonts w:hint="eastAsia"/>
                <w:color w:val="auto"/>
                <w:sz w:val="24"/>
              </w:rPr>
              <w:t>建设单位提供的相关技术资料。</w:t>
            </w:r>
          </w:p>
          <w:p>
            <w:pPr>
              <w:numPr>
                <w:ilvl w:val="0"/>
                <w:numId w:val="2"/>
              </w:numPr>
              <w:spacing w:line="360" w:lineRule="auto"/>
              <w:rPr>
                <w:b/>
                <w:color w:val="auto"/>
                <w:sz w:val="24"/>
              </w:rPr>
            </w:pPr>
            <w:r>
              <w:rPr>
                <w:rFonts w:hint="eastAsia"/>
                <w:b/>
                <w:color w:val="auto"/>
                <w:sz w:val="24"/>
              </w:rPr>
              <w:t>项目概况</w:t>
            </w:r>
          </w:p>
          <w:p>
            <w:pPr>
              <w:adjustRightInd w:val="0"/>
              <w:spacing w:line="360" w:lineRule="auto"/>
              <w:rPr>
                <w:rFonts w:hint="eastAsia"/>
                <w:color w:val="auto"/>
                <w:sz w:val="24"/>
              </w:rPr>
            </w:pPr>
            <w:r>
              <w:rPr>
                <w:rFonts w:hint="eastAsia"/>
                <w:b/>
                <w:color w:val="auto"/>
                <w:sz w:val="24"/>
              </w:rPr>
              <w:t>3</w:t>
            </w:r>
            <w:r>
              <w:rPr>
                <w:b/>
                <w:color w:val="auto"/>
                <w:sz w:val="24"/>
              </w:rPr>
              <w:t xml:space="preserve">.1 </w:t>
            </w:r>
            <w:r>
              <w:rPr>
                <w:rFonts w:hint="eastAsia"/>
                <w:b/>
                <w:color w:val="auto"/>
                <w:sz w:val="24"/>
              </w:rPr>
              <w:t>基本情况简介</w:t>
            </w:r>
          </w:p>
          <w:p>
            <w:pPr>
              <w:adjustRightInd w:val="0"/>
              <w:spacing w:line="360" w:lineRule="auto"/>
              <w:ind w:firstLine="480" w:firstLineChars="200"/>
              <w:rPr>
                <w:rFonts w:hint="eastAsia"/>
                <w:color w:val="auto"/>
                <w:sz w:val="24"/>
              </w:rPr>
            </w:pPr>
            <w:r>
              <w:rPr>
                <w:rFonts w:hint="eastAsia"/>
                <w:color w:val="auto"/>
                <w:sz w:val="24"/>
              </w:rPr>
              <w:t>（1）</w:t>
            </w:r>
            <w:r>
              <w:rPr>
                <w:color w:val="auto"/>
                <w:sz w:val="24"/>
              </w:rPr>
              <w:t>项目名称</w:t>
            </w:r>
            <w:r>
              <w:rPr>
                <w:rFonts w:hint="eastAsia"/>
                <w:color w:val="auto"/>
                <w:sz w:val="24"/>
              </w:rPr>
              <w:t>：</w:t>
            </w:r>
            <w:r>
              <w:rPr>
                <w:rFonts w:hint="eastAsia"/>
                <w:color w:val="auto"/>
                <w:sz w:val="24"/>
                <w:lang w:eastAsia="zh-CN"/>
              </w:rPr>
              <w:t>平江供水枢纽工程建设项目</w:t>
            </w:r>
            <w:r>
              <w:rPr>
                <w:rFonts w:hint="eastAsia"/>
                <w:color w:val="auto"/>
                <w:sz w:val="24"/>
              </w:rPr>
              <w:t>；</w:t>
            </w:r>
          </w:p>
          <w:p>
            <w:pPr>
              <w:adjustRightInd w:val="0"/>
              <w:spacing w:line="360" w:lineRule="auto"/>
              <w:ind w:firstLine="480" w:firstLineChars="200"/>
              <w:rPr>
                <w:rFonts w:hint="eastAsia"/>
                <w:color w:val="auto"/>
                <w:sz w:val="24"/>
              </w:rPr>
            </w:pPr>
            <w:r>
              <w:rPr>
                <w:rFonts w:hint="eastAsia"/>
                <w:color w:val="auto"/>
                <w:sz w:val="24"/>
              </w:rPr>
              <w:t>（2）建设单位：平江县供水枢纽建设开发有限公司；</w:t>
            </w:r>
          </w:p>
          <w:p>
            <w:pPr>
              <w:adjustRightInd w:val="0"/>
              <w:spacing w:line="360" w:lineRule="auto"/>
              <w:ind w:firstLine="480" w:firstLineChars="200"/>
              <w:rPr>
                <w:rFonts w:hint="eastAsia"/>
                <w:color w:val="auto"/>
                <w:sz w:val="24"/>
              </w:rPr>
            </w:pPr>
            <w:r>
              <w:rPr>
                <w:rFonts w:hint="eastAsia"/>
                <w:color w:val="auto"/>
                <w:sz w:val="24"/>
              </w:rPr>
              <w:t>（3）</w:t>
            </w:r>
            <w:r>
              <w:rPr>
                <w:color w:val="auto"/>
                <w:sz w:val="24"/>
              </w:rPr>
              <w:t>建设性质：扩建；</w:t>
            </w:r>
          </w:p>
          <w:p>
            <w:pPr>
              <w:spacing w:line="360" w:lineRule="auto"/>
              <w:jc w:val="both"/>
              <w:rPr>
                <w:rFonts w:hint="eastAsia"/>
                <w:color w:val="auto"/>
                <w:sz w:val="24"/>
              </w:rPr>
            </w:pPr>
            <w:r>
              <w:rPr>
                <w:rFonts w:hint="eastAsia"/>
                <w:color w:val="auto"/>
                <w:sz w:val="24"/>
                <w:lang w:val="en-US" w:eastAsia="zh-CN"/>
              </w:rPr>
              <w:t xml:space="preserve">    </w:t>
            </w:r>
            <w:r>
              <w:rPr>
                <w:rFonts w:hint="eastAsia"/>
                <w:color w:val="auto"/>
                <w:sz w:val="24"/>
              </w:rPr>
              <w:t>（4）建设地点</w:t>
            </w:r>
            <w:r>
              <w:rPr>
                <w:color w:val="auto"/>
                <w:sz w:val="24"/>
              </w:rPr>
              <w:t>：</w:t>
            </w:r>
            <w:r>
              <w:rPr>
                <w:rFonts w:hint="eastAsia"/>
                <w:color w:val="auto"/>
                <w:sz w:val="24"/>
                <w:lang w:eastAsia="zh-CN"/>
              </w:rPr>
              <w:t>扩建水厂位于</w:t>
            </w:r>
            <w:r>
              <w:rPr>
                <w:rFonts w:hint="eastAsia"/>
                <w:color w:val="auto"/>
                <w:sz w:val="24"/>
              </w:rPr>
              <w:t>位于长寿镇长寿村，本次</w:t>
            </w:r>
            <w:r>
              <w:rPr>
                <w:rFonts w:hint="eastAsia"/>
                <w:color w:val="auto"/>
                <w:sz w:val="24"/>
                <w:lang w:eastAsia="zh-CN"/>
              </w:rPr>
              <w:t>扩建水厂为长寿水厂</w:t>
            </w:r>
            <w:r>
              <w:rPr>
                <w:rFonts w:hint="eastAsia"/>
                <w:color w:val="auto"/>
                <w:sz w:val="24"/>
              </w:rPr>
              <w:t>二期工程</w:t>
            </w:r>
            <w:r>
              <w:rPr>
                <w:rFonts w:hint="eastAsia"/>
                <w:color w:val="auto"/>
                <w:sz w:val="24"/>
                <w:lang w:eastAsia="zh-CN"/>
              </w:rPr>
              <w:t>，</w:t>
            </w:r>
            <w:r>
              <w:rPr>
                <w:rFonts w:hint="eastAsia"/>
                <w:color w:val="auto"/>
                <w:sz w:val="24"/>
              </w:rPr>
              <w:t>位于现有一期工程东南侧山地</w:t>
            </w:r>
            <w:r>
              <w:rPr>
                <w:rFonts w:hint="eastAsia"/>
                <w:color w:val="auto"/>
                <w:sz w:val="24"/>
                <w:lang w:eastAsia="zh-CN"/>
              </w:rPr>
              <w:t>。</w:t>
            </w:r>
          </w:p>
          <w:p>
            <w:pPr>
              <w:adjustRightInd w:val="0"/>
              <w:spacing w:line="360" w:lineRule="auto"/>
              <w:ind w:firstLine="480" w:firstLineChars="200"/>
              <w:rPr>
                <w:color w:val="auto"/>
                <w:sz w:val="24"/>
              </w:rPr>
            </w:pPr>
            <w:r>
              <w:rPr>
                <w:rFonts w:hint="eastAsia"/>
                <w:color w:val="auto"/>
                <w:sz w:val="24"/>
                <w:lang w:eastAsia="zh-CN"/>
              </w:rPr>
              <w:t>扩建配水管道位于</w:t>
            </w:r>
            <w:r>
              <w:rPr>
                <w:rFonts w:hint="eastAsia"/>
                <w:color w:val="auto"/>
                <w:sz w:val="24"/>
              </w:rPr>
              <w:t>平江县内城关镇（原汉昌镇）、三阳乡、安定镇、三市镇、加义镇、长寿镇、木金乡、梅仙镇、余坪镇（原余坪乡）、瓮江镇、浯口镇、伍市镇、向家镇、福寿山镇（原西村乡）等S308沿线</w:t>
            </w:r>
            <w:r>
              <w:rPr>
                <w:rFonts w:hint="eastAsia"/>
                <w:color w:val="auto"/>
                <w:sz w:val="24"/>
                <w:lang w:eastAsia="zh-CN"/>
              </w:rPr>
              <w:t>。</w:t>
            </w:r>
          </w:p>
          <w:p>
            <w:pPr>
              <w:numPr>
                <w:ilvl w:val="0"/>
                <w:numId w:val="4"/>
              </w:numPr>
              <w:adjustRightInd w:val="0"/>
              <w:spacing w:line="360" w:lineRule="auto"/>
              <w:ind w:firstLine="480" w:firstLineChars="200"/>
              <w:rPr>
                <w:rFonts w:hint="eastAsia"/>
                <w:color w:val="auto"/>
                <w:sz w:val="24"/>
              </w:rPr>
            </w:pPr>
            <w:r>
              <w:rPr>
                <w:rFonts w:hint="eastAsia"/>
                <w:color w:val="auto"/>
                <w:sz w:val="24"/>
              </w:rPr>
              <w:t>项目投资：项目总投资26000万元；</w:t>
            </w:r>
          </w:p>
          <w:p>
            <w:pPr>
              <w:numPr>
                <w:ilvl w:val="0"/>
                <w:numId w:val="4"/>
              </w:numPr>
              <w:adjustRightInd w:val="0"/>
              <w:spacing w:line="360" w:lineRule="auto"/>
              <w:ind w:firstLine="480" w:firstLineChars="200"/>
              <w:rPr>
                <w:rFonts w:hint="eastAsia"/>
                <w:color w:val="auto"/>
                <w:sz w:val="24"/>
              </w:rPr>
            </w:pPr>
            <w:r>
              <w:rPr>
                <w:rFonts w:hint="eastAsia"/>
                <w:color w:val="auto"/>
                <w:sz w:val="24"/>
                <w:lang w:eastAsia="zh-CN"/>
              </w:rPr>
              <w:t>服务范围：主要负责解决城关镇（原汉昌镇）、三阳乡、安定镇、三市镇、加义镇、长寿镇、木金乡、梅仙镇、余坪镇（原余坪乡）、瓮江镇、浯口镇、伍市镇、向家镇、福寿山镇（原西村乡）等S308沿线十四个乡镇的饮用水问题。可覆盖解决人口62.90万人，占全县人口55.5%，覆盖村数为323个。</w:t>
            </w:r>
          </w:p>
          <w:p>
            <w:pPr>
              <w:numPr>
                <w:ilvl w:val="0"/>
                <w:numId w:val="4"/>
              </w:numPr>
              <w:adjustRightInd w:val="0"/>
              <w:spacing w:line="360" w:lineRule="auto"/>
              <w:ind w:firstLine="480" w:firstLineChars="200"/>
              <w:rPr>
                <w:rFonts w:hint="eastAsia"/>
                <w:color w:val="auto"/>
                <w:sz w:val="24"/>
              </w:rPr>
            </w:pPr>
            <w:r>
              <w:rPr>
                <w:rFonts w:hint="eastAsia"/>
                <w:color w:val="auto"/>
                <w:sz w:val="24"/>
              </w:rPr>
              <w:t>供水水质标准：本项目供水水质</w:t>
            </w:r>
            <w:r>
              <w:rPr>
                <w:rFonts w:hint="eastAsia"/>
                <w:color w:val="auto"/>
                <w:sz w:val="24"/>
                <w:lang w:eastAsia="zh-CN"/>
              </w:rPr>
              <w:t>应</w:t>
            </w:r>
            <w:r>
              <w:rPr>
                <w:rFonts w:hint="eastAsia"/>
                <w:color w:val="auto"/>
                <w:sz w:val="24"/>
              </w:rPr>
              <w:t>满足《生活饮用水卫生标准》(GB5749-2006) 中的相关要求。</w:t>
            </w:r>
          </w:p>
          <w:p>
            <w:pPr>
              <w:spacing w:line="360" w:lineRule="auto"/>
              <w:rPr>
                <w:rFonts w:hint="eastAsia"/>
                <w:color w:val="auto"/>
                <w:sz w:val="24"/>
              </w:rPr>
            </w:pPr>
            <w:r>
              <w:rPr>
                <w:rFonts w:hint="eastAsia"/>
                <w:b/>
                <w:color w:val="auto"/>
                <w:sz w:val="24"/>
              </w:rPr>
              <w:t>3</w:t>
            </w:r>
            <w:r>
              <w:rPr>
                <w:b/>
                <w:color w:val="auto"/>
                <w:sz w:val="24"/>
              </w:rPr>
              <w:t>.</w:t>
            </w:r>
            <w:r>
              <w:rPr>
                <w:rFonts w:hint="eastAsia"/>
                <w:b/>
                <w:color w:val="auto"/>
                <w:sz w:val="24"/>
              </w:rPr>
              <w:t>2</w:t>
            </w:r>
            <w:r>
              <w:rPr>
                <w:b/>
                <w:color w:val="auto"/>
                <w:sz w:val="24"/>
              </w:rPr>
              <w:t xml:space="preserve"> </w:t>
            </w:r>
            <w:r>
              <w:rPr>
                <w:rFonts w:hint="eastAsia"/>
                <w:b/>
                <w:color w:val="auto"/>
                <w:sz w:val="24"/>
              </w:rPr>
              <w:t>建设</w:t>
            </w:r>
            <w:r>
              <w:rPr>
                <w:b/>
                <w:color w:val="auto"/>
                <w:sz w:val="24"/>
              </w:rPr>
              <w:t>内容与规模</w:t>
            </w:r>
          </w:p>
          <w:p>
            <w:pPr>
              <w:adjustRightInd w:val="0"/>
              <w:spacing w:line="360" w:lineRule="auto"/>
              <w:ind w:firstLine="480" w:firstLineChars="200"/>
              <w:rPr>
                <w:rFonts w:hint="eastAsia"/>
                <w:color w:val="auto"/>
                <w:sz w:val="24"/>
                <w:lang w:eastAsia="zh-CN"/>
              </w:rPr>
            </w:pPr>
            <w:r>
              <w:rPr>
                <w:rFonts w:hint="eastAsia"/>
                <w:color w:val="auto"/>
                <w:sz w:val="24"/>
                <w:lang w:eastAsia="zh-CN"/>
              </w:rPr>
              <w:t>平江供水枢纽工程建设项目建成后供水能力达</w:t>
            </w:r>
            <w:r>
              <w:rPr>
                <w:rFonts w:hint="eastAsia"/>
                <w:color w:val="auto"/>
                <w:sz w:val="24"/>
                <w:lang w:val="en-US" w:eastAsia="zh-CN"/>
              </w:rPr>
              <w:t>10.0</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m³/d，年供水能力为</w:t>
            </w:r>
            <w:r>
              <w:rPr>
                <w:rFonts w:hint="eastAsia"/>
                <w:color w:val="auto"/>
                <w:sz w:val="24"/>
                <w:lang w:val="en-US" w:eastAsia="zh-CN"/>
              </w:rPr>
              <w:t>3650</w:t>
            </w:r>
            <w:r>
              <w:rPr>
                <w:rFonts w:hint="eastAsia"/>
                <w:color w:val="auto"/>
                <w:sz w:val="24"/>
                <w:lang w:eastAsia="zh-CN"/>
              </w:rPr>
              <w:t>万m³。项目净水厂扩建工程（供水能力</w:t>
            </w:r>
            <w:r>
              <w:rPr>
                <w:rFonts w:hint="eastAsia"/>
                <w:color w:val="auto"/>
                <w:sz w:val="24"/>
                <w:lang w:val="en-US" w:eastAsia="zh-CN"/>
              </w:rPr>
              <w:t>8.5</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m³/d）和扩建配水管网工程（主干管60467m、配水站</w:t>
            </w:r>
            <w:r>
              <w:rPr>
                <w:rFonts w:hint="eastAsia"/>
                <w:color w:val="auto"/>
                <w:sz w:val="24"/>
                <w:lang w:val="en-US" w:eastAsia="zh-CN"/>
              </w:rPr>
              <w:t>9个</w:t>
            </w:r>
            <w:r>
              <w:rPr>
                <w:rFonts w:hint="eastAsia"/>
                <w:color w:val="auto"/>
                <w:sz w:val="24"/>
                <w:lang w:eastAsia="zh-CN"/>
              </w:rPr>
              <w:t>）。</w:t>
            </w:r>
          </w:p>
          <w:p>
            <w:pPr>
              <w:spacing w:line="360" w:lineRule="auto"/>
              <w:ind w:firstLine="480" w:firstLineChars="200"/>
              <w:rPr>
                <w:rFonts w:hint="eastAsia"/>
                <w:i w:val="0"/>
                <w:iCs w:val="0"/>
                <w:color w:val="auto"/>
                <w:sz w:val="24"/>
                <w:u w:val="none"/>
              </w:rPr>
            </w:pPr>
            <w:r>
              <w:rPr>
                <w:rFonts w:hint="eastAsia"/>
                <w:i w:val="0"/>
                <w:iCs w:val="0"/>
                <w:color w:val="auto"/>
                <w:sz w:val="24"/>
                <w:u w:val="none"/>
              </w:rPr>
              <w:t>项目组成见表</w:t>
            </w:r>
            <w:r>
              <w:rPr>
                <w:rFonts w:hint="eastAsia"/>
                <w:i w:val="0"/>
                <w:iCs w:val="0"/>
                <w:color w:val="auto"/>
                <w:sz w:val="24"/>
                <w:u w:val="none"/>
                <w:lang w:val="en-US" w:eastAsia="zh-CN"/>
              </w:rPr>
              <w:t>1</w:t>
            </w:r>
            <w:r>
              <w:rPr>
                <w:rFonts w:hint="eastAsia"/>
                <w:i w:val="0"/>
                <w:iCs w:val="0"/>
                <w:color w:val="auto"/>
                <w:sz w:val="24"/>
                <w:u w:val="none"/>
              </w:rPr>
              <w:t>。</w:t>
            </w:r>
          </w:p>
          <w:p>
            <w:pPr>
              <w:pStyle w:val="8"/>
              <w:spacing w:line="240" w:lineRule="auto"/>
              <w:jc w:val="center"/>
              <w:rPr>
                <w:rFonts w:hint="eastAsia" w:eastAsia="宋体"/>
                <w:b/>
                <w:i w:val="0"/>
                <w:iCs w:val="0"/>
                <w:color w:val="auto"/>
                <w:szCs w:val="24"/>
                <w:u w:val="none"/>
              </w:rPr>
            </w:pPr>
            <w:r>
              <w:rPr>
                <w:rFonts w:hint="eastAsia" w:eastAsia="宋体"/>
                <w:b/>
                <w:i w:val="0"/>
                <w:iCs w:val="0"/>
                <w:color w:val="auto"/>
                <w:szCs w:val="24"/>
                <w:u w:val="none"/>
              </w:rPr>
              <w:t>表</w:t>
            </w:r>
            <w:r>
              <w:rPr>
                <w:rFonts w:hint="eastAsia" w:eastAsia="宋体"/>
                <w:b/>
                <w:i w:val="0"/>
                <w:iCs w:val="0"/>
                <w:color w:val="auto"/>
                <w:szCs w:val="24"/>
                <w:u w:val="none"/>
                <w:lang w:val="en-US" w:eastAsia="zh-CN"/>
              </w:rPr>
              <w:t>1</w:t>
            </w:r>
            <w:r>
              <w:rPr>
                <w:rFonts w:hint="eastAsia" w:eastAsia="宋体"/>
                <w:b/>
                <w:i w:val="0"/>
                <w:iCs w:val="0"/>
                <w:color w:val="auto"/>
                <w:szCs w:val="24"/>
                <w:u w:val="none"/>
              </w:rPr>
              <w:t xml:space="preserve">  工程主要建设内容一览表</w:t>
            </w:r>
          </w:p>
          <w:tbl>
            <w:tblPr>
              <w:tblStyle w:val="14"/>
              <w:tblW w:w="837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2"/>
              <w:gridCol w:w="1070"/>
              <w:gridCol w:w="2560"/>
              <w:gridCol w:w="37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48" w:hRule="atLeast"/>
              </w:trPr>
              <w:tc>
                <w:tcPr>
                  <w:tcW w:w="2052" w:type="dxa"/>
                  <w:gridSpan w:val="2"/>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名称</w:t>
                  </w:r>
                </w:p>
              </w:tc>
              <w:tc>
                <w:tcPr>
                  <w:tcW w:w="256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位置</w:t>
                  </w:r>
                </w:p>
              </w:tc>
              <w:tc>
                <w:tcPr>
                  <w:tcW w:w="3767" w:type="dxa"/>
                  <w:vAlign w:val="top"/>
                </w:tcPr>
                <w:p>
                  <w:pPr>
                    <w:pStyle w:val="8"/>
                    <w:spacing w:line="240" w:lineRule="auto"/>
                    <w:rPr>
                      <w:rFonts w:hint="eastAsia" w:eastAsia="宋体"/>
                      <w:i w:val="0"/>
                      <w:iCs w:val="0"/>
                      <w:color w:val="auto"/>
                      <w:sz w:val="21"/>
                      <w:szCs w:val="21"/>
                      <w:u w:val="none"/>
                    </w:rPr>
                  </w:pPr>
                  <w:r>
                    <w:rPr>
                      <w:rFonts w:hint="eastAsia" w:eastAsia="宋体"/>
                      <w:i w:val="0"/>
                      <w:iCs w:val="0"/>
                      <w:color w:val="auto"/>
                      <w:sz w:val="21"/>
                      <w:szCs w:val="21"/>
                      <w:u w:val="none"/>
                    </w:rPr>
                    <w:t>建设内容及规模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25" w:hRule="atLeast"/>
              </w:trPr>
              <w:tc>
                <w:tcPr>
                  <w:tcW w:w="982" w:type="dxa"/>
                  <w:vMerge w:val="restart"/>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主体</w:t>
                  </w:r>
                </w:p>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工程</w:t>
                  </w:r>
                </w:p>
              </w:tc>
              <w:tc>
                <w:tcPr>
                  <w:tcW w:w="1070" w:type="dxa"/>
                  <w:textDirection w:val="lrTb"/>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净水厂</w:t>
                  </w:r>
                </w:p>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工程</w:t>
                  </w:r>
                </w:p>
              </w:tc>
              <w:tc>
                <w:tcPr>
                  <w:tcW w:w="2560" w:type="dxa"/>
                  <w:textDirection w:val="lrTb"/>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位于长寿镇</w:t>
                  </w:r>
                  <w:r>
                    <w:rPr>
                      <w:rFonts w:hint="eastAsia" w:eastAsia="宋体"/>
                      <w:i w:val="0"/>
                      <w:iCs w:val="0"/>
                      <w:color w:val="auto"/>
                      <w:sz w:val="21"/>
                      <w:szCs w:val="21"/>
                      <w:u w:val="none"/>
                      <w:lang w:eastAsia="zh-CN"/>
                    </w:rPr>
                    <w:t>长寿村</w:t>
                  </w:r>
                </w:p>
              </w:tc>
              <w:tc>
                <w:tcPr>
                  <w:tcW w:w="3767" w:type="dxa"/>
                  <w:textDirection w:val="lrTb"/>
                  <w:vAlign w:val="top"/>
                </w:tcPr>
                <w:p>
                  <w:pPr>
                    <w:rPr>
                      <w:rFonts w:hint="eastAsia" w:eastAsia="宋体"/>
                      <w:i w:val="0"/>
                      <w:iCs w:val="0"/>
                      <w:color w:val="auto"/>
                      <w:sz w:val="21"/>
                      <w:szCs w:val="21"/>
                      <w:u w:val="none"/>
                    </w:rPr>
                  </w:pPr>
                  <w:r>
                    <w:rPr>
                      <w:rFonts w:hint="eastAsia"/>
                      <w:i w:val="0"/>
                      <w:iCs w:val="0"/>
                      <w:color w:val="auto"/>
                      <w:sz w:val="21"/>
                      <w:szCs w:val="21"/>
                      <w:u w:val="none"/>
                    </w:rPr>
                    <w:t>主要构筑物为：</w:t>
                  </w:r>
                  <w:r>
                    <w:rPr>
                      <w:rFonts w:hint="eastAsia"/>
                      <w:color w:val="auto"/>
                      <w:sz w:val="24"/>
                    </w:rPr>
                    <w:t>水处理构筑物有格栅曝气池、絮凝沉淀清水池、气水反冲洗砂滤池、排泥水池、加药间及变配电间、综合楼、机修仓库等组成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2" w:hRule="atLeast"/>
              </w:trPr>
              <w:tc>
                <w:tcPr>
                  <w:tcW w:w="982" w:type="dxa"/>
                  <w:vMerge w:val="continue"/>
                  <w:vAlign w:val="center"/>
                </w:tcPr>
                <w:p>
                  <w:pPr>
                    <w:pStyle w:val="8"/>
                    <w:spacing w:line="240" w:lineRule="auto"/>
                    <w:jc w:val="center"/>
                    <w:rPr>
                      <w:rFonts w:hint="eastAsia" w:eastAsia="宋体"/>
                      <w:i w:val="0"/>
                      <w:iCs w:val="0"/>
                      <w:color w:val="auto"/>
                      <w:sz w:val="21"/>
                      <w:szCs w:val="21"/>
                      <w:u w:val="none"/>
                    </w:rPr>
                  </w:pPr>
                </w:p>
              </w:tc>
              <w:tc>
                <w:tcPr>
                  <w:tcW w:w="1070" w:type="dxa"/>
                  <w:textDirection w:val="lrTb"/>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配水工程</w:t>
                  </w:r>
                </w:p>
              </w:tc>
              <w:tc>
                <w:tcPr>
                  <w:tcW w:w="2560" w:type="dxa"/>
                  <w:textDirection w:val="lrTb"/>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城关镇、瓮江镇、余坪镇、浯口镇、伍市镇和向家镇S308沿线</w:t>
                  </w:r>
                </w:p>
              </w:tc>
              <w:tc>
                <w:tcPr>
                  <w:tcW w:w="3767" w:type="dxa"/>
                  <w:textDirection w:val="lrTb"/>
                  <w:vAlign w:val="center"/>
                </w:tcPr>
                <w:p>
                  <w:pPr>
                    <w:jc w:val="center"/>
                    <w:rPr>
                      <w:rFonts w:hint="eastAsia" w:eastAsia="宋体"/>
                      <w:i w:val="0"/>
                      <w:iCs w:val="0"/>
                      <w:color w:val="auto"/>
                      <w:sz w:val="21"/>
                      <w:szCs w:val="21"/>
                      <w:u w:val="none"/>
                    </w:rPr>
                  </w:pPr>
                  <w:r>
                    <w:rPr>
                      <w:rFonts w:hint="eastAsia"/>
                      <w:i w:val="0"/>
                      <w:iCs w:val="0"/>
                      <w:color w:val="auto"/>
                      <w:sz w:val="21"/>
                      <w:szCs w:val="21"/>
                      <w:u w:val="none"/>
                    </w:rPr>
                    <w:t>配水管网采用树枝状布置，至县城管主线沿S308、G106公路一侧铺设DN1200球墨铸铁管49780m，支管铺设De600给水硬聚氯乙烯管3390m。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4" w:hRule="atLeast"/>
              </w:trPr>
              <w:tc>
                <w:tcPr>
                  <w:tcW w:w="982" w:type="dxa"/>
                  <w:vMerge w:val="restart"/>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辅助公用工程</w:t>
                  </w:r>
                </w:p>
              </w:tc>
              <w:tc>
                <w:tcPr>
                  <w:tcW w:w="107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水质检验</w:t>
                  </w:r>
                </w:p>
              </w:tc>
              <w:tc>
                <w:tcPr>
                  <w:tcW w:w="256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位于净水厂内</w:t>
                  </w:r>
                </w:p>
              </w:tc>
              <w:tc>
                <w:tcPr>
                  <w:tcW w:w="3767" w:type="dxa"/>
                  <w:vAlign w:val="top"/>
                </w:tcPr>
                <w:p>
                  <w:pPr>
                    <w:pStyle w:val="8"/>
                    <w:spacing w:line="240" w:lineRule="auto"/>
                    <w:rPr>
                      <w:rFonts w:hint="eastAsia" w:eastAsia="宋体"/>
                      <w:i w:val="0"/>
                      <w:iCs w:val="0"/>
                      <w:color w:val="auto"/>
                      <w:sz w:val="21"/>
                      <w:szCs w:val="21"/>
                      <w:u w:val="none"/>
                    </w:rPr>
                  </w:pPr>
                  <w:r>
                    <w:rPr>
                      <w:rFonts w:hint="eastAsia" w:eastAsia="宋体"/>
                      <w:i w:val="0"/>
                      <w:iCs w:val="0"/>
                      <w:color w:val="auto"/>
                      <w:sz w:val="21"/>
                      <w:szCs w:val="21"/>
                      <w:u w:val="none"/>
                    </w:rPr>
                    <w:t>主要负责净水厂日产生产控制分析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48" w:hRule="atLeast"/>
              </w:trPr>
              <w:tc>
                <w:tcPr>
                  <w:tcW w:w="982" w:type="dxa"/>
                  <w:vMerge w:val="continue"/>
                  <w:vAlign w:val="center"/>
                </w:tcPr>
                <w:p>
                  <w:pPr>
                    <w:pStyle w:val="8"/>
                    <w:spacing w:line="240" w:lineRule="auto"/>
                    <w:jc w:val="center"/>
                    <w:rPr>
                      <w:rFonts w:hint="eastAsia" w:eastAsia="宋体"/>
                      <w:i w:val="0"/>
                      <w:iCs w:val="0"/>
                      <w:color w:val="auto"/>
                      <w:sz w:val="21"/>
                      <w:szCs w:val="21"/>
                      <w:u w:val="none"/>
                    </w:rPr>
                  </w:pPr>
                </w:p>
              </w:tc>
              <w:tc>
                <w:tcPr>
                  <w:tcW w:w="107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供水</w:t>
                  </w:r>
                </w:p>
              </w:tc>
              <w:tc>
                <w:tcPr>
                  <w:tcW w:w="256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位于净水厂内</w:t>
                  </w:r>
                </w:p>
              </w:tc>
              <w:tc>
                <w:tcPr>
                  <w:tcW w:w="3767" w:type="dxa"/>
                  <w:vAlign w:val="top"/>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净水厂清水池取水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60" w:hRule="atLeast"/>
              </w:trPr>
              <w:tc>
                <w:tcPr>
                  <w:tcW w:w="982" w:type="dxa"/>
                  <w:vMerge w:val="continue"/>
                  <w:vAlign w:val="center"/>
                </w:tcPr>
                <w:p>
                  <w:pPr>
                    <w:pStyle w:val="8"/>
                    <w:spacing w:line="240" w:lineRule="auto"/>
                    <w:jc w:val="center"/>
                    <w:rPr>
                      <w:rFonts w:hint="eastAsia" w:eastAsia="宋体"/>
                      <w:i w:val="0"/>
                      <w:iCs w:val="0"/>
                      <w:color w:val="auto"/>
                      <w:sz w:val="21"/>
                      <w:szCs w:val="21"/>
                      <w:u w:val="none"/>
                    </w:rPr>
                  </w:pPr>
                </w:p>
              </w:tc>
              <w:tc>
                <w:tcPr>
                  <w:tcW w:w="107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供电</w:t>
                  </w:r>
                </w:p>
              </w:tc>
              <w:tc>
                <w:tcPr>
                  <w:tcW w:w="2560"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位于净水厂内</w:t>
                  </w:r>
                </w:p>
              </w:tc>
              <w:tc>
                <w:tcPr>
                  <w:tcW w:w="3767" w:type="dxa"/>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电源采用一回10KV专线引入，厂区内设100kVA箱式变电站一座，并设置一台功率为50kw的发电机作为备用电源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7" w:hRule="atLeast"/>
              </w:trPr>
              <w:tc>
                <w:tcPr>
                  <w:tcW w:w="982" w:type="dxa"/>
                  <w:vMerge w:val="restart"/>
                  <w:vAlign w:val="center"/>
                </w:tcPr>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环保</w:t>
                  </w:r>
                </w:p>
                <w:p>
                  <w:pPr>
                    <w:pStyle w:val="8"/>
                    <w:spacing w:line="240" w:lineRule="auto"/>
                    <w:jc w:val="center"/>
                    <w:rPr>
                      <w:rFonts w:hint="eastAsia" w:eastAsia="宋体"/>
                      <w:i w:val="0"/>
                      <w:iCs w:val="0"/>
                      <w:color w:val="auto"/>
                      <w:sz w:val="21"/>
                      <w:szCs w:val="21"/>
                      <w:u w:val="none"/>
                    </w:rPr>
                  </w:pPr>
                  <w:r>
                    <w:rPr>
                      <w:rFonts w:hint="eastAsia" w:eastAsia="宋体"/>
                      <w:i w:val="0"/>
                      <w:iCs w:val="0"/>
                      <w:color w:val="auto"/>
                      <w:sz w:val="21"/>
                      <w:szCs w:val="21"/>
                      <w:u w:val="none"/>
                    </w:rPr>
                    <w:t>工程</w:t>
                  </w:r>
                </w:p>
              </w:tc>
              <w:tc>
                <w:tcPr>
                  <w:tcW w:w="1070" w:type="dxa"/>
                  <w:vAlign w:val="center"/>
                </w:tcPr>
                <w:p>
                  <w:pPr>
                    <w:jc w:val="center"/>
                    <w:rPr>
                      <w:i w:val="0"/>
                      <w:iCs w:val="0"/>
                      <w:color w:val="auto"/>
                      <w:sz w:val="21"/>
                      <w:szCs w:val="21"/>
                      <w:u w:val="none"/>
                    </w:rPr>
                  </w:pPr>
                  <w:r>
                    <w:rPr>
                      <w:i w:val="0"/>
                      <w:iCs w:val="0"/>
                      <w:color w:val="auto"/>
                      <w:sz w:val="21"/>
                      <w:szCs w:val="21"/>
                      <w:u w:val="none"/>
                    </w:rPr>
                    <w:t>废气治理</w:t>
                  </w:r>
                </w:p>
              </w:tc>
              <w:tc>
                <w:tcPr>
                  <w:tcW w:w="2560" w:type="dxa"/>
                  <w:vAlign w:val="center"/>
                </w:tcPr>
                <w:p>
                  <w:pPr>
                    <w:jc w:val="center"/>
                    <w:rPr>
                      <w:i w:val="0"/>
                      <w:iCs w:val="0"/>
                      <w:color w:val="auto"/>
                      <w:sz w:val="21"/>
                      <w:szCs w:val="21"/>
                      <w:u w:val="none"/>
                    </w:rPr>
                  </w:pPr>
                  <w:r>
                    <w:rPr>
                      <w:rFonts w:hint="eastAsia"/>
                      <w:i w:val="0"/>
                      <w:iCs w:val="0"/>
                      <w:color w:val="auto"/>
                      <w:sz w:val="21"/>
                      <w:szCs w:val="21"/>
                      <w:u w:val="none"/>
                    </w:rPr>
                    <w:t>净水厂内加药间、发电机房</w:t>
                  </w:r>
                </w:p>
              </w:tc>
              <w:tc>
                <w:tcPr>
                  <w:tcW w:w="3767" w:type="dxa"/>
                  <w:vAlign w:val="center"/>
                </w:tcPr>
                <w:p>
                  <w:pPr>
                    <w:rPr>
                      <w:rFonts w:hint="eastAsia"/>
                      <w:i w:val="0"/>
                      <w:iCs w:val="0"/>
                      <w:color w:val="auto"/>
                      <w:sz w:val="21"/>
                      <w:szCs w:val="21"/>
                      <w:u w:val="none"/>
                    </w:rPr>
                  </w:pPr>
                  <w:r>
                    <w:rPr>
                      <w:rFonts w:hint="eastAsia"/>
                      <w:i w:val="0"/>
                      <w:iCs w:val="0"/>
                      <w:color w:val="auto"/>
                      <w:sz w:val="21"/>
                      <w:szCs w:val="21"/>
                      <w:u w:val="none"/>
                    </w:rPr>
                    <w:t>无组织排放废气加强通风；发电机尾气由专用管道于楼顶排放。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4" w:hRule="atLeast"/>
              </w:trPr>
              <w:tc>
                <w:tcPr>
                  <w:tcW w:w="982" w:type="dxa"/>
                  <w:vMerge w:val="continue"/>
                  <w:vAlign w:val="top"/>
                </w:tcPr>
                <w:p>
                  <w:pPr>
                    <w:pStyle w:val="8"/>
                    <w:spacing w:line="240" w:lineRule="auto"/>
                    <w:rPr>
                      <w:rFonts w:hint="eastAsia" w:eastAsia="宋体"/>
                      <w:i w:val="0"/>
                      <w:iCs w:val="0"/>
                      <w:color w:val="auto"/>
                      <w:sz w:val="21"/>
                      <w:szCs w:val="21"/>
                      <w:u w:val="none"/>
                    </w:rPr>
                  </w:pPr>
                </w:p>
              </w:tc>
              <w:tc>
                <w:tcPr>
                  <w:tcW w:w="1070" w:type="dxa"/>
                  <w:vAlign w:val="center"/>
                </w:tcPr>
                <w:p>
                  <w:pPr>
                    <w:jc w:val="center"/>
                    <w:rPr>
                      <w:i w:val="0"/>
                      <w:iCs w:val="0"/>
                      <w:color w:val="auto"/>
                      <w:sz w:val="21"/>
                      <w:szCs w:val="21"/>
                      <w:u w:val="none"/>
                    </w:rPr>
                  </w:pPr>
                  <w:r>
                    <w:rPr>
                      <w:i w:val="0"/>
                      <w:iCs w:val="0"/>
                      <w:color w:val="auto"/>
                      <w:sz w:val="21"/>
                      <w:szCs w:val="21"/>
                      <w:u w:val="none"/>
                    </w:rPr>
                    <w:t>废水治理</w:t>
                  </w:r>
                </w:p>
              </w:tc>
              <w:tc>
                <w:tcPr>
                  <w:tcW w:w="2560" w:type="dxa"/>
                  <w:vAlign w:val="center"/>
                </w:tcPr>
                <w:p>
                  <w:pPr>
                    <w:jc w:val="center"/>
                    <w:rPr>
                      <w:rFonts w:hint="eastAsia"/>
                      <w:i w:val="0"/>
                      <w:iCs w:val="0"/>
                      <w:color w:val="auto"/>
                      <w:sz w:val="21"/>
                      <w:szCs w:val="21"/>
                      <w:u w:val="none"/>
                    </w:rPr>
                  </w:pPr>
                  <w:r>
                    <w:rPr>
                      <w:rFonts w:hint="eastAsia"/>
                      <w:i w:val="0"/>
                      <w:iCs w:val="0"/>
                      <w:color w:val="auto"/>
                      <w:sz w:val="21"/>
                      <w:szCs w:val="21"/>
                      <w:u w:val="none"/>
                    </w:rPr>
                    <w:t>净水厂内生产废水</w:t>
                  </w:r>
                </w:p>
              </w:tc>
              <w:tc>
                <w:tcPr>
                  <w:tcW w:w="3767" w:type="dxa"/>
                  <w:vAlign w:val="center"/>
                </w:tcPr>
                <w:p>
                  <w:pPr>
                    <w:rPr>
                      <w:rFonts w:hint="eastAsia"/>
                      <w:i w:val="0"/>
                      <w:iCs w:val="0"/>
                      <w:color w:val="auto"/>
                      <w:sz w:val="21"/>
                      <w:szCs w:val="21"/>
                      <w:u w:val="none"/>
                    </w:rPr>
                  </w:pPr>
                  <w:r>
                    <w:rPr>
                      <w:rFonts w:hint="eastAsia"/>
                      <w:i w:val="0"/>
                      <w:iCs w:val="0"/>
                      <w:color w:val="auto"/>
                      <w:sz w:val="21"/>
                      <w:szCs w:val="21"/>
                      <w:u w:val="none"/>
                    </w:rPr>
                    <w:t>生产废水由自建废水处理系统处理达标排放。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4" w:hRule="atLeast"/>
              </w:trPr>
              <w:tc>
                <w:tcPr>
                  <w:tcW w:w="982" w:type="dxa"/>
                  <w:vMerge w:val="continue"/>
                  <w:vAlign w:val="top"/>
                </w:tcPr>
                <w:p>
                  <w:pPr>
                    <w:pStyle w:val="8"/>
                    <w:spacing w:line="240" w:lineRule="auto"/>
                    <w:rPr>
                      <w:rFonts w:hint="eastAsia" w:eastAsia="宋体"/>
                      <w:i w:val="0"/>
                      <w:iCs w:val="0"/>
                      <w:color w:val="auto"/>
                      <w:sz w:val="21"/>
                      <w:szCs w:val="21"/>
                      <w:u w:val="none"/>
                    </w:rPr>
                  </w:pPr>
                </w:p>
              </w:tc>
              <w:tc>
                <w:tcPr>
                  <w:tcW w:w="1070" w:type="dxa"/>
                  <w:vAlign w:val="center"/>
                </w:tcPr>
                <w:p>
                  <w:pPr>
                    <w:jc w:val="center"/>
                    <w:rPr>
                      <w:i w:val="0"/>
                      <w:iCs w:val="0"/>
                      <w:color w:val="auto"/>
                      <w:sz w:val="21"/>
                      <w:szCs w:val="21"/>
                      <w:u w:val="none"/>
                    </w:rPr>
                  </w:pPr>
                  <w:r>
                    <w:rPr>
                      <w:i w:val="0"/>
                      <w:iCs w:val="0"/>
                      <w:color w:val="auto"/>
                      <w:sz w:val="21"/>
                      <w:szCs w:val="21"/>
                      <w:u w:val="none"/>
                    </w:rPr>
                    <w:t>噪声治理</w:t>
                  </w:r>
                </w:p>
              </w:tc>
              <w:tc>
                <w:tcPr>
                  <w:tcW w:w="2560" w:type="dxa"/>
                  <w:vAlign w:val="center"/>
                </w:tcPr>
                <w:p>
                  <w:pPr>
                    <w:jc w:val="center"/>
                    <w:rPr>
                      <w:i w:val="0"/>
                      <w:iCs w:val="0"/>
                      <w:color w:val="auto"/>
                      <w:sz w:val="21"/>
                      <w:szCs w:val="21"/>
                      <w:u w:val="none"/>
                    </w:rPr>
                  </w:pPr>
                  <w:r>
                    <w:rPr>
                      <w:rFonts w:hint="eastAsia"/>
                      <w:i w:val="0"/>
                      <w:iCs w:val="0"/>
                      <w:color w:val="auto"/>
                      <w:sz w:val="21"/>
                      <w:szCs w:val="21"/>
                      <w:u w:val="none"/>
                    </w:rPr>
                    <w:t>净水厂</w:t>
                  </w:r>
                </w:p>
              </w:tc>
              <w:tc>
                <w:tcPr>
                  <w:tcW w:w="3767" w:type="dxa"/>
                  <w:vAlign w:val="center"/>
                </w:tcPr>
                <w:p>
                  <w:pPr>
                    <w:rPr>
                      <w:rFonts w:hint="eastAsia"/>
                      <w:i w:val="0"/>
                      <w:iCs w:val="0"/>
                      <w:color w:val="auto"/>
                      <w:sz w:val="21"/>
                      <w:szCs w:val="21"/>
                      <w:u w:val="none"/>
                    </w:rPr>
                  </w:pPr>
                  <w:r>
                    <w:rPr>
                      <w:i w:val="0"/>
                      <w:iCs w:val="0"/>
                      <w:color w:val="auto"/>
                      <w:sz w:val="21"/>
                      <w:szCs w:val="21"/>
                      <w:u w:val="none"/>
                    </w:rPr>
                    <w:t>配套建设减振、隔声、消声、吸声等降噪措施</w:t>
                  </w:r>
                  <w:r>
                    <w:rPr>
                      <w:rFonts w:hint="eastAsia"/>
                      <w:i w:val="0"/>
                      <w:iCs w:val="0"/>
                      <w:color w:val="auto"/>
                      <w:sz w:val="21"/>
                      <w:szCs w:val="21"/>
                      <w:u w:val="none"/>
                    </w:rPr>
                    <w:t>及厂区绿化。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4" w:hRule="atLeast"/>
              </w:trPr>
              <w:tc>
                <w:tcPr>
                  <w:tcW w:w="982" w:type="dxa"/>
                  <w:vMerge w:val="continue"/>
                  <w:vAlign w:val="top"/>
                </w:tcPr>
                <w:p>
                  <w:pPr>
                    <w:pStyle w:val="8"/>
                    <w:spacing w:line="240" w:lineRule="auto"/>
                    <w:rPr>
                      <w:rFonts w:hint="eastAsia" w:eastAsia="宋体"/>
                      <w:i w:val="0"/>
                      <w:iCs w:val="0"/>
                      <w:color w:val="auto"/>
                      <w:sz w:val="21"/>
                      <w:szCs w:val="21"/>
                      <w:u w:val="none"/>
                    </w:rPr>
                  </w:pPr>
                </w:p>
              </w:tc>
              <w:tc>
                <w:tcPr>
                  <w:tcW w:w="1070" w:type="dxa"/>
                  <w:vAlign w:val="center"/>
                </w:tcPr>
                <w:p>
                  <w:pPr>
                    <w:jc w:val="center"/>
                    <w:rPr>
                      <w:i w:val="0"/>
                      <w:iCs w:val="0"/>
                      <w:color w:val="auto"/>
                      <w:sz w:val="21"/>
                      <w:szCs w:val="21"/>
                      <w:u w:val="none"/>
                    </w:rPr>
                  </w:pPr>
                  <w:r>
                    <w:rPr>
                      <w:i w:val="0"/>
                      <w:iCs w:val="0"/>
                      <w:color w:val="auto"/>
                      <w:sz w:val="21"/>
                      <w:szCs w:val="21"/>
                      <w:u w:val="none"/>
                    </w:rPr>
                    <w:t>固废治理</w:t>
                  </w:r>
                </w:p>
              </w:tc>
              <w:tc>
                <w:tcPr>
                  <w:tcW w:w="2560" w:type="dxa"/>
                  <w:vAlign w:val="center"/>
                </w:tcPr>
                <w:p>
                  <w:pPr>
                    <w:jc w:val="center"/>
                    <w:rPr>
                      <w:rFonts w:hint="eastAsia"/>
                      <w:i w:val="0"/>
                      <w:iCs w:val="0"/>
                      <w:color w:val="auto"/>
                      <w:sz w:val="21"/>
                      <w:szCs w:val="21"/>
                      <w:u w:val="none"/>
                    </w:rPr>
                  </w:pPr>
                  <w:r>
                    <w:rPr>
                      <w:rFonts w:hint="eastAsia"/>
                      <w:i w:val="0"/>
                      <w:iCs w:val="0"/>
                      <w:color w:val="auto"/>
                      <w:sz w:val="21"/>
                      <w:szCs w:val="21"/>
                      <w:u w:val="none"/>
                    </w:rPr>
                    <w:t>净水厂内</w:t>
                  </w:r>
                </w:p>
              </w:tc>
              <w:tc>
                <w:tcPr>
                  <w:tcW w:w="3767" w:type="dxa"/>
                  <w:vAlign w:val="center"/>
                </w:tcPr>
                <w:p>
                  <w:pPr>
                    <w:rPr>
                      <w:rFonts w:hint="eastAsia"/>
                      <w:i w:val="0"/>
                      <w:iCs w:val="0"/>
                      <w:color w:val="auto"/>
                      <w:sz w:val="21"/>
                      <w:szCs w:val="21"/>
                      <w:u w:val="none"/>
                    </w:rPr>
                  </w:pPr>
                  <w:r>
                    <w:rPr>
                      <w:i w:val="0"/>
                      <w:iCs w:val="0"/>
                      <w:color w:val="auto"/>
                      <w:sz w:val="21"/>
                      <w:szCs w:val="21"/>
                      <w:u w:val="none"/>
                    </w:rPr>
                    <w:t>生活垃圾由环卫部门收集处理，一般固废</w:t>
                  </w:r>
                  <w:r>
                    <w:rPr>
                      <w:rFonts w:hint="eastAsia"/>
                      <w:i w:val="0"/>
                      <w:iCs w:val="0"/>
                      <w:color w:val="auto"/>
                      <w:sz w:val="21"/>
                      <w:szCs w:val="21"/>
                      <w:u w:val="none"/>
                    </w:rPr>
                    <w:t>外委处理</w:t>
                  </w:r>
                  <w:r>
                    <w:rPr>
                      <w:i w:val="0"/>
                      <w:iCs w:val="0"/>
                      <w:color w:val="auto"/>
                      <w:sz w:val="21"/>
                      <w:szCs w:val="21"/>
                      <w:u w:val="none"/>
                    </w:rPr>
                    <w:t>，危险废物委托有危险废物处理资质的单位进行无害化处置</w:t>
                  </w:r>
                  <w:r>
                    <w:rPr>
                      <w:rFonts w:hint="eastAsia"/>
                      <w:i w:val="0"/>
                      <w:iCs w:val="0"/>
                      <w:color w:val="auto"/>
                      <w:sz w:val="21"/>
                      <w:szCs w:val="21"/>
                      <w:u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34" w:hRule="atLeast"/>
              </w:trPr>
              <w:tc>
                <w:tcPr>
                  <w:tcW w:w="982" w:type="dxa"/>
                  <w:vMerge w:val="continue"/>
                  <w:vAlign w:val="top"/>
                </w:tcPr>
                <w:p>
                  <w:pPr>
                    <w:pStyle w:val="8"/>
                    <w:spacing w:line="240" w:lineRule="auto"/>
                    <w:rPr>
                      <w:rFonts w:hint="eastAsia" w:eastAsia="宋体"/>
                      <w:i w:val="0"/>
                      <w:iCs w:val="0"/>
                      <w:color w:val="auto"/>
                      <w:sz w:val="21"/>
                      <w:szCs w:val="21"/>
                      <w:u w:val="none"/>
                    </w:rPr>
                  </w:pPr>
                </w:p>
              </w:tc>
              <w:tc>
                <w:tcPr>
                  <w:tcW w:w="1070" w:type="dxa"/>
                  <w:vAlign w:val="center"/>
                </w:tcPr>
                <w:p>
                  <w:pPr>
                    <w:ind w:firstLine="315" w:firstLineChars="150"/>
                    <w:rPr>
                      <w:i w:val="0"/>
                      <w:iCs w:val="0"/>
                      <w:color w:val="auto"/>
                      <w:sz w:val="21"/>
                      <w:szCs w:val="21"/>
                      <w:u w:val="none"/>
                    </w:rPr>
                  </w:pPr>
                  <w:r>
                    <w:rPr>
                      <w:i w:val="0"/>
                      <w:iCs w:val="0"/>
                      <w:color w:val="auto"/>
                      <w:sz w:val="21"/>
                      <w:szCs w:val="21"/>
                      <w:u w:val="none"/>
                    </w:rPr>
                    <w:t>绿化</w:t>
                  </w:r>
                </w:p>
              </w:tc>
              <w:tc>
                <w:tcPr>
                  <w:tcW w:w="2560" w:type="dxa"/>
                  <w:vAlign w:val="center"/>
                </w:tcPr>
                <w:p>
                  <w:pPr>
                    <w:rPr>
                      <w:rFonts w:hint="eastAsia"/>
                      <w:i w:val="0"/>
                      <w:iCs w:val="0"/>
                      <w:color w:val="auto"/>
                      <w:sz w:val="21"/>
                      <w:szCs w:val="21"/>
                      <w:u w:val="none"/>
                    </w:rPr>
                  </w:pPr>
                  <w:r>
                    <w:rPr>
                      <w:rFonts w:hint="eastAsia"/>
                      <w:i w:val="0"/>
                      <w:iCs w:val="0"/>
                      <w:color w:val="auto"/>
                      <w:sz w:val="21"/>
                      <w:szCs w:val="21"/>
                      <w:u w:val="none"/>
                    </w:rPr>
                    <w:t>净水厂场区范围内</w:t>
                  </w:r>
                </w:p>
              </w:tc>
              <w:tc>
                <w:tcPr>
                  <w:tcW w:w="3767" w:type="dxa"/>
                  <w:vAlign w:val="center"/>
                </w:tcPr>
                <w:p>
                  <w:pPr>
                    <w:ind w:left="560" w:firstLine="210" w:firstLineChars="100"/>
                    <w:rPr>
                      <w:i w:val="0"/>
                      <w:iCs w:val="0"/>
                      <w:color w:val="auto"/>
                      <w:sz w:val="21"/>
                      <w:szCs w:val="21"/>
                      <w:u w:val="none"/>
                    </w:rPr>
                  </w:pPr>
                  <w:r>
                    <w:rPr>
                      <w:i w:val="0"/>
                      <w:iCs w:val="0"/>
                      <w:color w:val="auto"/>
                      <w:sz w:val="21"/>
                      <w:szCs w:val="21"/>
                      <w:u w:val="none"/>
                    </w:rPr>
                    <w:t>绿地率达</w:t>
                  </w:r>
                  <w:r>
                    <w:rPr>
                      <w:rFonts w:hint="eastAsia"/>
                      <w:i w:val="0"/>
                      <w:iCs w:val="0"/>
                      <w:color w:val="auto"/>
                      <w:sz w:val="21"/>
                      <w:szCs w:val="21"/>
                      <w:u w:val="none"/>
                      <w:lang w:val="en-US" w:eastAsia="zh-CN"/>
                    </w:rPr>
                    <w:t>28.87</w:t>
                  </w:r>
                  <w:r>
                    <w:rPr>
                      <w:rFonts w:hint="eastAsia"/>
                      <w:i w:val="0"/>
                      <w:iCs w:val="0"/>
                      <w:color w:val="auto"/>
                      <w:sz w:val="21"/>
                      <w:szCs w:val="21"/>
                      <w:u w:val="none"/>
                    </w:rPr>
                    <w:t>%</w:t>
                  </w:r>
                </w:p>
              </w:tc>
            </w:tr>
          </w:tbl>
          <w:p>
            <w:pPr>
              <w:spacing w:line="360" w:lineRule="auto"/>
              <w:rPr>
                <w:rFonts w:hint="eastAsia"/>
                <w:b/>
                <w:color w:val="auto"/>
                <w:sz w:val="24"/>
                <w:lang w:eastAsia="zh-CN"/>
              </w:rPr>
            </w:pPr>
            <w:r>
              <w:rPr>
                <w:rFonts w:hint="eastAsia"/>
                <w:b/>
                <w:color w:val="auto"/>
                <w:sz w:val="24"/>
                <w:lang w:val="en-US" w:eastAsia="zh-CN"/>
              </w:rPr>
              <w:t>3.3</w:t>
            </w:r>
            <w:r>
              <w:rPr>
                <w:rFonts w:hint="eastAsia"/>
                <w:b/>
                <w:color w:val="auto"/>
                <w:sz w:val="24"/>
                <w:lang w:eastAsia="zh-CN"/>
              </w:rPr>
              <w:t>净水厂扩建工程</w:t>
            </w:r>
          </w:p>
          <w:p>
            <w:pPr>
              <w:adjustRightInd w:val="0"/>
              <w:spacing w:line="360" w:lineRule="auto"/>
              <w:ind w:firstLine="480" w:firstLineChars="200"/>
              <w:rPr>
                <w:rFonts w:hint="eastAsia"/>
                <w:color w:val="auto"/>
                <w:sz w:val="24"/>
                <w:lang w:eastAsia="zh-CN"/>
              </w:rPr>
            </w:pPr>
            <w:r>
              <w:rPr>
                <w:rFonts w:hint="eastAsia"/>
                <w:color w:val="auto"/>
                <w:sz w:val="24"/>
                <w:lang w:eastAsia="zh-CN"/>
              </w:rPr>
              <w:t>扩建净水厂位于长寿水厂一期工程东南角，与一期工程场地有一山谷相隔，一期工程北侧一条环形山路延伸到该厂址北侧山脚下。该厂址整个山包相对独立，山坡教缓，地质条件较好。该地块有少量旱地，多为山地，并有高大乔木。厂址地形标高大部分在171～191之间，征地范围比较规整，长宽均可满足建设用地要求，且范围内无其他任何拆迁，总征地面积为48968m</w:t>
            </w:r>
            <w:r>
              <w:rPr>
                <w:rFonts w:hint="eastAsia"/>
                <w:color w:val="auto"/>
                <w:sz w:val="24"/>
                <w:vertAlign w:val="superscript"/>
                <w:lang w:eastAsia="zh-CN"/>
              </w:rPr>
              <w:t>2</w:t>
            </w:r>
            <w:r>
              <w:rPr>
                <w:rFonts w:hint="eastAsia"/>
                <w:color w:val="auto"/>
                <w:sz w:val="24"/>
                <w:lang w:eastAsia="zh-CN"/>
              </w:rPr>
              <w:t>（合约73.45亩）。</w:t>
            </w:r>
          </w:p>
          <w:p>
            <w:pPr>
              <w:spacing w:line="360" w:lineRule="auto"/>
              <w:outlineLvl w:val="3"/>
              <w:rPr>
                <w:rFonts w:hint="eastAsia"/>
                <w:color w:val="auto"/>
                <w:sz w:val="24"/>
              </w:rPr>
            </w:pPr>
            <w:r>
              <w:rPr>
                <w:rFonts w:hint="eastAsia"/>
                <w:color w:val="auto"/>
                <w:sz w:val="24"/>
                <w:lang w:val="en-US" w:eastAsia="zh-CN"/>
              </w:rPr>
              <w:t>3.3.1</w:t>
            </w:r>
            <w:r>
              <w:rPr>
                <w:rFonts w:hint="eastAsia"/>
                <w:color w:val="auto"/>
                <w:sz w:val="24"/>
              </w:rPr>
              <w:t>设计参数</w:t>
            </w:r>
          </w:p>
          <w:p>
            <w:pPr>
              <w:spacing w:line="360" w:lineRule="auto"/>
              <w:ind w:firstLine="480" w:firstLineChars="200"/>
              <w:rPr>
                <w:rFonts w:hint="eastAsia"/>
                <w:color w:val="auto"/>
                <w:sz w:val="24"/>
              </w:rPr>
            </w:pPr>
            <w:r>
              <w:rPr>
                <w:rFonts w:hint="eastAsia"/>
                <w:color w:val="auto"/>
                <w:sz w:val="24"/>
              </w:rPr>
              <w:t xml:space="preserve">水质：出水水质符合《生活饮用水卫生标准》（GB5749-2006）要求，符合《城市供水水质标准》（CJ/T206-2005）中的要求，其中出厂水浊度≤1NTU。 </w:t>
            </w:r>
          </w:p>
          <w:p>
            <w:pPr>
              <w:spacing w:line="360" w:lineRule="auto"/>
              <w:ind w:firstLine="480" w:firstLineChars="200"/>
              <w:rPr>
                <w:rFonts w:hint="eastAsia"/>
                <w:color w:val="auto"/>
                <w:sz w:val="24"/>
              </w:rPr>
            </w:pPr>
            <w:r>
              <w:rPr>
                <w:rFonts w:hint="eastAsia"/>
                <w:color w:val="auto"/>
                <w:sz w:val="24"/>
              </w:rPr>
              <w:t>水量：规模</w:t>
            </w:r>
            <w:r>
              <w:rPr>
                <w:rFonts w:hint="eastAsia"/>
                <w:color w:val="auto"/>
                <w:sz w:val="24"/>
                <w:lang w:val="en-US" w:eastAsia="zh-CN"/>
              </w:rPr>
              <w:t>8.5</w:t>
            </w:r>
            <w:r>
              <w:rPr>
                <w:rFonts w:hint="eastAsia"/>
                <w:color w:val="auto"/>
                <w:sz w:val="24"/>
              </w:rPr>
              <w:t>万</w:t>
            </w:r>
            <w:r>
              <w:rPr>
                <w:rFonts w:hint="eastAsia"/>
                <w:color w:val="auto"/>
                <w:sz w:val="24"/>
                <w:lang w:eastAsia="zh-CN"/>
              </w:rPr>
              <w:t>m³</w:t>
            </w:r>
            <w:r>
              <w:rPr>
                <w:rFonts w:hint="eastAsia"/>
                <w:color w:val="auto"/>
                <w:sz w:val="24"/>
              </w:rPr>
              <w:t>/d，水压：由清水池依靠重力自流至配水主管，中间无需设置加压泵。</w:t>
            </w:r>
          </w:p>
          <w:p>
            <w:pPr>
              <w:spacing w:line="360" w:lineRule="auto"/>
              <w:outlineLvl w:val="3"/>
              <w:rPr>
                <w:rFonts w:hint="eastAsia"/>
                <w:color w:val="auto"/>
                <w:sz w:val="24"/>
              </w:rPr>
            </w:pPr>
            <w:r>
              <w:rPr>
                <w:rFonts w:hint="eastAsia"/>
                <w:color w:val="auto"/>
                <w:sz w:val="24"/>
                <w:lang w:val="en-US" w:eastAsia="zh-CN"/>
              </w:rPr>
              <w:t>3</w:t>
            </w:r>
            <w:r>
              <w:rPr>
                <w:rFonts w:hint="eastAsia"/>
                <w:color w:val="auto"/>
                <w:sz w:val="24"/>
              </w:rPr>
              <w:t>.3.2厂区总平面布置</w:t>
            </w:r>
          </w:p>
          <w:p>
            <w:pPr>
              <w:spacing w:line="360" w:lineRule="auto"/>
              <w:ind w:firstLine="480" w:firstLineChars="200"/>
              <w:rPr>
                <w:rFonts w:hint="eastAsia"/>
                <w:color w:val="auto"/>
                <w:sz w:val="24"/>
              </w:rPr>
            </w:pPr>
            <w:r>
              <w:rPr>
                <w:rFonts w:hint="eastAsia"/>
                <w:color w:val="auto"/>
                <w:sz w:val="24"/>
              </w:rPr>
              <w:t>根据厂区功能分区，将二期工程厂区划分为东西两大区，西部靠北边为生活、综合管理区，西部靠南边为辅助生产用房区（机修车库仓库、加药间及变配电）；东部为制水处理区，由北往南依次为格栅曝气池、絮凝沉淀清水池、均质滤料气水反冲洗滤池，在滤池的西侧设置排泥水池。平江县常年夏季主导风向为西南风，故整个厂区既分工明确，又使污泥系统、加药间等处于下风向，对周围环境和厂内环境不造成影响。</w:t>
            </w:r>
          </w:p>
          <w:p>
            <w:pPr>
              <w:spacing w:line="360" w:lineRule="auto"/>
              <w:ind w:firstLine="480" w:firstLineChars="200"/>
              <w:rPr>
                <w:rFonts w:hint="eastAsia"/>
                <w:color w:val="auto"/>
                <w:sz w:val="24"/>
              </w:rPr>
            </w:pPr>
            <w:r>
              <w:rPr>
                <w:rFonts w:hint="eastAsia"/>
                <w:color w:val="auto"/>
                <w:sz w:val="24"/>
              </w:rPr>
              <w:t>厂区的绿化采用集中与分散相结合的手法，综合楼的前坪为集中绿化区，路旁、池边、围墙内侧布置相对分散的绿化。</w:t>
            </w:r>
          </w:p>
          <w:p>
            <w:pPr>
              <w:spacing w:line="360" w:lineRule="auto"/>
              <w:outlineLvl w:val="3"/>
              <w:rPr>
                <w:rFonts w:hint="eastAsia"/>
                <w:color w:val="auto"/>
                <w:sz w:val="24"/>
              </w:rPr>
            </w:pPr>
            <w:r>
              <w:rPr>
                <w:rFonts w:hint="eastAsia"/>
                <w:color w:val="auto"/>
                <w:sz w:val="24"/>
                <w:lang w:val="en-US" w:eastAsia="zh-CN"/>
              </w:rPr>
              <w:t>3</w:t>
            </w:r>
            <w:r>
              <w:rPr>
                <w:rFonts w:hint="eastAsia"/>
                <w:color w:val="auto"/>
                <w:sz w:val="24"/>
              </w:rPr>
              <w:t>.3.3净水厂构筑物</w:t>
            </w:r>
          </w:p>
          <w:p>
            <w:pPr>
              <w:spacing w:line="360" w:lineRule="auto"/>
              <w:ind w:firstLine="480" w:firstLineChars="200"/>
              <w:rPr>
                <w:rFonts w:hint="eastAsia"/>
                <w:color w:val="auto"/>
                <w:sz w:val="24"/>
              </w:rPr>
            </w:pPr>
            <w:r>
              <w:rPr>
                <w:rFonts w:hint="eastAsia"/>
                <w:color w:val="auto"/>
                <w:sz w:val="24"/>
              </w:rPr>
              <w:t>平江供水（黄金洞水库）枢纽工程新建水厂主要水处理构筑物有格栅曝气池、絮凝沉淀清水池、气水反冲洗砂滤池、排泥水池、加药间及变配电间、综合楼、机修仓库等组成。</w:t>
            </w:r>
          </w:p>
          <w:p>
            <w:pPr>
              <w:spacing w:line="360" w:lineRule="auto"/>
              <w:ind w:firstLine="480" w:firstLineChars="200"/>
              <w:rPr>
                <w:rFonts w:hint="eastAsia"/>
                <w:color w:val="auto"/>
                <w:sz w:val="24"/>
              </w:rPr>
            </w:pPr>
            <w:r>
              <w:rPr>
                <w:rFonts w:hint="eastAsia"/>
                <w:color w:val="auto"/>
                <w:sz w:val="24"/>
              </w:rPr>
              <w:t>由于长寿水厂一期工程设计规模为1.5×10</w:t>
            </w:r>
            <w:r>
              <w:rPr>
                <w:rFonts w:hint="eastAsia"/>
                <w:color w:val="auto"/>
                <w:sz w:val="24"/>
                <w:vertAlign w:val="superscript"/>
              </w:rPr>
              <w:t>4</w:t>
            </w:r>
            <w:r>
              <w:rPr>
                <w:rFonts w:hint="eastAsia"/>
                <w:color w:val="auto"/>
                <w:sz w:val="24"/>
                <w:lang w:eastAsia="zh-CN"/>
              </w:rPr>
              <w:t>m³</w:t>
            </w:r>
            <w:r>
              <w:rPr>
                <w:rFonts w:hint="eastAsia"/>
                <w:color w:val="auto"/>
                <w:sz w:val="24"/>
              </w:rPr>
              <w:t>/d，目前正在施工建设，因此二期工程考虑按8.5×104</w:t>
            </w:r>
            <w:r>
              <w:rPr>
                <w:rFonts w:hint="eastAsia"/>
                <w:color w:val="auto"/>
                <w:sz w:val="24"/>
                <w:lang w:eastAsia="zh-CN"/>
              </w:rPr>
              <w:t>m³</w:t>
            </w:r>
            <w:r>
              <w:rPr>
                <w:rFonts w:hint="eastAsia"/>
                <w:color w:val="auto"/>
                <w:sz w:val="24"/>
              </w:rPr>
              <w:t>/d设计，土建按10×10</w:t>
            </w:r>
            <w:r>
              <w:rPr>
                <w:rFonts w:hint="eastAsia"/>
                <w:color w:val="auto"/>
                <w:sz w:val="24"/>
                <w:vertAlign w:val="superscript"/>
              </w:rPr>
              <w:t>4</w:t>
            </w:r>
            <w:r>
              <w:rPr>
                <w:rFonts w:hint="eastAsia"/>
                <w:color w:val="auto"/>
                <w:sz w:val="24"/>
                <w:lang w:eastAsia="zh-CN"/>
              </w:rPr>
              <w:t>m³</w:t>
            </w:r>
            <w:r>
              <w:rPr>
                <w:rFonts w:hint="eastAsia"/>
                <w:color w:val="auto"/>
                <w:sz w:val="24"/>
              </w:rPr>
              <w:t>/d校核。</w:t>
            </w:r>
          </w:p>
          <w:p>
            <w:pPr>
              <w:spacing w:line="360" w:lineRule="auto"/>
              <w:ind w:firstLine="480" w:firstLineChars="200"/>
              <w:rPr>
                <w:rFonts w:hint="eastAsia"/>
                <w:color w:val="auto"/>
                <w:sz w:val="24"/>
              </w:rPr>
            </w:pPr>
            <w:r>
              <w:rPr>
                <w:rFonts w:hint="eastAsia"/>
                <w:color w:val="auto"/>
                <w:sz w:val="24"/>
              </w:rPr>
              <w:t>其中格栅曝气池、排泥水池土建和设备满足10.0×10</w:t>
            </w:r>
            <w:r>
              <w:rPr>
                <w:rFonts w:hint="eastAsia"/>
                <w:color w:val="auto"/>
                <w:sz w:val="24"/>
                <w:vertAlign w:val="superscript"/>
              </w:rPr>
              <w:t>4</w:t>
            </w:r>
            <w:r>
              <w:rPr>
                <w:rFonts w:hint="eastAsia"/>
                <w:color w:val="auto"/>
                <w:sz w:val="24"/>
                <w:lang w:eastAsia="zh-CN"/>
              </w:rPr>
              <w:t>m³</w:t>
            </w:r>
            <w:r>
              <w:rPr>
                <w:rFonts w:hint="eastAsia"/>
                <w:color w:val="auto"/>
                <w:sz w:val="24"/>
              </w:rPr>
              <w:t>/d的处理要求；絮凝沉淀清水池、气水反冲洗砂滤池、加药间及变配电间按8.5×10</w:t>
            </w:r>
            <w:r>
              <w:rPr>
                <w:rFonts w:hint="eastAsia"/>
                <w:color w:val="auto"/>
                <w:sz w:val="24"/>
                <w:vertAlign w:val="superscript"/>
              </w:rPr>
              <w:t>4</w:t>
            </w:r>
            <w:r>
              <w:rPr>
                <w:rFonts w:hint="eastAsia"/>
                <w:color w:val="auto"/>
                <w:sz w:val="24"/>
                <w:lang w:eastAsia="zh-CN"/>
              </w:rPr>
              <w:t>m³</w:t>
            </w:r>
            <w:r>
              <w:rPr>
                <w:rFonts w:hint="eastAsia"/>
                <w:color w:val="auto"/>
                <w:sz w:val="24"/>
              </w:rPr>
              <w:t>/d设计，土建按10×10</w:t>
            </w:r>
            <w:r>
              <w:rPr>
                <w:rFonts w:hint="eastAsia"/>
                <w:color w:val="auto"/>
                <w:sz w:val="24"/>
                <w:vertAlign w:val="superscript"/>
              </w:rPr>
              <w:t>4</w:t>
            </w:r>
            <w:r>
              <w:rPr>
                <w:rFonts w:hint="eastAsia"/>
                <w:color w:val="auto"/>
                <w:sz w:val="24"/>
                <w:lang w:eastAsia="zh-CN"/>
              </w:rPr>
              <w:t>m³</w:t>
            </w:r>
            <w:r>
              <w:rPr>
                <w:rFonts w:hint="eastAsia"/>
                <w:color w:val="auto"/>
                <w:sz w:val="24"/>
              </w:rPr>
              <w:t>/d校核，设备按8.5×10</w:t>
            </w:r>
            <w:r>
              <w:rPr>
                <w:rFonts w:hint="eastAsia"/>
                <w:color w:val="auto"/>
                <w:sz w:val="24"/>
                <w:vertAlign w:val="superscript"/>
              </w:rPr>
              <w:t>4</w:t>
            </w:r>
            <w:r>
              <w:rPr>
                <w:rFonts w:hint="eastAsia"/>
                <w:color w:val="auto"/>
                <w:sz w:val="24"/>
                <w:lang w:eastAsia="zh-CN"/>
              </w:rPr>
              <w:t>m³</w:t>
            </w:r>
            <w:r>
              <w:rPr>
                <w:rFonts w:hint="eastAsia"/>
                <w:color w:val="auto"/>
                <w:sz w:val="24"/>
              </w:rPr>
              <w:t>/d配套。</w:t>
            </w:r>
          </w:p>
          <w:p>
            <w:pPr>
              <w:spacing w:line="360" w:lineRule="auto"/>
              <w:rPr>
                <w:rFonts w:hint="eastAsia"/>
                <w:b/>
                <w:color w:val="auto"/>
                <w:sz w:val="24"/>
                <w:lang w:val="en-US" w:eastAsia="zh-CN"/>
              </w:rPr>
            </w:pPr>
            <w:r>
              <w:rPr>
                <w:rFonts w:hint="eastAsia"/>
                <w:b/>
                <w:color w:val="auto"/>
                <w:sz w:val="24"/>
                <w:lang w:val="en-US" w:eastAsia="zh-CN"/>
              </w:rPr>
              <w:t>3.4 扩建配水管网工程</w:t>
            </w:r>
          </w:p>
          <w:p>
            <w:pPr>
              <w:adjustRightInd w:val="0"/>
              <w:spacing w:line="360" w:lineRule="auto"/>
              <w:ind w:firstLine="480" w:firstLineChars="200"/>
              <w:rPr>
                <w:rFonts w:hint="eastAsia"/>
                <w:color w:val="auto"/>
                <w:sz w:val="24"/>
              </w:rPr>
            </w:pPr>
            <w:r>
              <w:rPr>
                <w:rFonts w:hint="eastAsia"/>
                <w:color w:val="auto"/>
                <w:sz w:val="24"/>
              </w:rPr>
              <w:t>（1）</w:t>
            </w:r>
            <w:r>
              <w:rPr>
                <w:color w:val="auto"/>
                <w:sz w:val="24"/>
              </w:rPr>
              <w:t>定线原则</w:t>
            </w:r>
          </w:p>
          <w:p>
            <w:pPr>
              <w:adjustRightInd w:val="0"/>
              <w:spacing w:line="348" w:lineRule="auto"/>
              <w:ind w:firstLine="480" w:firstLineChars="200"/>
              <w:rPr>
                <w:rFonts w:hint="eastAsia"/>
                <w:color w:val="auto"/>
                <w:sz w:val="24"/>
              </w:rPr>
            </w:pPr>
            <w:r>
              <w:rPr>
                <w:rFonts w:hint="eastAsia" w:ascii="宋体" w:hAnsi="宋体"/>
                <w:color w:val="auto"/>
                <w:sz w:val="24"/>
              </w:rPr>
              <w:t xml:space="preserve">① </w:t>
            </w:r>
            <w:r>
              <w:rPr>
                <w:color w:val="auto"/>
                <w:sz w:val="24"/>
              </w:rPr>
              <w:t>定线时力求缩短线路长度，尽量沿现有或规划道路定线，输水管线布置尽可能避开村镇、工矿区及大型构、建筑物，以减少拆迁少占农田，减少与河流、铁路、公路、山岳的交叉，便于施工和维护。</w:t>
            </w:r>
          </w:p>
          <w:p>
            <w:pPr>
              <w:adjustRightInd w:val="0"/>
              <w:spacing w:line="348" w:lineRule="auto"/>
              <w:ind w:firstLine="480" w:firstLineChars="200"/>
              <w:rPr>
                <w:color w:val="auto"/>
                <w:sz w:val="24"/>
              </w:rPr>
            </w:pPr>
            <w:r>
              <w:rPr>
                <w:rFonts w:hint="eastAsia" w:ascii="宋体" w:hAnsi="宋体"/>
                <w:color w:val="auto"/>
                <w:sz w:val="24"/>
              </w:rPr>
              <w:t xml:space="preserve">② </w:t>
            </w:r>
            <w:r>
              <w:rPr>
                <w:color w:val="auto"/>
                <w:sz w:val="24"/>
              </w:rPr>
              <w:t>选择最佳的地形和地质条件，努力避开滑坡、塌方、岩层、以降低造价和便于管理，输水管线尽量沿现有道路或规划道路敷设，以方便施工和运行维护。</w:t>
            </w:r>
          </w:p>
          <w:p>
            <w:pPr>
              <w:adjustRightInd w:val="0"/>
              <w:spacing w:line="348" w:lineRule="auto"/>
              <w:ind w:firstLine="480" w:firstLineChars="200"/>
              <w:rPr>
                <w:color w:val="auto"/>
                <w:sz w:val="24"/>
              </w:rPr>
            </w:pPr>
            <w:r>
              <w:rPr>
                <w:rFonts w:hint="eastAsia" w:ascii="宋体" w:hAnsi="宋体"/>
                <w:color w:val="auto"/>
                <w:sz w:val="24"/>
              </w:rPr>
              <w:t xml:space="preserve">③ </w:t>
            </w:r>
            <w:r>
              <w:rPr>
                <w:color w:val="auto"/>
                <w:sz w:val="24"/>
              </w:rPr>
              <w:t>规划时考虑近中期的结合和分期实施的要求。</w:t>
            </w:r>
          </w:p>
          <w:p>
            <w:pPr>
              <w:adjustRightInd w:val="0"/>
              <w:spacing w:line="348" w:lineRule="auto"/>
              <w:ind w:firstLine="480" w:firstLineChars="200"/>
              <w:rPr>
                <w:color w:val="auto"/>
                <w:sz w:val="24"/>
              </w:rPr>
            </w:pPr>
            <w:r>
              <w:rPr>
                <w:rFonts w:hint="eastAsia" w:ascii="宋体" w:hAnsi="宋体"/>
                <w:color w:val="auto"/>
                <w:sz w:val="24"/>
              </w:rPr>
              <w:t xml:space="preserve">④ </w:t>
            </w:r>
            <w:r>
              <w:rPr>
                <w:color w:val="auto"/>
                <w:sz w:val="24"/>
              </w:rPr>
              <w:t>充分利用现有输水水头，采用重力流输水，以节省能源。</w:t>
            </w:r>
          </w:p>
          <w:p>
            <w:pPr>
              <w:adjustRightInd w:val="0"/>
              <w:spacing w:line="348" w:lineRule="auto"/>
              <w:ind w:firstLine="480" w:firstLineChars="200"/>
              <w:rPr>
                <w:color w:val="auto"/>
                <w:sz w:val="24"/>
              </w:rPr>
            </w:pPr>
            <w:r>
              <w:rPr>
                <w:rFonts w:hint="eastAsia" w:ascii="宋体" w:hAnsi="宋体"/>
                <w:color w:val="auto"/>
                <w:sz w:val="24"/>
              </w:rPr>
              <w:t xml:space="preserve">⑤ </w:t>
            </w:r>
            <w:r>
              <w:rPr>
                <w:color w:val="auto"/>
                <w:sz w:val="24"/>
              </w:rPr>
              <w:t>输水管线布置尽量拉直，减少管线转弯，降低管道水头损失，降低工程造价。</w:t>
            </w:r>
          </w:p>
          <w:p>
            <w:pPr>
              <w:adjustRightInd w:val="0"/>
              <w:spacing w:line="348" w:lineRule="auto"/>
              <w:ind w:firstLine="480" w:firstLineChars="200"/>
              <w:rPr>
                <w:color w:val="auto"/>
                <w:sz w:val="24"/>
              </w:rPr>
            </w:pPr>
            <w:r>
              <w:rPr>
                <w:rFonts w:hint="eastAsia" w:ascii="宋体" w:hAnsi="宋体"/>
                <w:color w:val="auto"/>
                <w:sz w:val="24"/>
              </w:rPr>
              <w:t xml:space="preserve">⑥ </w:t>
            </w:r>
            <w:r>
              <w:rPr>
                <w:color w:val="auto"/>
                <w:sz w:val="24"/>
              </w:rPr>
              <w:t>力求重力流输水管道铺设高程位于水力坡降线以下，选择输水线路时，注意开挖与回填土方的平衡，避免远距离运输土方。</w:t>
            </w:r>
          </w:p>
          <w:p>
            <w:pPr>
              <w:adjustRightInd w:val="0"/>
              <w:spacing w:line="348" w:lineRule="auto"/>
              <w:ind w:firstLine="480" w:firstLineChars="200"/>
              <w:rPr>
                <w:color w:val="auto"/>
                <w:sz w:val="24"/>
              </w:rPr>
            </w:pPr>
            <w:r>
              <w:rPr>
                <w:rFonts w:hint="eastAsia" w:ascii="宋体" w:hAnsi="宋体"/>
                <w:color w:val="auto"/>
                <w:sz w:val="24"/>
              </w:rPr>
              <w:t xml:space="preserve">⑦ </w:t>
            </w:r>
            <w:r>
              <w:rPr>
                <w:color w:val="auto"/>
                <w:sz w:val="24"/>
              </w:rPr>
              <w:t>输水管线按最高日最大用水时流量设计。</w:t>
            </w:r>
          </w:p>
          <w:p>
            <w:pPr>
              <w:adjustRightInd w:val="0"/>
              <w:spacing w:line="348" w:lineRule="auto"/>
              <w:ind w:firstLine="480" w:firstLineChars="200"/>
              <w:rPr>
                <w:rFonts w:hint="eastAsia"/>
                <w:color w:val="auto"/>
                <w:sz w:val="24"/>
              </w:rPr>
            </w:pPr>
            <w:r>
              <w:rPr>
                <w:rFonts w:hint="eastAsia"/>
                <w:color w:val="auto"/>
                <w:sz w:val="24"/>
              </w:rPr>
              <w:t>（2）输水方式</w:t>
            </w:r>
          </w:p>
          <w:p>
            <w:pPr>
              <w:adjustRightInd w:val="0"/>
              <w:spacing w:line="348" w:lineRule="auto"/>
              <w:ind w:firstLine="480" w:firstLineChars="200"/>
              <w:rPr>
                <w:rFonts w:hint="eastAsia"/>
                <w:color w:val="auto"/>
                <w:sz w:val="24"/>
              </w:rPr>
            </w:pPr>
            <w:r>
              <w:rPr>
                <w:color w:val="auto"/>
                <w:sz w:val="24"/>
              </w:rPr>
              <w:t>根据《室外给水设计规范》</w:t>
            </w:r>
            <w:r>
              <w:rPr>
                <w:rFonts w:hint="eastAsia"/>
                <w:color w:val="auto"/>
                <w:sz w:val="24"/>
              </w:rPr>
              <w:t>（</w:t>
            </w:r>
            <w:r>
              <w:rPr>
                <w:color w:val="auto"/>
                <w:sz w:val="24"/>
              </w:rPr>
              <w:t>GB50013-2006</w:t>
            </w:r>
            <w:r>
              <w:rPr>
                <w:rFonts w:hint="eastAsia"/>
                <w:color w:val="auto"/>
                <w:sz w:val="24"/>
              </w:rPr>
              <w:t>）</w:t>
            </w:r>
            <w:r>
              <w:rPr>
                <w:color w:val="auto"/>
                <w:sz w:val="24"/>
              </w:rPr>
              <w:t>，清水输送应选用管道，而本工程引水目的是作为城市饮用水，管线地形起伏高差较大，为保证供水安全可靠性及有效利用水库水头，避免二次加压、尽可能减少输水沿线漏水水量，防止水质污染等因素，本</w:t>
            </w:r>
            <w:r>
              <w:rPr>
                <w:rFonts w:hint="eastAsia"/>
                <w:color w:val="auto"/>
                <w:sz w:val="24"/>
              </w:rPr>
              <w:t>项目</w:t>
            </w:r>
            <w:r>
              <w:rPr>
                <w:color w:val="auto"/>
                <w:sz w:val="24"/>
              </w:rPr>
              <w:t>输水方式采用埋地管道重力自流输水。</w:t>
            </w:r>
          </w:p>
          <w:p>
            <w:pPr>
              <w:adjustRightInd w:val="0"/>
              <w:spacing w:line="348" w:lineRule="auto"/>
              <w:ind w:firstLine="480" w:firstLineChars="200"/>
              <w:rPr>
                <w:rFonts w:hint="eastAsia"/>
                <w:color w:val="auto"/>
                <w:sz w:val="24"/>
              </w:rPr>
            </w:pPr>
            <w:r>
              <w:rPr>
                <w:rFonts w:hint="eastAsia"/>
                <w:color w:val="auto"/>
                <w:sz w:val="24"/>
              </w:rPr>
              <w:t>（3）管材选择</w:t>
            </w:r>
          </w:p>
          <w:p>
            <w:pPr>
              <w:adjustRightInd w:val="0"/>
              <w:spacing w:line="348" w:lineRule="auto"/>
              <w:ind w:firstLine="480" w:firstLineChars="200"/>
              <w:rPr>
                <w:rFonts w:hint="eastAsia"/>
                <w:color w:val="auto"/>
                <w:sz w:val="24"/>
              </w:rPr>
            </w:pPr>
            <w:r>
              <w:rPr>
                <w:rFonts w:hint="eastAsia"/>
                <w:color w:val="auto"/>
                <w:sz w:val="24"/>
              </w:rPr>
              <w:t>各类输水管材的机械性能和工程特性比选情况见表</w:t>
            </w:r>
            <w:r>
              <w:rPr>
                <w:rFonts w:hint="eastAsia"/>
                <w:color w:val="auto"/>
                <w:sz w:val="24"/>
                <w:lang w:val="en-US" w:eastAsia="zh-CN"/>
              </w:rPr>
              <w:t>2</w:t>
            </w:r>
            <w:r>
              <w:rPr>
                <w:rFonts w:hint="eastAsia"/>
                <w:color w:val="auto"/>
                <w:sz w:val="24"/>
              </w:rPr>
              <w:t>和表</w:t>
            </w:r>
            <w:r>
              <w:rPr>
                <w:rFonts w:hint="eastAsia"/>
                <w:color w:val="auto"/>
                <w:sz w:val="24"/>
                <w:lang w:val="en-US" w:eastAsia="zh-CN"/>
              </w:rPr>
              <w:t>3</w:t>
            </w:r>
            <w:r>
              <w:rPr>
                <w:rFonts w:hint="eastAsia"/>
                <w:color w:val="auto"/>
                <w:sz w:val="24"/>
              </w:rPr>
              <w:t>。</w:t>
            </w:r>
          </w:p>
          <w:p>
            <w:pPr>
              <w:adjustRightInd w:val="0"/>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2</w:t>
            </w:r>
            <w:r>
              <w:rPr>
                <w:rFonts w:hint="eastAsia"/>
                <w:b/>
                <w:color w:val="auto"/>
                <w:szCs w:val="21"/>
              </w:rPr>
              <w:t xml:space="preserve">  输水管材</w:t>
            </w:r>
            <w:r>
              <w:rPr>
                <w:b/>
                <w:bCs/>
                <w:color w:val="auto"/>
                <w:szCs w:val="21"/>
              </w:rPr>
              <w:t>机械性能比较表</w:t>
            </w:r>
          </w:p>
          <w:tbl>
            <w:tblPr>
              <w:tblStyle w:val="15"/>
              <w:tblW w:w="83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1"/>
              <w:gridCol w:w="1729"/>
              <w:gridCol w:w="1728"/>
              <w:gridCol w:w="1728"/>
              <w:gridCol w:w="14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Borders>
                    <w:tl2br w:val="single" w:color="auto" w:sz="4" w:space="0"/>
                  </w:tcBorders>
                  <w:tcMar>
                    <w:left w:w="17" w:type="dxa"/>
                    <w:right w:w="17" w:type="dxa"/>
                  </w:tcMar>
                  <w:vAlign w:val="center"/>
                </w:tcPr>
                <w:p>
                  <w:pPr>
                    <w:spacing w:line="240" w:lineRule="exact"/>
                    <w:jc w:val="center"/>
                    <w:rPr>
                      <w:rFonts w:hint="eastAsia"/>
                      <w:color w:val="auto"/>
                      <w:sz w:val="18"/>
                      <w:szCs w:val="18"/>
                    </w:rPr>
                  </w:pPr>
                  <w:r>
                    <w:rPr>
                      <w:rFonts w:hint="eastAsia"/>
                      <w:color w:val="auto"/>
                      <w:szCs w:val="21"/>
                    </w:rPr>
                    <w:t xml:space="preserve">           </w:t>
                  </w:r>
                  <w:r>
                    <w:rPr>
                      <w:color w:val="auto"/>
                      <w:szCs w:val="21"/>
                    </w:rPr>
                    <w:t>种类</w:t>
                  </w:r>
                </w:p>
                <w:p>
                  <w:pPr>
                    <w:spacing w:line="240" w:lineRule="exact"/>
                    <w:rPr>
                      <w:rFonts w:hint="eastAsia"/>
                      <w:color w:val="auto"/>
                      <w:sz w:val="18"/>
                      <w:szCs w:val="18"/>
                    </w:rPr>
                  </w:pPr>
                  <w:r>
                    <w:rPr>
                      <w:color w:val="auto"/>
                      <w:szCs w:val="21"/>
                    </w:rPr>
                    <w:t>项目</w:t>
                  </w:r>
                </w:p>
              </w:tc>
              <w:tc>
                <w:tcPr>
                  <w:tcW w:w="1729" w:type="dxa"/>
                  <w:tcMar>
                    <w:left w:w="17" w:type="dxa"/>
                    <w:right w:w="17" w:type="dxa"/>
                  </w:tcMar>
                  <w:vAlign w:val="center"/>
                </w:tcPr>
                <w:p>
                  <w:pPr>
                    <w:spacing w:line="240" w:lineRule="exact"/>
                    <w:jc w:val="center"/>
                    <w:rPr>
                      <w:color w:val="auto"/>
                      <w:szCs w:val="21"/>
                    </w:rPr>
                  </w:pPr>
                  <w:r>
                    <w:rPr>
                      <w:color w:val="auto"/>
                      <w:szCs w:val="21"/>
                    </w:rPr>
                    <w:t>涂塑复合钢管</w:t>
                  </w:r>
                </w:p>
              </w:tc>
              <w:tc>
                <w:tcPr>
                  <w:tcW w:w="1728" w:type="dxa"/>
                  <w:tcMar>
                    <w:left w:w="17" w:type="dxa"/>
                    <w:right w:w="17" w:type="dxa"/>
                  </w:tcMar>
                  <w:vAlign w:val="center"/>
                </w:tcPr>
                <w:p>
                  <w:pPr>
                    <w:spacing w:line="240" w:lineRule="exact"/>
                    <w:jc w:val="center"/>
                    <w:rPr>
                      <w:color w:val="auto"/>
                      <w:szCs w:val="21"/>
                    </w:rPr>
                  </w:pPr>
                  <w:r>
                    <w:rPr>
                      <w:color w:val="auto"/>
                      <w:szCs w:val="21"/>
                    </w:rPr>
                    <w:t>球墨铸铁管</w:t>
                  </w:r>
                </w:p>
              </w:tc>
              <w:tc>
                <w:tcPr>
                  <w:tcW w:w="1728" w:type="dxa"/>
                  <w:tcMar>
                    <w:left w:w="17" w:type="dxa"/>
                    <w:right w:w="17" w:type="dxa"/>
                  </w:tcMar>
                  <w:vAlign w:val="center"/>
                </w:tcPr>
                <w:p>
                  <w:pPr>
                    <w:spacing w:line="240" w:lineRule="exact"/>
                    <w:jc w:val="center"/>
                    <w:rPr>
                      <w:color w:val="auto"/>
                      <w:szCs w:val="21"/>
                    </w:rPr>
                  </w:pPr>
                  <w:r>
                    <w:rPr>
                      <w:color w:val="auto"/>
                      <w:szCs w:val="21"/>
                    </w:rPr>
                    <w:t>钢筒混凝土管</w:t>
                  </w:r>
                </w:p>
              </w:tc>
              <w:tc>
                <w:tcPr>
                  <w:tcW w:w="1463" w:type="dxa"/>
                  <w:tcMar>
                    <w:left w:w="17" w:type="dxa"/>
                    <w:right w:w="17" w:type="dxa"/>
                  </w:tcMar>
                  <w:vAlign w:val="center"/>
                </w:tcPr>
                <w:p>
                  <w:pPr>
                    <w:spacing w:line="240" w:lineRule="exact"/>
                    <w:jc w:val="center"/>
                    <w:rPr>
                      <w:color w:val="auto"/>
                      <w:szCs w:val="21"/>
                    </w:rPr>
                  </w:pPr>
                  <w:r>
                    <w:rPr>
                      <w:color w:val="auto"/>
                      <w:szCs w:val="21"/>
                    </w:rPr>
                    <w:t>玻璃钢夹砂管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容量（g/c</w:t>
                  </w:r>
                  <w:r>
                    <w:rPr>
                      <w:rFonts w:hint="eastAsia"/>
                      <w:color w:val="auto"/>
                      <w:szCs w:val="21"/>
                      <w:lang w:eastAsia="zh-CN"/>
                    </w:rPr>
                    <w:t>m³</w:t>
                  </w:r>
                  <w:r>
                    <w:rPr>
                      <w:color w:val="auto"/>
                      <w:szCs w:val="21"/>
                    </w:rPr>
                    <w:t>）</w:t>
                  </w:r>
                </w:p>
              </w:tc>
              <w:tc>
                <w:tcPr>
                  <w:tcW w:w="1729" w:type="dxa"/>
                  <w:tcMar>
                    <w:left w:w="17" w:type="dxa"/>
                    <w:right w:w="17" w:type="dxa"/>
                  </w:tcMar>
                  <w:vAlign w:val="center"/>
                </w:tcPr>
                <w:p>
                  <w:pPr>
                    <w:spacing w:line="240" w:lineRule="exact"/>
                    <w:jc w:val="center"/>
                    <w:rPr>
                      <w:color w:val="auto"/>
                      <w:szCs w:val="21"/>
                    </w:rPr>
                  </w:pPr>
                  <w:r>
                    <w:rPr>
                      <w:color w:val="auto"/>
                      <w:szCs w:val="21"/>
                    </w:rPr>
                    <w:t>7.85</w:t>
                  </w:r>
                </w:p>
              </w:tc>
              <w:tc>
                <w:tcPr>
                  <w:tcW w:w="1728" w:type="dxa"/>
                  <w:tcMar>
                    <w:left w:w="17" w:type="dxa"/>
                    <w:right w:w="17" w:type="dxa"/>
                  </w:tcMar>
                  <w:vAlign w:val="center"/>
                </w:tcPr>
                <w:p>
                  <w:pPr>
                    <w:spacing w:line="240" w:lineRule="exact"/>
                    <w:jc w:val="center"/>
                    <w:rPr>
                      <w:color w:val="auto"/>
                      <w:szCs w:val="21"/>
                    </w:rPr>
                  </w:pPr>
                  <w:r>
                    <w:rPr>
                      <w:color w:val="auto"/>
                      <w:szCs w:val="21"/>
                    </w:rPr>
                    <w:t>7.2</w:t>
                  </w:r>
                </w:p>
              </w:tc>
              <w:tc>
                <w:tcPr>
                  <w:tcW w:w="1728" w:type="dxa"/>
                  <w:tcMar>
                    <w:left w:w="17" w:type="dxa"/>
                    <w:right w:w="17" w:type="dxa"/>
                  </w:tcMar>
                  <w:vAlign w:val="center"/>
                </w:tcPr>
                <w:p>
                  <w:pPr>
                    <w:spacing w:line="240" w:lineRule="exact"/>
                    <w:jc w:val="center"/>
                    <w:rPr>
                      <w:color w:val="auto"/>
                      <w:szCs w:val="21"/>
                    </w:rPr>
                  </w:pPr>
                  <w:r>
                    <w:rPr>
                      <w:color w:val="auto"/>
                      <w:szCs w:val="21"/>
                    </w:rPr>
                    <w:t>2.5</w:t>
                  </w:r>
                </w:p>
              </w:tc>
              <w:tc>
                <w:tcPr>
                  <w:tcW w:w="1463" w:type="dxa"/>
                  <w:tcMar>
                    <w:left w:w="17" w:type="dxa"/>
                    <w:right w:w="17" w:type="dxa"/>
                  </w:tcMar>
                  <w:vAlign w:val="center"/>
                </w:tcPr>
                <w:p>
                  <w:pPr>
                    <w:spacing w:line="240" w:lineRule="exact"/>
                    <w:jc w:val="center"/>
                    <w:rPr>
                      <w:color w:val="auto"/>
                      <w:szCs w:val="21"/>
                    </w:rPr>
                  </w:pPr>
                  <w:r>
                    <w:rPr>
                      <w:color w:val="auto"/>
                      <w:szCs w:val="21"/>
                    </w:rPr>
                    <w:t>1.6-2.0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抗拉强度（Mpa）</w:t>
                  </w:r>
                </w:p>
              </w:tc>
              <w:tc>
                <w:tcPr>
                  <w:tcW w:w="1729" w:type="dxa"/>
                  <w:tcMar>
                    <w:left w:w="17" w:type="dxa"/>
                    <w:right w:w="17" w:type="dxa"/>
                  </w:tcMar>
                  <w:vAlign w:val="center"/>
                </w:tcPr>
                <w:p>
                  <w:pPr>
                    <w:spacing w:line="240" w:lineRule="exact"/>
                    <w:jc w:val="center"/>
                    <w:rPr>
                      <w:color w:val="auto"/>
                      <w:szCs w:val="21"/>
                    </w:rPr>
                  </w:pPr>
                  <w:r>
                    <w:rPr>
                      <w:color w:val="auto"/>
                      <w:szCs w:val="21"/>
                    </w:rPr>
                    <w:t>325-460</w:t>
                  </w:r>
                </w:p>
              </w:tc>
              <w:tc>
                <w:tcPr>
                  <w:tcW w:w="1728" w:type="dxa"/>
                  <w:tcMar>
                    <w:left w:w="17" w:type="dxa"/>
                    <w:right w:w="17" w:type="dxa"/>
                  </w:tcMar>
                  <w:vAlign w:val="center"/>
                </w:tcPr>
                <w:p>
                  <w:pPr>
                    <w:spacing w:line="240" w:lineRule="exact"/>
                    <w:jc w:val="center"/>
                    <w:rPr>
                      <w:color w:val="auto"/>
                      <w:szCs w:val="21"/>
                    </w:rPr>
                  </w:pPr>
                  <w:r>
                    <w:rPr>
                      <w:color w:val="auto"/>
                      <w:szCs w:val="21"/>
                    </w:rPr>
                    <w:t>≥420</w:t>
                  </w:r>
                </w:p>
              </w:tc>
              <w:tc>
                <w:tcPr>
                  <w:tcW w:w="1728" w:type="dxa"/>
                  <w:tcMar>
                    <w:left w:w="17" w:type="dxa"/>
                    <w:right w:w="17" w:type="dxa"/>
                  </w:tcMar>
                  <w:vAlign w:val="center"/>
                </w:tcPr>
                <w:p>
                  <w:pPr>
                    <w:spacing w:line="240" w:lineRule="exact"/>
                    <w:jc w:val="center"/>
                    <w:rPr>
                      <w:color w:val="auto"/>
                      <w:szCs w:val="21"/>
                    </w:rPr>
                  </w:pPr>
                  <w:r>
                    <w:rPr>
                      <w:color w:val="auto"/>
                      <w:szCs w:val="21"/>
                    </w:rPr>
                    <w:t>30</w:t>
                  </w:r>
                </w:p>
              </w:tc>
              <w:tc>
                <w:tcPr>
                  <w:tcW w:w="1463" w:type="dxa"/>
                  <w:tcMar>
                    <w:left w:w="17" w:type="dxa"/>
                    <w:right w:w="17" w:type="dxa"/>
                  </w:tcMar>
                  <w:vAlign w:val="center"/>
                </w:tcPr>
                <w:p>
                  <w:pPr>
                    <w:spacing w:line="240" w:lineRule="exact"/>
                    <w:jc w:val="center"/>
                    <w:rPr>
                      <w:color w:val="auto"/>
                      <w:szCs w:val="21"/>
                    </w:rPr>
                  </w:pPr>
                  <w:r>
                    <w:rPr>
                      <w:color w:val="auto"/>
                      <w:szCs w:val="21"/>
                    </w:rPr>
                    <w:t>160-300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屈服强度（Mpa）</w:t>
                  </w:r>
                </w:p>
              </w:tc>
              <w:tc>
                <w:tcPr>
                  <w:tcW w:w="1729" w:type="dxa"/>
                  <w:tcMar>
                    <w:left w:w="17" w:type="dxa"/>
                    <w:right w:w="17" w:type="dxa"/>
                  </w:tcMar>
                  <w:vAlign w:val="center"/>
                </w:tcPr>
                <w:p>
                  <w:pPr>
                    <w:spacing w:line="240" w:lineRule="exact"/>
                    <w:jc w:val="center"/>
                    <w:rPr>
                      <w:color w:val="auto"/>
                      <w:szCs w:val="21"/>
                    </w:rPr>
                  </w:pPr>
                  <w:r>
                    <w:rPr>
                      <w:color w:val="auto"/>
                      <w:szCs w:val="21"/>
                    </w:rPr>
                    <w:t>215-360</w:t>
                  </w:r>
                </w:p>
              </w:tc>
              <w:tc>
                <w:tcPr>
                  <w:tcW w:w="1728" w:type="dxa"/>
                  <w:tcMar>
                    <w:left w:w="17" w:type="dxa"/>
                    <w:right w:w="17" w:type="dxa"/>
                  </w:tcMar>
                  <w:vAlign w:val="center"/>
                </w:tcPr>
                <w:p>
                  <w:pPr>
                    <w:spacing w:line="240" w:lineRule="exact"/>
                    <w:jc w:val="center"/>
                    <w:rPr>
                      <w:color w:val="auto"/>
                      <w:szCs w:val="21"/>
                    </w:rPr>
                  </w:pPr>
                  <w:r>
                    <w:rPr>
                      <w:color w:val="auto"/>
                      <w:szCs w:val="21"/>
                    </w:rPr>
                    <w:t>≥300</w:t>
                  </w:r>
                </w:p>
              </w:tc>
              <w:tc>
                <w:tcPr>
                  <w:tcW w:w="1728" w:type="dxa"/>
                  <w:tcMar>
                    <w:left w:w="17" w:type="dxa"/>
                    <w:right w:w="17" w:type="dxa"/>
                  </w:tcMar>
                  <w:vAlign w:val="center"/>
                </w:tcPr>
                <w:p>
                  <w:pPr>
                    <w:spacing w:line="240" w:lineRule="exact"/>
                    <w:jc w:val="center"/>
                    <w:rPr>
                      <w:color w:val="auto"/>
                      <w:szCs w:val="21"/>
                    </w:rPr>
                  </w:pPr>
                  <w:r>
                    <w:rPr>
                      <w:color w:val="auto"/>
                      <w:szCs w:val="21"/>
                    </w:rPr>
                    <w:t>40</w:t>
                  </w:r>
                </w:p>
              </w:tc>
              <w:tc>
                <w:tcPr>
                  <w:tcW w:w="1463" w:type="dxa"/>
                  <w:tcMar>
                    <w:left w:w="17" w:type="dxa"/>
                    <w:right w:w="17" w:type="dxa"/>
                  </w:tcMar>
                  <w:vAlign w:val="center"/>
                </w:tcPr>
                <w:p>
                  <w:pPr>
                    <w:spacing w:line="240" w:lineRule="exact"/>
                    <w:jc w:val="center"/>
                    <w:rPr>
                      <w:color w:val="auto"/>
                      <w:szCs w:val="21"/>
                    </w:rPr>
                  </w:pPr>
                  <w:r>
                    <w:rPr>
                      <w:color w:val="auto"/>
                      <w:szCs w:val="21"/>
                    </w:rPr>
                    <w:t>120-180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延伸率</w:t>
                  </w:r>
                </w:p>
              </w:tc>
              <w:tc>
                <w:tcPr>
                  <w:tcW w:w="1729" w:type="dxa"/>
                  <w:tcMar>
                    <w:left w:w="17" w:type="dxa"/>
                    <w:right w:w="17" w:type="dxa"/>
                  </w:tcMar>
                  <w:vAlign w:val="center"/>
                </w:tcPr>
                <w:p>
                  <w:pPr>
                    <w:spacing w:line="240" w:lineRule="exact"/>
                    <w:jc w:val="center"/>
                    <w:rPr>
                      <w:color w:val="auto"/>
                      <w:szCs w:val="21"/>
                    </w:rPr>
                  </w:pPr>
                  <w:r>
                    <w:rPr>
                      <w:color w:val="auto"/>
                      <w:szCs w:val="21"/>
                    </w:rPr>
                    <w:t>≥15%</w:t>
                  </w:r>
                </w:p>
              </w:tc>
              <w:tc>
                <w:tcPr>
                  <w:tcW w:w="1728" w:type="dxa"/>
                  <w:tcMar>
                    <w:left w:w="17" w:type="dxa"/>
                    <w:right w:w="17" w:type="dxa"/>
                  </w:tcMar>
                  <w:vAlign w:val="center"/>
                </w:tcPr>
                <w:p>
                  <w:pPr>
                    <w:spacing w:line="240" w:lineRule="exact"/>
                    <w:jc w:val="center"/>
                    <w:rPr>
                      <w:color w:val="auto"/>
                      <w:szCs w:val="21"/>
                    </w:rPr>
                  </w:pPr>
                  <w:r>
                    <w:rPr>
                      <w:color w:val="auto"/>
                      <w:szCs w:val="21"/>
                    </w:rPr>
                    <w:t>≥10%</w:t>
                  </w:r>
                </w:p>
              </w:tc>
              <w:tc>
                <w:tcPr>
                  <w:tcW w:w="1728" w:type="dxa"/>
                  <w:tcMar>
                    <w:left w:w="17" w:type="dxa"/>
                    <w:right w:w="17" w:type="dxa"/>
                  </w:tcMar>
                  <w:vAlign w:val="center"/>
                </w:tcPr>
                <w:p>
                  <w:pPr>
                    <w:spacing w:line="240" w:lineRule="exact"/>
                    <w:jc w:val="center"/>
                    <w:rPr>
                      <w:color w:val="auto"/>
                      <w:szCs w:val="21"/>
                    </w:rPr>
                  </w:pPr>
                  <w:r>
                    <w:rPr>
                      <w:color w:val="auto"/>
                      <w:szCs w:val="21"/>
                    </w:rPr>
                    <w:t>1.2</w:t>
                  </w:r>
                </w:p>
              </w:tc>
              <w:tc>
                <w:tcPr>
                  <w:tcW w:w="1463" w:type="dxa"/>
                  <w:tcMar>
                    <w:left w:w="17" w:type="dxa"/>
                    <w:right w:w="17" w:type="dxa"/>
                  </w:tcMar>
                  <w:vAlign w:val="center"/>
                </w:tcPr>
                <w:p>
                  <w:pPr>
                    <w:spacing w:line="240" w:lineRule="exact"/>
                    <w:jc w:val="center"/>
                    <w:rPr>
                      <w:color w:val="auto"/>
                      <w:szCs w:val="21"/>
                    </w:rPr>
                  </w:pPr>
                  <w:r>
                    <w:rPr>
                      <w:color w:val="auto"/>
                      <w:szCs w:val="21"/>
                    </w:rPr>
                    <w:t>2-3%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冲击强度(J/cm</w:t>
                  </w:r>
                  <w:r>
                    <w:rPr>
                      <w:color w:val="auto"/>
                      <w:szCs w:val="21"/>
                      <w:vertAlign w:val="superscript"/>
                    </w:rPr>
                    <w:t>2</w:t>
                  </w:r>
                  <w:r>
                    <w:rPr>
                      <w:color w:val="auto"/>
                      <w:szCs w:val="21"/>
                    </w:rPr>
                    <w:t>)</w:t>
                  </w:r>
                </w:p>
              </w:tc>
              <w:tc>
                <w:tcPr>
                  <w:tcW w:w="1729" w:type="dxa"/>
                  <w:tcMar>
                    <w:left w:w="17" w:type="dxa"/>
                    <w:right w:w="17" w:type="dxa"/>
                  </w:tcMar>
                  <w:vAlign w:val="center"/>
                </w:tcPr>
                <w:p>
                  <w:pPr>
                    <w:spacing w:line="240" w:lineRule="exact"/>
                    <w:jc w:val="center"/>
                    <w:rPr>
                      <w:rFonts w:hint="eastAsia"/>
                      <w:color w:val="auto"/>
                      <w:szCs w:val="21"/>
                    </w:rPr>
                  </w:pPr>
                  <w:r>
                    <w:rPr>
                      <w:color w:val="auto"/>
                      <w:szCs w:val="21"/>
                    </w:rPr>
                    <w:t>—</w:t>
                  </w:r>
                </w:p>
              </w:tc>
              <w:tc>
                <w:tcPr>
                  <w:tcW w:w="1728" w:type="dxa"/>
                  <w:tcMar>
                    <w:left w:w="17" w:type="dxa"/>
                    <w:right w:w="17" w:type="dxa"/>
                  </w:tcMar>
                  <w:vAlign w:val="center"/>
                </w:tcPr>
                <w:p>
                  <w:pPr>
                    <w:spacing w:line="240" w:lineRule="exact"/>
                    <w:jc w:val="center"/>
                    <w:rPr>
                      <w:rFonts w:hint="eastAsia"/>
                      <w:color w:val="auto"/>
                      <w:szCs w:val="21"/>
                    </w:rPr>
                  </w:pPr>
                  <w:r>
                    <w:rPr>
                      <w:color w:val="auto"/>
                      <w:szCs w:val="21"/>
                    </w:rPr>
                    <w:t>—</w:t>
                  </w:r>
                </w:p>
              </w:tc>
              <w:tc>
                <w:tcPr>
                  <w:tcW w:w="1728" w:type="dxa"/>
                  <w:tcMar>
                    <w:left w:w="17" w:type="dxa"/>
                    <w:right w:w="17" w:type="dxa"/>
                  </w:tcMar>
                  <w:vAlign w:val="center"/>
                </w:tcPr>
                <w:p>
                  <w:pPr>
                    <w:spacing w:line="240" w:lineRule="exact"/>
                    <w:jc w:val="center"/>
                    <w:rPr>
                      <w:rFonts w:hint="eastAsia"/>
                      <w:color w:val="auto"/>
                      <w:szCs w:val="21"/>
                    </w:rPr>
                  </w:pPr>
                  <w:r>
                    <w:rPr>
                      <w:color w:val="auto"/>
                      <w:szCs w:val="21"/>
                    </w:rPr>
                    <w:t>—</w:t>
                  </w:r>
                </w:p>
              </w:tc>
              <w:tc>
                <w:tcPr>
                  <w:tcW w:w="1463" w:type="dxa"/>
                  <w:tcMar>
                    <w:left w:w="17" w:type="dxa"/>
                    <w:right w:w="17" w:type="dxa"/>
                  </w:tcMar>
                  <w:vAlign w:val="center"/>
                </w:tcPr>
                <w:p>
                  <w:pPr>
                    <w:spacing w:line="240" w:lineRule="exact"/>
                    <w:jc w:val="center"/>
                    <w:rPr>
                      <w:color w:val="auto"/>
                      <w:szCs w:val="21"/>
                    </w:rPr>
                  </w:pPr>
                  <w:r>
                    <w:rPr>
                      <w:color w:val="auto"/>
                      <w:szCs w:val="21"/>
                    </w:rPr>
                    <w:t>2.6-3.8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线膨胀系数(×10</w:t>
                  </w:r>
                  <w:r>
                    <w:rPr>
                      <w:color w:val="auto"/>
                      <w:szCs w:val="21"/>
                      <w:vertAlign w:val="superscript"/>
                    </w:rPr>
                    <w:t>-6</w:t>
                  </w:r>
                  <w:r>
                    <w:rPr>
                      <w:color w:val="auto"/>
                      <w:szCs w:val="21"/>
                    </w:rPr>
                    <w:t>m/m·ºC)</w:t>
                  </w:r>
                </w:p>
              </w:tc>
              <w:tc>
                <w:tcPr>
                  <w:tcW w:w="1729" w:type="dxa"/>
                  <w:tcMar>
                    <w:left w:w="17" w:type="dxa"/>
                    <w:right w:w="17" w:type="dxa"/>
                  </w:tcMar>
                  <w:vAlign w:val="center"/>
                </w:tcPr>
                <w:p>
                  <w:pPr>
                    <w:spacing w:line="240" w:lineRule="exact"/>
                    <w:jc w:val="center"/>
                    <w:rPr>
                      <w:color w:val="auto"/>
                      <w:szCs w:val="21"/>
                    </w:rPr>
                  </w:pPr>
                  <w:r>
                    <w:rPr>
                      <w:color w:val="auto"/>
                      <w:szCs w:val="21"/>
                    </w:rPr>
                    <w:t>10.6-12</w:t>
                  </w:r>
                </w:p>
              </w:tc>
              <w:tc>
                <w:tcPr>
                  <w:tcW w:w="1728" w:type="dxa"/>
                  <w:tcMar>
                    <w:left w:w="17" w:type="dxa"/>
                    <w:right w:w="17" w:type="dxa"/>
                  </w:tcMar>
                  <w:vAlign w:val="center"/>
                </w:tcPr>
                <w:p>
                  <w:pPr>
                    <w:spacing w:line="240" w:lineRule="exact"/>
                    <w:jc w:val="center"/>
                    <w:rPr>
                      <w:color w:val="auto"/>
                      <w:szCs w:val="21"/>
                    </w:rPr>
                  </w:pPr>
                  <w:r>
                    <w:rPr>
                      <w:color w:val="auto"/>
                      <w:szCs w:val="21"/>
                    </w:rPr>
                    <w:t>8.7-11</w:t>
                  </w:r>
                </w:p>
              </w:tc>
              <w:tc>
                <w:tcPr>
                  <w:tcW w:w="1728" w:type="dxa"/>
                  <w:tcMar>
                    <w:left w:w="17" w:type="dxa"/>
                    <w:right w:w="17" w:type="dxa"/>
                  </w:tcMar>
                  <w:vAlign w:val="center"/>
                </w:tcPr>
                <w:p>
                  <w:pPr>
                    <w:spacing w:line="240" w:lineRule="exact"/>
                    <w:jc w:val="center"/>
                    <w:rPr>
                      <w:color w:val="auto"/>
                      <w:szCs w:val="21"/>
                    </w:rPr>
                  </w:pPr>
                  <w:r>
                    <w:rPr>
                      <w:color w:val="auto"/>
                      <w:szCs w:val="21"/>
                    </w:rPr>
                    <w:t>10-14</w:t>
                  </w:r>
                </w:p>
              </w:tc>
              <w:tc>
                <w:tcPr>
                  <w:tcW w:w="1463" w:type="dxa"/>
                  <w:tcMar>
                    <w:left w:w="17" w:type="dxa"/>
                    <w:right w:w="17" w:type="dxa"/>
                  </w:tcMar>
                  <w:vAlign w:val="center"/>
                </w:tcPr>
                <w:p>
                  <w:pPr>
                    <w:spacing w:line="240" w:lineRule="exact"/>
                    <w:jc w:val="center"/>
                    <w:rPr>
                      <w:color w:val="auto"/>
                      <w:szCs w:val="21"/>
                    </w:rPr>
                  </w:pPr>
                  <w:r>
                    <w:rPr>
                      <w:color w:val="auto"/>
                      <w:szCs w:val="21"/>
                    </w:rPr>
                    <w:t>10.7-15</w:t>
                  </w:r>
                </w:p>
              </w:tc>
            </w:tr>
          </w:tbl>
          <w:p>
            <w:pPr>
              <w:adjustRightInd w:val="0"/>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3</w:t>
            </w:r>
            <w:r>
              <w:rPr>
                <w:rFonts w:hint="eastAsia"/>
                <w:b/>
                <w:color w:val="auto"/>
                <w:szCs w:val="21"/>
              </w:rPr>
              <w:t xml:space="preserve">  输水管材</w:t>
            </w:r>
            <w:r>
              <w:rPr>
                <w:rFonts w:hint="eastAsia"/>
                <w:b/>
                <w:bCs/>
                <w:color w:val="auto"/>
                <w:szCs w:val="21"/>
              </w:rPr>
              <w:t>工程</w:t>
            </w:r>
            <w:r>
              <w:rPr>
                <w:b/>
                <w:bCs/>
                <w:color w:val="auto"/>
                <w:szCs w:val="21"/>
              </w:rPr>
              <w:t>特性比较表</w:t>
            </w:r>
          </w:p>
          <w:tbl>
            <w:tblPr>
              <w:tblStyle w:val="15"/>
              <w:tblW w:w="83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1"/>
              <w:gridCol w:w="1729"/>
              <w:gridCol w:w="1728"/>
              <w:gridCol w:w="1728"/>
              <w:gridCol w:w="14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Borders>
                    <w:tl2br w:val="single" w:color="auto" w:sz="4" w:space="0"/>
                  </w:tcBorders>
                  <w:tcMar>
                    <w:left w:w="17" w:type="dxa"/>
                    <w:right w:w="17" w:type="dxa"/>
                  </w:tcMar>
                  <w:vAlign w:val="center"/>
                </w:tcPr>
                <w:p>
                  <w:pPr>
                    <w:spacing w:line="240" w:lineRule="exact"/>
                    <w:jc w:val="center"/>
                    <w:rPr>
                      <w:color w:val="auto"/>
                      <w:sz w:val="18"/>
                      <w:szCs w:val="18"/>
                    </w:rPr>
                  </w:pPr>
                  <w:r>
                    <w:rPr>
                      <w:color w:val="auto"/>
                      <w:szCs w:val="21"/>
                    </w:rPr>
                    <w:t xml:space="preserve">           种类</w:t>
                  </w:r>
                </w:p>
                <w:p>
                  <w:pPr>
                    <w:spacing w:line="240" w:lineRule="exact"/>
                    <w:rPr>
                      <w:color w:val="auto"/>
                      <w:sz w:val="18"/>
                      <w:szCs w:val="18"/>
                    </w:rPr>
                  </w:pPr>
                  <w:r>
                    <w:rPr>
                      <w:color w:val="auto"/>
                      <w:szCs w:val="21"/>
                    </w:rPr>
                    <w:t>项目</w:t>
                  </w:r>
                </w:p>
              </w:tc>
              <w:tc>
                <w:tcPr>
                  <w:tcW w:w="1729" w:type="dxa"/>
                  <w:tcMar>
                    <w:left w:w="17" w:type="dxa"/>
                    <w:right w:w="17" w:type="dxa"/>
                  </w:tcMar>
                  <w:vAlign w:val="center"/>
                </w:tcPr>
                <w:p>
                  <w:pPr>
                    <w:spacing w:line="240" w:lineRule="exact"/>
                    <w:jc w:val="center"/>
                    <w:rPr>
                      <w:color w:val="auto"/>
                      <w:szCs w:val="21"/>
                    </w:rPr>
                  </w:pPr>
                  <w:r>
                    <w:rPr>
                      <w:color w:val="auto"/>
                      <w:szCs w:val="21"/>
                    </w:rPr>
                    <w:t>涂塑复合钢管</w:t>
                  </w:r>
                </w:p>
              </w:tc>
              <w:tc>
                <w:tcPr>
                  <w:tcW w:w="1728" w:type="dxa"/>
                  <w:tcMar>
                    <w:left w:w="17" w:type="dxa"/>
                    <w:right w:w="17" w:type="dxa"/>
                  </w:tcMar>
                  <w:vAlign w:val="center"/>
                </w:tcPr>
                <w:p>
                  <w:pPr>
                    <w:spacing w:line="240" w:lineRule="exact"/>
                    <w:jc w:val="center"/>
                    <w:rPr>
                      <w:color w:val="auto"/>
                      <w:szCs w:val="21"/>
                    </w:rPr>
                  </w:pPr>
                  <w:r>
                    <w:rPr>
                      <w:color w:val="auto"/>
                      <w:szCs w:val="21"/>
                    </w:rPr>
                    <w:t>球墨铸铁管</w:t>
                  </w:r>
                </w:p>
              </w:tc>
              <w:tc>
                <w:tcPr>
                  <w:tcW w:w="1728" w:type="dxa"/>
                  <w:tcMar>
                    <w:left w:w="17" w:type="dxa"/>
                    <w:right w:w="17" w:type="dxa"/>
                  </w:tcMar>
                  <w:vAlign w:val="center"/>
                </w:tcPr>
                <w:p>
                  <w:pPr>
                    <w:spacing w:line="240" w:lineRule="exact"/>
                    <w:jc w:val="center"/>
                    <w:rPr>
                      <w:color w:val="auto"/>
                      <w:szCs w:val="21"/>
                    </w:rPr>
                  </w:pPr>
                  <w:r>
                    <w:rPr>
                      <w:color w:val="auto"/>
                      <w:szCs w:val="21"/>
                    </w:rPr>
                    <w:t>钢筒混凝土管</w:t>
                  </w:r>
                </w:p>
              </w:tc>
              <w:tc>
                <w:tcPr>
                  <w:tcW w:w="1463" w:type="dxa"/>
                  <w:tcMar>
                    <w:left w:w="17" w:type="dxa"/>
                    <w:right w:w="17" w:type="dxa"/>
                  </w:tcMar>
                  <w:vAlign w:val="center"/>
                </w:tcPr>
                <w:p>
                  <w:pPr>
                    <w:spacing w:line="240" w:lineRule="exact"/>
                    <w:jc w:val="center"/>
                    <w:rPr>
                      <w:color w:val="auto"/>
                      <w:szCs w:val="21"/>
                    </w:rPr>
                  </w:pPr>
                  <w:r>
                    <w:rPr>
                      <w:color w:val="auto"/>
                      <w:szCs w:val="21"/>
                    </w:rPr>
                    <w:t>玻璃钢夹砂管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粗糙系数</w:t>
                  </w:r>
                </w:p>
              </w:tc>
              <w:tc>
                <w:tcPr>
                  <w:tcW w:w="1729" w:type="dxa"/>
                  <w:tcMar>
                    <w:left w:w="17" w:type="dxa"/>
                    <w:right w:w="17" w:type="dxa"/>
                  </w:tcMar>
                  <w:vAlign w:val="center"/>
                </w:tcPr>
                <w:p>
                  <w:pPr>
                    <w:spacing w:line="240" w:lineRule="exact"/>
                    <w:jc w:val="center"/>
                    <w:rPr>
                      <w:color w:val="auto"/>
                      <w:szCs w:val="21"/>
                    </w:rPr>
                  </w:pPr>
                  <w:r>
                    <w:rPr>
                      <w:color w:val="auto"/>
                      <w:szCs w:val="21"/>
                    </w:rPr>
                    <w:t>按内壁涂PE考虑</w:t>
                  </w:r>
                </w:p>
                <w:p>
                  <w:pPr>
                    <w:spacing w:line="240" w:lineRule="exact"/>
                    <w:jc w:val="center"/>
                    <w:rPr>
                      <w:color w:val="auto"/>
                      <w:szCs w:val="21"/>
                    </w:rPr>
                  </w:pPr>
                  <w:r>
                    <w:rPr>
                      <w:color w:val="auto"/>
                      <w:szCs w:val="21"/>
                    </w:rPr>
                    <w:t>n=0.009</w:t>
                  </w:r>
                </w:p>
              </w:tc>
              <w:tc>
                <w:tcPr>
                  <w:tcW w:w="1728" w:type="dxa"/>
                  <w:tcMar>
                    <w:left w:w="17" w:type="dxa"/>
                    <w:right w:w="17" w:type="dxa"/>
                  </w:tcMar>
                  <w:vAlign w:val="center"/>
                </w:tcPr>
                <w:p>
                  <w:pPr>
                    <w:spacing w:line="240" w:lineRule="exact"/>
                    <w:jc w:val="center"/>
                    <w:rPr>
                      <w:color w:val="auto"/>
                      <w:szCs w:val="21"/>
                    </w:rPr>
                  </w:pPr>
                  <w:r>
                    <w:rPr>
                      <w:color w:val="auto"/>
                      <w:szCs w:val="21"/>
                    </w:rPr>
                    <w:t>n=0.012</w:t>
                  </w:r>
                </w:p>
              </w:tc>
              <w:tc>
                <w:tcPr>
                  <w:tcW w:w="1728" w:type="dxa"/>
                  <w:tcMar>
                    <w:left w:w="17" w:type="dxa"/>
                    <w:right w:w="17" w:type="dxa"/>
                  </w:tcMar>
                  <w:vAlign w:val="center"/>
                </w:tcPr>
                <w:p>
                  <w:pPr>
                    <w:spacing w:line="240" w:lineRule="exact"/>
                    <w:jc w:val="center"/>
                    <w:rPr>
                      <w:color w:val="auto"/>
                      <w:szCs w:val="21"/>
                    </w:rPr>
                  </w:pPr>
                  <w:r>
                    <w:rPr>
                      <w:color w:val="auto"/>
                      <w:szCs w:val="21"/>
                    </w:rPr>
                    <w:t>n=0.013</w:t>
                  </w:r>
                </w:p>
              </w:tc>
              <w:tc>
                <w:tcPr>
                  <w:tcW w:w="1463" w:type="dxa"/>
                  <w:tcMar>
                    <w:left w:w="17" w:type="dxa"/>
                    <w:right w:w="17" w:type="dxa"/>
                  </w:tcMar>
                  <w:vAlign w:val="center"/>
                </w:tcPr>
                <w:p>
                  <w:pPr>
                    <w:spacing w:line="240" w:lineRule="exact"/>
                    <w:jc w:val="center"/>
                    <w:rPr>
                      <w:color w:val="auto"/>
                      <w:szCs w:val="21"/>
                    </w:rPr>
                  </w:pPr>
                  <w:r>
                    <w:rPr>
                      <w:color w:val="auto"/>
                      <w:szCs w:val="21"/>
                    </w:rPr>
                    <w:t>n=0.008</w:t>
                  </w:r>
                  <w:r>
                    <w:rPr>
                      <w:rFonts w:hint="eastAsia"/>
                      <w:color w:val="auto"/>
                      <w:szCs w:val="21"/>
                    </w:rPr>
                    <w:t>~</w:t>
                  </w:r>
                  <w:r>
                    <w:rPr>
                      <w:color w:val="auto"/>
                      <w:szCs w:val="21"/>
                    </w:rPr>
                    <w:t>0.009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承压能力</w:t>
                  </w:r>
                </w:p>
              </w:tc>
              <w:tc>
                <w:tcPr>
                  <w:tcW w:w="1729" w:type="dxa"/>
                  <w:tcMar>
                    <w:left w:w="17" w:type="dxa"/>
                    <w:right w:w="17" w:type="dxa"/>
                  </w:tcMar>
                  <w:vAlign w:val="center"/>
                </w:tcPr>
                <w:p>
                  <w:pPr>
                    <w:spacing w:line="240" w:lineRule="exact"/>
                    <w:jc w:val="center"/>
                    <w:rPr>
                      <w:color w:val="auto"/>
                      <w:szCs w:val="21"/>
                    </w:rPr>
                  </w:pPr>
                  <w:r>
                    <w:rPr>
                      <w:color w:val="auto"/>
                      <w:szCs w:val="21"/>
                    </w:rPr>
                    <w:t>高</w:t>
                  </w:r>
                </w:p>
              </w:tc>
              <w:tc>
                <w:tcPr>
                  <w:tcW w:w="1728" w:type="dxa"/>
                  <w:tcMar>
                    <w:left w:w="17" w:type="dxa"/>
                    <w:right w:w="17" w:type="dxa"/>
                  </w:tcMar>
                  <w:vAlign w:val="center"/>
                </w:tcPr>
                <w:p>
                  <w:pPr>
                    <w:spacing w:line="240" w:lineRule="exact"/>
                    <w:jc w:val="center"/>
                    <w:rPr>
                      <w:color w:val="auto"/>
                      <w:szCs w:val="21"/>
                    </w:rPr>
                  </w:pPr>
                  <w:r>
                    <w:rPr>
                      <w:color w:val="auto"/>
                      <w:szCs w:val="21"/>
                    </w:rPr>
                    <w:t>高</w:t>
                  </w:r>
                </w:p>
              </w:tc>
              <w:tc>
                <w:tcPr>
                  <w:tcW w:w="1728" w:type="dxa"/>
                  <w:tcMar>
                    <w:left w:w="17" w:type="dxa"/>
                    <w:right w:w="17" w:type="dxa"/>
                  </w:tcMar>
                  <w:vAlign w:val="center"/>
                </w:tcPr>
                <w:p>
                  <w:pPr>
                    <w:spacing w:line="240" w:lineRule="exact"/>
                    <w:jc w:val="center"/>
                    <w:rPr>
                      <w:color w:val="auto"/>
                      <w:szCs w:val="21"/>
                    </w:rPr>
                  </w:pPr>
                  <w:r>
                    <w:rPr>
                      <w:color w:val="auto"/>
                      <w:szCs w:val="21"/>
                    </w:rPr>
                    <w:t>较高</w:t>
                  </w:r>
                </w:p>
              </w:tc>
              <w:tc>
                <w:tcPr>
                  <w:tcW w:w="1463" w:type="dxa"/>
                  <w:tcMar>
                    <w:left w:w="17" w:type="dxa"/>
                    <w:right w:w="17" w:type="dxa"/>
                  </w:tcMar>
                  <w:vAlign w:val="center"/>
                </w:tcPr>
                <w:p>
                  <w:pPr>
                    <w:spacing w:line="240" w:lineRule="exact"/>
                    <w:jc w:val="center"/>
                    <w:rPr>
                      <w:color w:val="auto"/>
                      <w:szCs w:val="21"/>
                    </w:rPr>
                  </w:pPr>
                  <w:r>
                    <w:rPr>
                      <w:color w:val="auto"/>
                      <w:szCs w:val="21"/>
                    </w:rPr>
                    <w:t>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单位重量</w:t>
                  </w:r>
                </w:p>
              </w:tc>
              <w:tc>
                <w:tcPr>
                  <w:tcW w:w="1729" w:type="dxa"/>
                  <w:tcMar>
                    <w:left w:w="17" w:type="dxa"/>
                    <w:right w:w="17" w:type="dxa"/>
                  </w:tcMar>
                  <w:vAlign w:val="center"/>
                </w:tcPr>
                <w:p>
                  <w:pPr>
                    <w:spacing w:line="240" w:lineRule="exact"/>
                    <w:jc w:val="center"/>
                    <w:rPr>
                      <w:color w:val="auto"/>
                      <w:szCs w:val="21"/>
                    </w:rPr>
                  </w:pPr>
                  <w:r>
                    <w:rPr>
                      <w:color w:val="auto"/>
                      <w:szCs w:val="21"/>
                    </w:rPr>
                    <w:t>2.5</w:t>
                  </w:r>
                  <w:r>
                    <w:rPr>
                      <w:rFonts w:hint="eastAsia"/>
                      <w:color w:val="auto"/>
                      <w:szCs w:val="21"/>
                    </w:rPr>
                    <w:t>~</w:t>
                  </w:r>
                  <w:r>
                    <w:rPr>
                      <w:color w:val="auto"/>
                      <w:szCs w:val="21"/>
                    </w:rPr>
                    <w:t>3.3</w:t>
                  </w:r>
                </w:p>
              </w:tc>
              <w:tc>
                <w:tcPr>
                  <w:tcW w:w="1728" w:type="dxa"/>
                  <w:tcMar>
                    <w:left w:w="17" w:type="dxa"/>
                    <w:right w:w="17" w:type="dxa"/>
                  </w:tcMar>
                  <w:vAlign w:val="center"/>
                </w:tcPr>
                <w:p>
                  <w:pPr>
                    <w:spacing w:line="240" w:lineRule="exact"/>
                    <w:jc w:val="center"/>
                    <w:rPr>
                      <w:color w:val="auto"/>
                      <w:szCs w:val="21"/>
                    </w:rPr>
                  </w:pPr>
                  <w:r>
                    <w:rPr>
                      <w:color w:val="auto"/>
                      <w:szCs w:val="21"/>
                    </w:rPr>
                    <w:t>3.3</w:t>
                  </w:r>
                  <w:r>
                    <w:rPr>
                      <w:rFonts w:hint="eastAsia"/>
                      <w:color w:val="auto"/>
                      <w:szCs w:val="21"/>
                    </w:rPr>
                    <w:t>~</w:t>
                  </w:r>
                  <w:r>
                    <w:rPr>
                      <w:color w:val="auto"/>
                      <w:szCs w:val="21"/>
                    </w:rPr>
                    <w:t>4</w:t>
                  </w:r>
                </w:p>
              </w:tc>
              <w:tc>
                <w:tcPr>
                  <w:tcW w:w="1728" w:type="dxa"/>
                  <w:tcMar>
                    <w:left w:w="17" w:type="dxa"/>
                    <w:right w:w="17" w:type="dxa"/>
                  </w:tcMar>
                  <w:vAlign w:val="center"/>
                </w:tcPr>
                <w:p>
                  <w:pPr>
                    <w:spacing w:line="240" w:lineRule="exact"/>
                    <w:jc w:val="center"/>
                    <w:rPr>
                      <w:color w:val="auto"/>
                      <w:szCs w:val="21"/>
                    </w:rPr>
                  </w:pPr>
                  <w:r>
                    <w:rPr>
                      <w:color w:val="auto"/>
                      <w:szCs w:val="21"/>
                    </w:rPr>
                    <w:t>5</w:t>
                  </w:r>
                  <w:r>
                    <w:rPr>
                      <w:rFonts w:hint="eastAsia"/>
                      <w:color w:val="auto"/>
                      <w:szCs w:val="21"/>
                    </w:rPr>
                    <w:t>~</w:t>
                  </w:r>
                  <w:r>
                    <w:rPr>
                      <w:color w:val="auto"/>
                      <w:szCs w:val="21"/>
                    </w:rPr>
                    <w:t>6.7</w:t>
                  </w:r>
                </w:p>
              </w:tc>
              <w:tc>
                <w:tcPr>
                  <w:tcW w:w="1463" w:type="dxa"/>
                  <w:tcMar>
                    <w:left w:w="17" w:type="dxa"/>
                    <w:right w:w="17" w:type="dxa"/>
                  </w:tcMar>
                  <w:vAlign w:val="center"/>
                </w:tcPr>
                <w:p>
                  <w:pPr>
                    <w:spacing w:line="240" w:lineRule="exact"/>
                    <w:jc w:val="center"/>
                    <w:rPr>
                      <w:color w:val="auto"/>
                      <w:szCs w:val="21"/>
                    </w:rPr>
                  </w:pPr>
                  <w:r>
                    <w:rPr>
                      <w:color w:val="auto"/>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常用接口形式</w:t>
                  </w:r>
                </w:p>
              </w:tc>
              <w:tc>
                <w:tcPr>
                  <w:tcW w:w="1729" w:type="dxa"/>
                  <w:tcMar>
                    <w:left w:w="17" w:type="dxa"/>
                    <w:right w:w="17" w:type="dxa"/>
                  </w:tcMar>
                  <w:vAlign w:val="center"/>
                </w:tcPr>
                <w:p>
                  <w:pPr>
                    <w:spacing w:line="240" w:lineRule="exact"/>
                    <w:jc w:val="center"/>
                    <w:rPr>
                      <w:color w:val="auto"/>
                      <w:szCs w:val="21"/>
                    </w:rPr>
                  </w:pPr>
                  <w:r>
                    <w:rPr>
                      <w:color w:val="auto"/>
                      <w:szCs w:val="21"/>
                    </w:rPr>
                    <w:t>焊接</w:t>
                  </w:r>
                </w:p>
              </w:tc>
              <w:tc>
                <w:tcPr>
                  <w:tcW w:w="1728" w:type="dxa"/>
                  <w:tcMar>
                    <w:left w:w="17" w:type="dxa"/>
                    <w:right w:w="17" w:type="dxa"/>
                  </w:tcMar>
                  <w:vAlign w:val="center"/>
                </w:tcPr>
                <w:p>
                  <w:pPr>
                    <w:spacing w:line="240" w:lineRule="exact"/>
                    <w:jc w:val="center"/>
                    <w:rPr>
                      <w:color w:val="auto"/>
                      <w:szCs w:val="21"/>
                    </w:rPr>
                  </w:pPr>
                  <w:r>
                    <w:rPr>
                      <w:color w:val="auto"/>
                      <w:szCs w:val="21"/>
                    </w:rPr>
                    <w:t>橡胶圈</w:t>
                  </w:r>
                </w:p>
              </w:tc>
              <w:tc>
                <w:tcPr>
                  <w:tcW w:w="1728" w:type="dxa"/>
                  <w:tcMar>
                    <w:left w:w="17" w:type="dxa"/>
                    <w:right w:w="17" w:type="dxa"/>
                  </w:tcMar>
                  <w:vAlign w:val="center"/>
                </w:tcPr>
                <w:p>
                  <w:pPr>
                    <w:spacing w:line="240" w:lineRule="exact"/>
                    <w:jc w:val="center"/>
                    <w:rPr>
                      <w:color w:val="auto"/>
                      <w:szCs w:val="21"/>
                    </w:rPr>
                  </w:pPr>
                  <w:r>
                    <w:rPr>
                      <w:color w:val="auto"/>
                      <w:szCs w:val="21"/>
                    </w:rPr>
                    <w:t>橡胶圈</w:t>
                  </w:r>
                </w:p>
              </w:tc>
              <w:tc>
                <w:tcPr>
                  <w:tcW w:w="1463" w:type="dxa"/>
                  <w:tcMar>
                    <w:left w:w="17" w:type="dxa"/>
                    <w:right w:w="17" w:type="dxa"/>
                  </w:tcMar>
                  <w:vAlign w:val="center"/>
                </w:tcPr>
                <w:p>
                  <w:pPr>
                    <w:spacing w:line="240" w:lineRule="exact"/>
                    <w:jc w:val="center"/>
                    <w:rPr>
                      <w:color w:val="auto"/>
                      <w:szCs w:val="21"/>
                    </w:rPr>
                  </w:pPr>
                  <w:r>
                    <w:rPr>
                      <w:color w:val="auto"/>
                      <w:szCs w:val="21"/>
                    </w:rPr>
                    <w:t>橡胶圈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单管长度(m)</w:t>
                  </w:r>
                </w:p>
              </w:tc>
              <w:tc>
                <w:tcPr>
                  <w:tcW w:w="1729" w:type="dxa"/>
                  <w:tcMar>
                    <w:left w:w="17" w:type="dxa"/>
                    <w:right w:w="17" w:type="dxa"/>
                  </w:tcMar>
                  <w:vAlign w:val="center"/>
                </w:tcPr>
                <w:p>
                  <w:pPr>
                    <w:spacing w:line="240" w:lineRule="exact"/>
                    <w:jc w:val="center"/>
                    <w:rPr>
                      <w:color w:val="auto"/>
                      <w:szCs w:val="21"/>
                    </w:rPr>
                  </w:pPr>
                  <w:r>
                    <w:rPr>
                      <w:color w:val="auto"/>
                      <w:szCs w:val="21"/>
                    </w:rPr>
                    <w:t>≤9</w:t>
                  </w:r>
                </w:p>
              </w:tc>
              <w:tc>
                <w:tcPr>
                  <w:tcW w:w="1728" w:type="dxa"/>
                  <w:tcMar>
                    <w:left w:w="17" w:type="dxa"/>
                    <w:right w:w="17" w:type="dxa"/>
                  </w:tcMar>
                  <w:vAlign w:val="center"/>
                </w:tcPr>
                <w:p>
                  <w:pPr>
                    <w:spacing w:line="240" w:lineRule="exact"/>
                    <w:jc w:val="center"/>
                    <w:rPr>
                      <w:color w:val="auto"/>
                      <w:szCs w:val="21"/>
                    </w:rPr>
                  </w:pPr>
                  <w:r>
                    <w:rPr>
                      <w:color w:val="auto"/>
                      <w:szCs w:val="21"/>
                    </w:rPr>
                    <w:t>≤8</w:t>
                  </w:r>
                </w:p>
              </w:tc>
              <w:tc>
                <w:tcPr>
                  <w:tcW w:w="1728" w:type="dxa"/>
                  <w:tcMar>
                    <w:left w:w="17" w:type="dxa"/>
                    <w:right w:w="17" w:type="dxa"/>
                  </w:tcMar>
                  <w:vAlign w:val="center"/>
                </w:tcPr>
                <w:p>
                  <w:pPr>
                    <w:spacing w:line="240" w:lineRule="exact"/>
                    <w:jc w:val="center"/>
                    <w:rPr>
                      <w:color w:val="auto"/>
                      <w:szCs w:val="21"/>
                    </w:rPr>
                  </w:pPr>
                  <w:r>
                    <w:rPr>
                      <w:color w:val="auto"/>
                      <w:szCs w:val="21"/>
                    </w:rPr>
                    <w:t>≤5</w:t>
                  </w:r>
                </w:p>
              </w:tc>
              <w:tc>
                <w:tcPr>
                  <w:tcW w:w="1463" w:type="dxa"/>
                  <w:tcMar>
                    <w:left w:w="17" w:type="dxa"/>
                    <w:right w:w="17" w:type="dxa"/>
                  </w:tcMar>
                  <w:vAlign w:val="center"/>
                </w:tcPr>
                <w:p>
                  <w:pPr>
                    <w:spacing w:line="240" w:lineRule="exact"/>
                    <w:jc w:val="center"/>
                    <w:rPr>
                      <w:color w:val="auto"/>
                      <w:szCs w:val="21"/>
                    </w:rPr>
                  </w:pPr>
                  <w:r>
                    <w:rPr>
                      <w:color w:val="auto"/>
                      <w:szCs w:val="21"/>
                    </w:rPr>
                    <w:t>≤12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管材耐腐蚀性</w:t>
                  </w:r>
                </w:p>
              </w:tc>
              <w:tc>
                <w:tcPr>
                  <w:tcW w:w="1729" w:type="dxa"/>
                  <w:tcMar>
                    <w:left w:w="17" w:type="dxa"/>
                    <w:right w:w="17" w:type="dxa"/>
                  </w:tcMar>
                  <w:vAlign w:val="center"/>
                </w:tcPr>
                <w:p>
                  <w:pPr>
                    <w:spacing w:line="240" w:lineRule="exact"/>
                    <w:jc w:val="center"/>
                    <w:rPr>
                      <w:color w:val="auto"/>
                      <w:szCs w:val="21"/>
                    </w:rPr>
                  </w:pPr>
                  <w:r>
                    <w:rPr>
                      <w:color w:val="auto"/>
                      <w:szCs w:val="21"/>
                    </w:rPr>
                    <w:t>一般</w:t>
                  </w:r>
                </w:p>
              </w:tc>
              <w:tc>
                <w:tcPr>
                  <w:tcW w:w="1728" w:type="dxa"/>
                  <w:tcMar>
                    <w:left w:w="17" w:type="dxa"/>
                    <w:right w:w="17" w:type="dxa"/>
                  </w:tcMar>
                  <w:vAlign w:val="center"/>
                </w:tcPr>
                <w:p>
                  <w:pPr>
                    <w:spacing w:line="240" w:lineRule="exact"/>
                    <w:jc w:val="center"/>
                    <w:rPr>
                      <w:color w:val="auto"/>
                      <w:szCs w:val="21"/>
                    </w:rPr>
                  </w:pPr>
                  <w:r>
                    <w:rPr>
                      <w:color w:val="auto"/>
                      <w:szCs w:val="21"/>
                    </w:rPr>
                    <w:t>良</w:t>
                  </w:r>
                </w:p>
              </w:tc>
              <w:tc>
                <w:tcPr>
                  <w:tcW w:w="1728" w:type="dxa"/>
                  <w:tcMar>
                    <w:left w:w="17" w:type="dxa"/>
                    <w:right w:w="17" w:type="dxa"/>
                  </w:tcMar>
                  <w:vAlign w:val="center"/>
                </w:tcPr>
                <w:p>
                  <w:pPr>
                    <w:spacing w:line="240" w:lineRule="exact"/>
                    <w:jc w:val="center"/>
                    <w:rPr>
                      <w:color w:val="auto"/>
                      <w:szCs w:val="21"/>
                    </w:rPr>
                  </w:pPr>
                  <w:r>
                    <w:rPr>
                      <w:color w:val="auto"/>
                      <w:szCs w:val="21"/>
                    </w:rPr>
                    <w:t>差</w:t>
                  </w:r>
                </w:p>
              </w:tc>
              <w:tc>
                <w:tcPr>
                  <w:tcW w:w="1463" w:type="dxa"/>
                  <w:tcMar>
                    <w:left w:w="17" w:type="dxa"/>
                    <w:right w:w="17" w:type="dxa"/>
                  </w:tcMar>
                  <w:vAlign w:val="center"/>
                </w:tcPr>
                <w:p>
                  <w:pPr>
                    <w:spacing w:line="240" w:lineRule="exact"/>
                    <w:jc w:val="center"/>
                    <w:rPr>
                      <w:color w:val="auto"/>
                      <w:szCs w:val="21"/>
                    </w:rPr>
                  </w:pPr>
                  <w:r>
                    <w:rPr>
                      <w:color w:val="auto"/>
                      <w:szCs w:val="21"/>
                    </w:rPr>
                    <w:t>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对地基要求</w:t>
                  </w:r>
                </w:p>
              </w:tc>
              <w:tc>
                <w:tcPr>
                  <w:tcW w:w="1729" w:type="dxa"/>
                  <w:tcMar>
                    <w:left w:w="17" w:type="dxa"/>
                    <w:right w:w="17" w:type="dxa"/>
                  </w:tcMar>
                  <w:vAlign w:val="center"/>
                </w:tcPr>
                <w:p>
                  <w:pPr>
                    <w:spacing w:line="240" w:lineRule="exact"/>
                    <w:jc w:val="center"/>
                    <w:rPr>
                      <w:color w:val="auto"/>
                      <w:szCs w:val="21"/>
                    </w:rPr>
                  </w:pPr>
                  <w:r>
                    <w:rPr>
                      <w:color w:val="auto"/>
                      <w:szCs w:val="21"/>
                    </w:rPr>
                    <w:t>低</w:t>
                  </w:r>
                </w:p>
              </w:tc>
              <w:tc>
                <w:tcPr>
                  <w:tcW w:w="1728" w:type="dxa"/>
                  <w:tcMar>
                    <w:left w:w="17" w:type="dxa"/>
                    <w:right w:w="17" w:type="dxa"/>
                  </w:tcMar>
                  <w:vAlign w:val="center"/>
                </w:tcPr>
                <w:p>
                  <w:pPr>
                    <w:spacing w:line="240" w:lineRule="exact"/>
                    <w:jc w:val="center"/>
                    <w:rPr>
                      <w:color w:val="auto"/>
                      <w:szCs w:val="21"/>
                    </w:rPr>
                  </w:pPr>
                  <w:r>
                    <w:rPr>
                      <w:color w:val="auto"/>
                      <w:szCs w:val="21"/>
                    </w:rPr>
                    <w:t>较低</w:t>
                  </w:r>
                </w:p>
              </w:tc>
              <w:tc>
                <w:tcPr>
                  <w:tcW w:w="1728" w:type="dxa"/>
                  <w:tcMar>
                    <w:left w:w="17" w:type="dxa"/>
                    <w:right w:w="17" w:type="dxa"/>
                  </w:tcMar>
                  <w:vAlign w:val="center"/>
                </w:tcPr>
                <w:p>
                  <w:pPr>
                    <w:spacing w:line="240" w:lineRule="exact"/>
                    <w:jc w:val="center"/>
                    <w:rPr>
                      <w:color w:val="auto"/>
                      <w:szCs w:val="21"/>
                    </w:rPr>
                  </w:pPr>
                  <w:r>
                    <w:rPr>
                      <w:color w:val="auto"/>
                      <w:szCs w:val="21"/>
                    </w:rPr>
                    <w:t>较高</w:t>
                  </w:r>
                </w:p>
              </w:tc>
              <w:tc>
                <w:tcPr>
                  <w:tcW w:w="1463" w:type="dxa"/>
                  <w:tcMar>
                    <w:left w:w="17" w:type="dxa"/>
                    <w:right w:w="17" w:type="dxa"/>
                  </w:tcMar>
                  <w:vAlign w:val="center"/>
                </w:tcPr>
                <w:p>
                  <w:pPr>
                    <w:spacing w:line="240" w:lineRule="exact"/>
                    <w:jc w:val="center"/>
                    <w:rPr>
                      <w:color w:val="auto"/>
                      <w:szCs w:val="21"/>
                    </w:rPr>
                  </w:pPr>
                  <w:r>
                    <w:rPr>
                      <w:color w:val="auto"/>
                      <w:szCs w:val="21"/>
                    </w:rPr>
                    <w:t>较高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管材价格</w:t>
                  </w:r>
                </w:p>
              </w:tc>
              <w:tc>
                <w:tcPr>
                  <w:tcW w:w="1729" w:type="dxa"/>
                  <w:tcMar>
                    <w:left w:w="17" w:type="dxa"/>
                    <w:right w:w="17" w:type="dxa"/>
                  </w:tcMar>
                  <w:vAlign w:val="center"/>
                </w:tcPr>
                <w:p>
                  <w:pPr>
                    <w:spacing w:line="240" w:lineRule="exact"/>
                    <w:jc w:val="center"/>
                    <w:rPr>
                      <w:color w:val="auto"/>
                      <w:szCs w:val="21"/>
                    </w:rPr>
                  </w:pPr>
                  <w:r>
                    <w:rPr>
                      <w:color w:val="auto"/>
                      <w:szCs w:val="21"/>
                    </w:rPr>
                    <w:t>较低</w:t>
                  </w:r>
                </w:p>
              </w:tc>
              <w:tc>
                <w:tcPr>
                  <w:tcW w:w="1728" w:type="dxa"/>
                  <w:tcMar>
                    <w:left w:w="17" w:type="dxa"/>
                    <w:right w:w="17" w:type="dxa"/>
                  </w:tcMar>
                  <w:vAlign w:val="center"/>
                </w:tcPr>
                <w:p>
                  <w:pPr>
                    <w:spacing w:line="240" w:lineRule="exact"/>
                    <w:jc w:val="center"/>
                    <w:rPr>
                      <w:color w:val="auto"/>
                      <w:szCs w:val="21"/>
                    </w:rPr>
                  </w:pPr>
                  <w:r>
                    <w:rPr>
                      <w:color w:val="auto"/>
                      <w:szCs w:val="21"/>
                    </w:rPr>
                    <w:t>高</w:t>
                  </w:r>
                </w:p>
              </w:tc>
              <w:tc>
                <w:tcPr>
                  <w:tcW w:w="1728" w:type="dxa"/>
                  <w:tcMar>
                    <w:left w:w="17" w:type="dxa"/>
                    <w:right w:w="17" w:type="dxa"/>
                  </w:tcMar>
                  <w:vAlign w:val="center"/>
                </w:tcPr>
                <w:p>
                  <w:pPr>
                    <w:spacing w:line="240" w:lineRule="exact"/>
                    <w:jc w:val="center"/>
                    <w:rPr>
                      <w:color w:val="auto"/>
                      <w:szCs w:val="21"/>
                    </w:rPr>
                  </w:pPr>
                  <w:r>
                    <w:rPr>
                      <w:color w:val="auto"/>
                      <w:szCs w:val="21"/>
                    </w:rPr>
                    <w:t>低</w:t>
                  </w:r>
                </w:p>
              </w:tc>
              <w:tc>
                <w:tcPr>
                  <w:tcW w:w="1463" w:type="dxa"/>
                  <w:tcMar>
                    <w:left w:w="17" w:type="dxa"/>
                    <w:right w:w="17" w:type="dxa"/>
                  </w:tcMar>
                  <w:vAlign w:val="center"/>
                </w:tcPr>
                <w:p>
                  <w:pPr>
                    <w:spacing w:line="240" w:lineRule="exact"/>
                    <w:jc w:val="center"/>
                    <w:rPr>
                      <w:color w:val="auto"/>
                      <w:szCs w:val="21"/>
                    </w:rPr>
                  </w:pPr>
                  <w:r>
                    <w:rPr>
                      <w:color w:val="auto"/>
                      <w:szCs w:val="21"/>
                    </w:rPr>
                    <w:t>较低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31" w:type="dxa"/>
                  <w:tcMar>
                    <w:left w:w="17" w:type="dxa"/>
                    <w:right w:w="17" w:type="dxa"/>
                  </w:tcMar>
                  <w:vAlign w:val="center"/>
                </w:tcPr>
                <w:p>
                  <w:pPr>
                    <w:spacing w:line="240" w:lineRule="exact"/>
                    <w:jc w:val="center"/>
                    <w:rPr>
                      <w:color w:val="auto"/>
                      <w:szCs w:val="21"/>
                    </w:rPr>
                  </w:pPr>
                  <w:r>
                    <w:rPr>
                      <w:color w:val="auto"/>
                      <w:szCs w:val="21"/>
                    </w:rPr>
                    <w:t>使用寿命(年)</w:t>
                  </w:r>
                </w:p>
              </w:tc>
              <w:tc>
                <w:tcPr>
                  <w:tcW w:w="1729" w:type="dxa"/>
                  <w:tcMar>
                    <w:left w:w="17" w:type="dxa"/>
                    <w:right w:w="17" w:type="dxa"/>
                  </w:tcMar>
                  <w:vAlign w:val="center"/>
                </w:tcPr>
                <w:p>
                  <w:pPr>
                    <w:spacing w:line="240" w:lineRule="exact"/>
                    <w:jc w:val="center"/>
                    <w:rPr>
                      <w:color w:val="auto"/>
                      <w:szCs w:val="21"/>
                    </w:rPr>
                  </w:pPr>
                  <w:r>
                    <w:rPr>
                      <w:color w:val="auto"/>
                      <w:szCs w:val="21"/>
                    </w:rPr>
                    <w:t>50</w:t>
                  </w:r>
                </w:p>
              </w:tc>
              <w:tc>
                <w:tcPr>
                  <w:tcW w:w="1728" w:type="dxa"/>
                  <w:tcMar>
                    <w:left w:w="17" w:type="dxa"/>
                    <w:right w:w="17" w:type="dxa"/>
                  </w:tcMar>
                  <w:vAlign w:val="center"/>
                </w:tcPr>
                <w:p>
                  <w:pPr>
                    <w:spacing w:line="240" w:lineRule="exact"/>
                    <w:jc w:val="center"/>
                    <w:rPr>
                      <w:color w:val="auto"/>
                      <w:szCs w:val="21"/>
                    </w:rPr>
                  </w:pPr>
                  <w:r>
                    <w:rPr>
                      <w:color w:val="auto"/>
                      <w:szCs w:val="21"/>
                    </w:rPr>
                    <w:t>50</w:t>
                  </w:r>
                </w:p>
              </w:tc>
              <w:tc>
                <w:tcPr>
                  <w:tcW w:w="1728" w:type="dxa"/>
                  <w:tcMar>
                    <w:left w:w="17" w:type="dxa"/>
                    <w:right w:w="17" w:type="dxa"/>
                  </w:tcMar>
                  <w:vAlign w:val="center"/>
                </w:tcPr>
                <w:p>
                  <w:pPr>
                    <w:spacing w:line="240" w:lineRule="exact"/>
                    <w:jc w:val="center"/>
                    <w:rPr>
                      <w:color w:val="auto"/>
                      <w:szCs w:val="21"/>
                    </w:rPr>
                  </w:pPr>
                  <w:r>
                    <w:rPr>
                      <w:color w:val="auto"/>
                      <w:szCs w:val="21"/>
                    </w:rPr>
                    <w:t>50</w:t>
                  </w:r>
                </w:p>
              </w:tc>
              <w:tc>
                <w:tcPr>
                  <w:tcW w:w="1463" w:type="dxa"/>
                  <w:tcMar>
                    <w:left w:w="17" w:type="dxa"/>
                    <w:right w:w="17" w:type="dxa"/>
                  </w:tcMar>
                  <w:vAlign w:val="center"/>
                </w:tcPr>
                <w:p>
                  <w:pPr>
                    <w:spacing w:line="240" w:lineRule="exact"/>
                    <w:jc w:val="center"/>
                    <w:rPr>
                      <w:color w:val="auto"/>
                      <w:szCs w:val="21"/>
                    </w:rPr>
                  </w:pPr>
                  <w:r>
                    <w:rPr>
                      <w:color w:val="auto"/>
                      <w:szCs w:val="21"/>
                    </w:rPr>
                    <w:t>50</w:t>
                  </w:r>
                </w:p>
              </w:tc>
            </w:tr>
          </w:tbl>
          <w:p>
            <w:pPr>
              <w:adjustRightInd w:val="0"/>
              <w:spacing w:line="360" w:lineRule="auto"/>
              <w:ind w:firstLine="480" w:firstLineChars="200"/>
              <w:rPr>
                <w:rFonts w:hint="eastAsia"/>
                <w:color w:val="auto"/>
                <w:sz w:val="24"/>
              </w:rPr>
            </w:pPr>
            <w:r>
              <w:rPr>
                <w:color w:val="auto"/>
                <w:sz w:val="24"/>
              </w:rPr>
              <w:t>根据上述比较可知</w:t>
            </w:r>
            <w:r>
              <w:rPr>
                <w:rFonts w:hint="eastAsia"/>
                <w:color w:val="auto"/>
                <w:sz w:val="24"/>
              </w:rPr>
              <w:t>，</w:t>
            </w:r>
            <w:r>
              <w:rPr>
                <w:color w:val="auto"/>
                <w:sz w:val="24"/>
              </w:rPr>
              <w:t>采用涂塑复合钢管及加砂玻璃钢管节能效果最好，球墨铸铁管和预应力钢筋混凝土管采用衬里后水力条件相当。</w:t>
            </w:r>
          </w:p>
          <w:p>
            <w:pPr>
              <w:adjustRightInd w:val="0"/>
              <w:spacing w:line="360" w:lineRule="auto"/>
              <w:ind w:firstLine="480" w:firstLineChars="200"/>
              <w:rPr>
                <w:rFonts w:hint="eastAsia"/>
                <w:color w:val="auto"/>
                <w:sz w:val="24"/>
              </w:rPr>
            </w:pPr>
            <w:r>
              <w:rPr>
                <w:color w:val="auto"/>
                <w:sz w:val="24"/>
              </w:rPr>
              <w:t>针对本</w:t>
            </w:r>
            <w:r>
              <w:rPr>
                <w:rFonts w:hint="eastAsia"/>
                <w:color w:val="auto"/>
                <w:sz w:val="24"/>
              </w:rPr>
              <w:t>项目</w:t>
            </w:r>
            <w:r>
              <w:rPr>
                <w:color w:val="auto"/>
                <w:sz w:val="24"/>
              </w:rPr>
              <w:t>的特点，综合考虑地质条件、管道材料性能、接口性能，管道工作压力及安全性、本项目输水方案管线工程费用、市场管材供应情况、施工进度要求等因素，</w:t>
            </w:r>
            <w:r>
              <w:rPr>
                <w:rFonts w:hint="eastAsia"/>
                <w:color w:val="auto"/>
                <w:sz w:val="24"/>
              </w:rPr>
              <w:t>最终</w:t>
            </w:r>
            <w:r>
              <w:rPr>
                <w:color w:val="auto"/>
                <w:sz w:val="24"/>
              </w:rPr>
              <w:t>确定本项目输水管道管材采用球墨铸铁管，穿越河流及特殊地段采用钢管。</w:t>
            </w:r>
          </w:p>
          <w:p>
            <w:pPr>
              <w:adjustRightInd w:val="0"/>
              <w:spacing w:line="360" w:lineRule="auto"/>
              <w:ind w:firstLine="480" w:firstLineChars="200"/>
              <w:rPr>
                <w:rFonts w:hint="eastAsia"/>
                <w:color w:val="auto"/>
                <w:sz w:val="24"/>
              </w:rPr>
            </w:pPr>
            <w:r>
              <w:rPr>
                <w:rFonts w:hint="eastAsia"/>
                <w:color w:val="auto"/>
                <w:sz w:val="24"/>
              </w:rPr>
              <w:t>（4）管道埋设方案</w:t>
            </w:r>
          </w:p>
          <w:p>
            <w:pPr>
              <w:adjustRightInd w:val="0"/>
              <w:spacing w:line="360" w:lineRule="auto"/>
              <w:ind w:firstLine="480" w:firstLineChars="200"/>
              <w:rPr>
                <w:rFonts w:hint="eastAsia"/>
                <w:bCs/>
                <w:color w:val="auto"/>
                <w:sz w:val="24"/>
              </w:rPr>
            </w:pPr>
            <w:r>
              <w:rPr>
                <w:bCs/>
                <w:color w:val="auto"/>
                <w:sz w:val="24"/>
              </w:rPr>
              <w:t>《室外给水设计规范》</w:t>
            </w:r>
            <w:r>
              <w:rPr>
                <w:rFonts w:hint="eastAsia"/>
                <w:bCs/>
                <w:color w:val="auto"/>
                <w:sz w:val="24"/>
              </w:rPr>
              <w:t>（</w:t>
            </w:r>
            <w:r>
              <w:rPr>
                <w:bCs/>
                <w:color w:val="auto"/>
                <w:sz w:val="24"/>
              </w:rPr>
              <w:t>GB50013-2006</w:t>
            </w:r>
            <w:r>
              <w:rPr>
                <w:rFonts w:hint="eastAsia"/>
                <w:bCs/>
                <w:color w:val="auto"/>
                <w:sz w:val="24"/>
              </w:rPr>
              <w:t>）中</w:t>
            </w:r>
            <w:r>
              <w:rPr>
                <w:bCs/>
                <w:color w:val="auto"/>
                <w:sz w:val="24"/>
              </w:rPr>
              <w:t>规定：管道的埋设深度，应根据冰冻情况、外部荷载、管材性能、抗浮要求及与其它管道交叉等因素确定。根据本项目所处的具体地理位置和自然条件，考虑管道敷设后复耕，输水管线管顶覆土</w:t>
            </w:r>
            <w:r>
              <w:rPr>
                <w:rFonts w:hint="eastAsia"/>
                <w:bCs/>
                <w:color w:val="auto"/>
                <w:sz w:val="24"/>
              </w:rPr>
              <w:t>按</w:t>
            </w:r>
            <w:r>
              <w:rPr>
                <w:bCs/>
                <w:color w:val="auto"/>
                <w:sz w:val="24"/>
              </w:rPr>
              <w:t>1.5m考虑。</w:t>
            </w:r>
          </w:p>
          <w:p>
            <w:pPr>
              <w:adjustRightInd w:val="0"/>
              <w:spacing w:line="360" w:lineRule="auto"/>
              <w:ind w:firstLine="480" w:firstLineChars="200"/>
              <w:rPr>
                <w:rFonts w:hint="eastAsia"/>
                <w:bCs/>
                <w:color w:val="auto"/>
                <w:sz w:val="24"/>
              </w:rPr>
            </w:pPr>
            <w:r>
              <w:rPr>
                <w:rFonts w:hint="eastAsia"/>
                <w:color w:val="auto"/>
                <w:sz w:val="24"/>
              </w:rPr>
              <w:t>本项目管道管材采用球墨铸铁管。球墨铸铁管具有强度大、延伸率高、耐冲击、耐腐蚀、密封性好等优点；内壁采用水泥砂浆衬里，改善了管道输水环境、提高了供水能力、降低了能耗；管口采用柔性接口，且管材本身具有较大的延伸率，使管道的柔性较好，在埋地管道中能与管道周围的土体共同工作，改善管道的受力状态，从而提高了管网运行的可靠性。</w:t>
            </w:r>
          </w:p>
          <w:p>
            <w:pPr>
              <w:adjustRightInd w:val="0"/>
              <w:spacing w:line="360" w:lineRule="auto"/>
              <w:ind w:firstLine="480" w:firstLineChars="200"/>
              <w:rPr>
                <w:rFonts w:hint="eastAsia"/>
                <w:bCs/>
                <w:color w:val="auto"/>
                <w:sz w:val="24"/>
              </w:rPr>
            </w:pPr>
            <w:r>
              <w:rPr>
                <w:rFonts w:hint="eastAsia"/>
                <w:bCs/>
                <w:color w:val="auto"/>
                <w:sz w:val="24"/>
              </w:rPr>
              <w:t>球墨铸铁管埋设深度应根据冰冻程度、外部荷载与其它管道交叉等因素确定。在一般情况下，埋设深度可在冰冻线以下0.2m处，管顶最小埋深为0.7m（本项目管定覆土按</w:t>
            </w:r>
            <w:r>
              <w:rPr>
                <w:bCs/>
                <w:color w:val="auto"/>
                <w:sz w:val="24"/>
              </w:rPr>
              <w:t>1.5m考虑</w:t>
            </w:r>
            <w:r>
              <w:rPr>
                <w:rFonts w:hint="eastAsia"/>
                <w:bCs/>
                <w:color w:val="auto"/>
                <w:sz w:val="24"/>
              </w:rPr>
              <w:t>）；设计沟槽底宽一般为管外径加0.5m，并根据土质状况，确定开挖坡度。</w:t>
            </w:r>
          </w:p>
          <w:p>
            <w:pPr>
              <w:adjustRightInd w:val="0"/>
              <w:spacing w:line="360" w:lineRule="auto"/>
              <w:ind w:firstLine="480" w:firstLineChars="200"/>
              <w:rPr>
                <w:rFonts w:hint="eastAsia"/>
                <w:bCs/>
                <w:color w:val="auto"/>
                <w:sz w:val="24"/>
              </w:rPr>
            </w:pPr>
            <w:r>
              <w:rPr>
                <w:rFonts w:hint="eastAsia"/>
                <w:color w:val="auto"/>
                <w:sz w:val="24"/>
              </w:rPr>
              <w:t>球墨铸铁管的安装要求如下：施工前，对管材、管件、橡胶圈等做一次外观检查，发现有问题的均不能使用；管道安装一般采用滑入式“T”型接口，将插口插入承口，确认就位。</w:t>
            </w:r>
          </w:p>
          <w:p>
            <w:pPr>
              <w:adjustRightInd w:val="0"/>
              <w:spacing w:line="360" w:lineRule="auto"/>
              <w:ind w:firstLine="480" w:firstLineChars="200"/>
              <w:rPr>
                <w:rFonts w:hint="eastAsia"/>
                <w:color w:val="auto"/>
                <w:sz w:val="24"/>
              </w:rPr>
            </w:pPr>
            <w:r>
              <w:rPr>
                <w:rFonts w:hint="eastAsia"/>
                <w:color w:val="auto"/>
                <w:sz w:val="24"/>
              </w:rPr>
              <w:t>安装程序为：清理承口插口→清理胶圈→上胶圈→下管（排管）→在插口外表和胶圈上刷润滑剂→顶推管子使之插入承口→检查。</w:t>
            </w:r>
          </w:p>
          <w:p>
            <w:pPr>
              <w:adjustRightInd w:val="0"/>
              <w:spacing w:line="360" w:lineRule="auto"/>
              <w:ind w:firstLine="480" w:firstLineChars="200"/>
              <w:rPr>
                <w:rFonts w:hint="eastAsia"/>
                <w:color w:val="auto"/>
                <w:sz w:val="24"/>
              </w:rPr>
            </w:pPr>
            <w:r>
              <w:rPr>
                <w:rFonts w:hint="eastAsia"/>
                <w:color w:val="auto"/>
                <w:sz w:val="24"/>
              </w:rPr>
              <w:t>（5）管道设置情况</w:t>
            </w:r>
          </w:p>
          <w:p>
            <w:pPr>
              <w:adjustRightInd w:val="0"/>
              <w:spacing w:line="360" w:lineRule="auto"/>
              <w:ind w:firstLine="480" w:firstLineChars="200"/>
              <w:rPr>
                <w:rFonts w:hint="eastAsia"/>
                <w:color w:val="auto"/>
                <w:sz w:val="24"/>
              </w:rPr>
            </w:pPr>
            <w:r>
              <w:rPr>
                <w:rFonts w:hint="eastAsia"/>
                <w:color w:val="auto"/>
                <w:sz w:val="24"/>
              </w:rPr>
              <w:t>本项目配水管道设置情况见表</w:t>
            </w:r>
            <w:r>
              <w:rPr>
                <w:rFonts w:hint="eastAsia"/>
                <w:color w:val="auto"/>
                <w:sz w:val="24"/>
                <w:lang w:val="en-US" w:eastAsia="zh-CN"/>
              </w:rPr>
              <w:t>4</w:t>
            </w:r>
            <w:r>
              <w:rPr>
                <w:rFonts w:hint="eastAsia"/>
                <w:color w:val="auto"/>
                <w:sz w:val="24"/>
              </w:rPr>
              <w:t>。</w:t>
            </w:r>
          </w:p>
          <w:p>
            <w:pPr>
              <w:adjustRightInd w:val="0"/>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4</w:t>
            </w:r>
            <w:r>
              <w:rPr>
                <w:rFonts w:hint="eastAsia"/>
                <w:b/>
                <w:color w:val="auto"/>
                <w:szCs w:val="21"/>
              </w:rPr>
              <w:t xml:space="preserve"> 本项目配水管道设置情况一览表</w:t>
            </w:r>
          </w:p>
          <w:tbl>
            <w:tblPr>
              <w:tblStyle w:val="15"/>
              <w:tblW w:w="83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47"/>
              <w:gridCol w:w="1343"/>
              <w:gridCol w:w="1052"/>
              <w:gridCol w:w="923"/>
              <w:gridCol w:w="721"/>
              <w:gridCol w:w="900"/>
              <w:gridCol w:w="798"/>
              <w:gridCol w:w="8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管段</w:t>
                  </w:r>
                </w:p>
              </w:tc>
              <w:tc>
                <w:tcPr>
                  <w:tcW w:w="134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服务范围</w:t>
                  </w: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服务人口（人）</w:t>
                  </w:r>
                </w:p>
              </w:tc>
              <w:tc>
                <w:tcPr>
                  <w:tcW w:w="923" w:type="dxa"/>
                  <w:tcMar>
                    <w:left w:w="17" w:type="dxa"/>
                    <w:right w:w="17" w:type="dxa"/>
                  </w:tcMar>
                  <w:vAlign w:val="center"/>
                </w:tcPr>
                <w:p>
                  <w:pPr>
                    <w:spacing w:line="240" w:lineRule="exact"/>
                    <w:jc w:val="center"/>
                    <w:rPr>
                      <w:rFonts w:hint="eastAsia"/>
                      <w:color w:val="auto"/>
                      <w:sz w:val="18"/>
                      <w:szCs w:val="18"/>
                    </w:rPr>
                  </w:pPr>
                  <w:r>
                    <w:rPr>
                      <w:color w:val="auto"/>
                      <w:sz w:val="18"/>
                      <w:szCs w:val="18"/>
                    </w:rPr>
                    <w:t>管长（m）</w:t>
                  </w:r>
                </w:p>
              </w:tc>
              <w:tc>
                <w:tcPr>
                  <w:tcW w:w="721"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管道直径（m)</w:t>
                  </w:r>
                </w:p>
              </w:tc>
              <w:tc>
                <w:tcPr>
                  <w:tcW w:w="90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设计流量（</w:t>
                  </w:r>
                  <w:r>
                    <w:rPr>
                      <w:rFonts w:hint="eastAsia"/>
                      <w:color w:val="auto"/>
                      <w:sz w:val="18"/>
                      <w:szCs w:val="18"/>
                      <w:lang w:eastAsia="zh-CN"/>
                    </w:rPr>
                    <w:t>m³</w:t>
                  </w:r>
                  <w:r>
                    <w:rPr>
                      <w:color w:val="auto"/>
                      <w:sz w:val="18"/>
                      <w:szCs w:val="18"/>
                    </w:rPr>
                    <w:t>/s</w:t>
                  </w:r>
                  <w:r>
                    <w:rPr>
                      <w:rFonts w:hint="eastAsia"/>
                      <w:color w:val="auto"/>
                      <w:sz w:val="18"/>
                      <w:szCs w:val="18"/>
                    </w:rPr>
                    <w:t>）</w:t>
                  </w:r>
                </w:p>
              </w:tc>
              <w:tc>
                <w:tcPr>
                  <w:tcW w:w="798"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流速（</w:t>
                  </w:r>
                  <w:r>
                    <w:rPr>
                      <w:color w:val="auto"/>
                      <w:sz w:val="18"/>
                      <w:szCs w:val="18"/>
                    </w:rPr>
                    <w:t>m/s</w:t>
                  </w:r>
                  <w:r>
                    <w:rPr>
                      <w:rFonts w:hint="eastAsia"/>
                      <w:color w:val="auto"/>
                      <w:sz w:val="18"/>
                      <w:szCs w:val="18"/>
                    </w:rPr>
                    <w:t>）</w:t>
                  </w:r>
                </w:p>
              </w:tc>
              <w:tc>
                <w:tcPr>
                  <w:tcW w:w="8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水压标高（</w:t>
                  </w:r>
                  <w:r>
                    <w:rPr>
                      <w:color w:val="auto"/>
                      <w:sz w:val="18"/>
                      <w:szCs w:val="18"/>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城关镇（本项目起点）至瓮江镇管段</w:t>
                  </w:r>
                </w:p>
              </w:tc>
              <w:tc>
                <w:tcPr>
                  <w:tcW w:w="134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瓮江镇</w:t>
                  </w: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27086</w:t>
                  </w:r>
                </w:p>
              </w:tc>
              <w:tc>
                <w:tcPr>
                  <w:tcW w:w="92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16573.00</w:t>
                  </w:r>
                </w:p>
              </w:tc>
              <w:tc>
                <w:tcPr>
                  <w:tcW w:w="721"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0.80</w:t>
                  </w:r>
                </w:p>
              </w:tc>
              <w:tc>
                <w:tcPr>
                  <w:tcW w:w="90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0.26</w:t>
                  </w:r>
                </w:p>
              </w:tc>
              <w:tc>
                <w:tcPr>
                  <w:tcW w:w="798"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0.51</w:t>
                  </w:r>
                </w:p>
              </w:tc>
              <w:tc>
                <w:tcPr>
                  <w:tcW w:w="8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125.97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瓮江镇至余坪镇管段</w:t>
                  </w:r>
                </w:p>
              </w:tc>
              <w:tc>
                <w:tcPr>
                  <w:tcW w:w="134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余坪镇</w:t>
                  </w: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29972</w:t>
                  </w:r>
                </w:p>
              </w:tc>
              <w:tc>
                <w:tcPr>
                  <w:tcW w:w="92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5060.00</w:t>
                  </w:r>
                </w:p>
              </w:tc>
              <w:tc>
                <w:tcPr>
                  <w:tcW w:w="721"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0.60</w:t>
                  </w:r>
                </w:p>
              </w:tc>
              <w:tc>
                <w:tcPr>
                  <w:tcW w:w="90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0.22</w:t>
                  </w:r>
                </w:p>
              </w:tc>
              <w:tc>
                <w:tcPr>
                  <w:tcW w:w="798"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0.77</w:t>
                  </w:r>
                </w:p>
              </w:tc>
              <w:tc>
                <w:tcPr>
                  <w:tcW w:w="8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120.07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余坪镇至青冲村管段</w:t>
                  </w:r>
                </w:p>
              </w:tc>
              <w:tc>
                <w:tcPr>
                  <w:tcW w:w="134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伍市镇、浯口镇</w:t>
                  </w: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93576</w:t>
                  </w:r>
                </w:p>
              </w:tc>
              <w:tc>
                <w:tcPr>
                  <w:tcW w:w="92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16573.00</w:t>
                  </w:r>
                </w:p>
              </w:tc>
              <w:tc>
                <w:tcPr>
                  <w:tcW w:w="721"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0.60</w:t>
                  </w:r>
                </w:p>
              </w:tc>
              <w:tc>
                <w:tcPr>
                  <w:tcW w:w="90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0.17</w:t>
                  </w:r>
                </w:p>
              </w:tc>
              <w:tc>
                <w:tcPr>
                  <w:tcW w:w="798"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0.60</w:t>
                  </w:r>
                </w:p>
              </w:tc>
              <w:tc>
                <w:tcPr>
                  <w:tcW w:w="8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108.06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青冲村至向家镇管段</w:t>
                  </w:r>
                </w:p>
              </w:tc>
              <w:tc>
                <w:tcPr>
                  <w:tcW w:w="134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向家镇</w:t>
                  </w: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18127</w:t>
                  </w:r>
                </w:p>
              </w:tc>
              <w:tc>
                <w:tcPr>
                  <w:tcW w:w="92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22261.00</w:t>
                  </w:r>
                </w:p>
              </w:tc>
              <w:tc>
                <w:tcPr>
                  <w:tcW w:w="721"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0.30</w:t>
                  </w:r>
                </w:p>
              </w:tc>
              <w:tc>
                <w:tcPr>
                  <w:tcW w:w="90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0.03</w:t>
                  </w:r>
                </w:p>
              </w:tc>
              <w:tc>
                <w:tcPr>
                  <w:tcW w:w="798"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0.39</w:t>
                  </w:r>
                </w:p>
              </w:tc>
              <w:tc>
                <w:tcPr>
                  <w:tcW w:w="8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90.93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747"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合计</w:t>
                  </w:r>
                </w:p>
              </w:tc>
              <w:tc>
                <w:tcPr>
                  <w:tcW w:w="1343" w:type="dxa"/>
                  <w:tcMar>
                    <w:left w:w="17" w:type="dxa"/>
                    <w:right w:w="17" w:type="dxa"/>
                  </w:tcMar>
                  <w:vAlign w:val="center"/>
                </w:tcPr>
                <w:p>
                  <w:pPr>
                    <w:spacing w:line="240" w:lineRule="exact"/>
                    <w:jc w:val="center"/>
                    <w:rPr>
                      <w:rFonts w:hint="eastAsia"/>
                      <w:color w:val="auto"/>
                      <w:sz w:val="18"/>
                      <w:szCs w:val="18"/>
                    </w:rPr>
                  </w:pPr>
                </w:p>
              </w:tc>
              <w:tc>
                <w:tcPr>
                  <w:tcW w:w="1052"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168761</w:t>
                  </w:r>
                </w:p>
              </w:tc>
              <w:tc>
                <w:tcPr>
                  <w:tcW w:w="923"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60467.00</w:t>
                  </w:r>
                </w:p>
              </w:tc>
              <w:tc>
                <w:tcPr>
                  <w:tcW w:w="721" w:type="dxa"/>
                  <w:tcMar>
                    <w:left w:w="17" w:type="dxa"/>
                    <w:right w:w="17" w:type="dxa"/>
                  </w:tcMar>
                  <w:vAlign w:val="center"/>
                </w:tcPr>
                <w:p>
                  <w:pPr>
                    <w:spacing w:line="240" w:lineRule="exact"/>
                    <w:jc w:val="center"/>
                    <w:rPr>
                      <w:rFonts w:hint="eastAsia"/>
                      <w:color w:val="auto"/>
                      <w:sz w:val="18"/>
                      <w:szCs w:val="18"/>
                    </w:rPr>
                  </w:pPr>
                </w:p>
              </w:tc>
              <w:tc>
                <w:tcPr>
                  <w:tcW w:w="900" w:type="dxa"/>
                  <w:tcMar>
                    <w:left w:w="17" w:type="dxa"/>
                    <w:right w:w="17" w:type="dxa"/>
                  </w:tcMar>
                  <w:vAlign w:val="center"/>
                </w:tcPr>
                <w:p>
                  <w:pPr>
                    <w:spacing w:line="240" w:lineRule="exact"/>
                    <w:jc w:val="center"/>
                    <w:rPr>
                      <w:rFonts w:hint="eastAsia"/>
                      <w:color w:val="auto"/>
                      <w:sz w:val="18"/>
                      <w:szCs w:val="18"/>
                    </w:rPr>
                  </w:pPr>
                </w:p>
              </w:tc>
              <w:tc>
                <w:tcPr>
                  <w:tcW w:w="798" w:type="dxa"/>
                  <w:tcMar>
                    <w:left w:w="17" w:type="dxa"/>
                    <w:right w:w="17" w:type="dxa"/>
                  </w:tcMar>
                  <w:vAlign w:val="center"/>
                </w:tcPr>
                <w:p>
                  <w:pPr>
                    <w:spacing w:line="240" w:lineRule="exact"/>
                    <w:jc w:val="center"/>
                    <w:rPr>
                      <w:rFonts w:hint="eastAsia"/>
                      <w:color w:val="auto"/>
                      <w:sz w:val="18"/>
                      <w:szCs w:val="18"/>
                    </w:rPr>
                  </w:pPr>
                </w:p>
              </w:tc>
              <w:tc>
                <w:tcPr>
                  <w:tcW w:w="895" w:type="dxa"/>
                  <w:tcMar>
                    <w:left w:w="17" w:type="dxa"/>
                    <w:right w:w="17" w:type="dxa"/>
                  </w:tcMar>
                  <w:vAlign w:val="center"/>
                </w:tcPr>
                <w:p>
                  <w:pPr>
                    <w:spacing w:line="240" w:lineRule="exact"/>
                    <w:jc w:val="center"/>
                    <w:rPr>
                      <w:rFonts w:hint="eastAsia"/>
                      <w:color w:val="auto"/>
                      <w:sz w:val="18"/>
                      <w:szCs w:val="18"/>
                    </w:rPr>
                  </w:pPr>
                </w:p>
              </w:tc>
            </w:tr>
          </w:tbl>
          <w:p>
            <w:pPr>
              <w:adjustRightInd w:val="0"/>
              <w:spacing w:line="360" w:lineRule="auto"/>
              <w:ind w:firstLine="480" w:firstLineChars="200"/>
              <w:rPr>
                <w:rFonts w:hint="eastAsia"/>
                <w:color w:val="auto"/>
                <w:sz w:val="24"/>
              </w:rPr>
            </w:pPr>
            <w:r>
              <w:rPr>
                <w:rFonts w:hint="eastAsia"/>
                <w:color w:val="auto"/>
                <w:sz w:val="24"/>
              </w:rPr>
              <w:t>（6）过河方案</w:t>
            </w:r>
          </w:p>
          <w:p>
            <w:pPr>
              <w:adjustRightInd w:val="0"/>
              <w:spacing w:line="360" w:lineRule="auto"/>
              <w:ind w:firstLine="480" w:firstLineChars="200"/>
              <w:rPr>
                <w:rFonts w:hint="eastAsia"/>
                <w:color w:val="auto"/>
                <w:sz w:val="24"/>
              </w:rPr>
            </w:pPr>
            <w:r>
              <w:rPr>
                <w:rFonts w:hint="eastAsia"/>
                <w:color w:val="auto"/>
                <w:sz w:val="24"/>
              </w:rPr>
              <w:t>本项目管线为了尽量拉直布置，力求管线较短，减少造价，同时尽量减小水头损失，共有5处需穿越河流，根据平江县内目前道路的实际情况，过河段均依托现有道路桥梁进行布设，不涉及过水施工工程。</w:t>
            </w:r>
          </w:p>
          <w:p>
            <w:pPr>
              <w:adjustRightInd w:val="0"/>
              <w:spacing w:line="360" w:lineRule="auto"/>
              <w:ind w:firstLine="480" w:firstLineChars="200"/>
              <w:rPr>
                <w:rFonts w:hint="eastAsia"/>
                <w:color w:val="auto"/>
                <w:sz w:val="24"/>
              </w:rPr>
            </w:pPr>
            <w:r>
              <w:rPr>
                <w:rFonts w:hint="eastAsia"/>
                <w:color w:val="auto"/>
                <w:sz w:val="24"/>
              </w:rPr>
              <w:t>本项目管线过河段的详细情况见表</w:t>
            </w:r>
            <w:r>
              <w:rPr>
                <w:rFonts w:hint="eastAsia"/>
                <w:color w:val="auto"/>
                <w:sz w:val="24"/>
                <w:lang w:val="en-US" w:eastAsia="zh-CN"/>
              </w:rPr>
              <w:t>5</w:t>
            </w:r>
            <w:r>
              <w:rPr>
                <w:rFonts w:hint="eastAsia"/>
                <w:color w:val="auto"/>
                <w:sz w:val="24"/>
              </w:rPr>
              <w:t>。</w:t>
            </w:r>
          </w:p>
          <w:p>
            <w:pPr>
              <w:adjustRightInd w:val="0"/>
              <w:spacing w:line="360" w:lineRule="auto"/>
              <w:jc w:val="center"/>
              <w:rPr>
                <w:rFonts w:hint="eastAsia"/>
                <w:b/>
                <w:color w:val="auto"/>
                <w:szCs w:val="21"/>
                <w:highlight w:val="yellow"/>
              </w:rPr>
            </w:pPr>
            <w:r>
              <w:rPr>
                <w:rFonts w:hint="eastAsia"/>
                <w:b/>
                <w:color w:val="auto"/>
                <w:szCs w:val="21"/>
              </w:rPr>
              <w:t>表</w:t>
            </w:r>
            <w:r>
              <w:rPr>
                <w:rFonts w:hint="eastAsia"/>
                <w:b/>
                <w:color w:val="auto"/>
                <w:szCs w:val="21"/>
                <w:lang w:val="en-US" w:eastAsia="zh-CN"/>
              </w:rPr>
              <w:t>5</w:t>
            </w:r>
            <w:r>
              <w:rPr>
                <w:rFonts w:hint="eastAsia"/>
                <w:b/>
                <w:color w:val="auto"/>
                <w:szCs w:val="21"/>
              </w:rPr>
              <w:t xml:space="preserve">  本项目过河情况一览表</w:t>
            </w:r>
          </w:p>
          <w:tbl>
            <w:tblPr>
              <w:tblStyle w:val="15"/>
              <w:tblW w:w="83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6"/>
              <w:gridCol w:w="1580"/>
              <w:gridCol w:w="994"/>
              <w:gridCol w:w="1659"/>
              <w:gridCol w:w="1295"/>
              <w:gridCol w:w="999"/>
              <w:gridCol w:w="13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vMerge w:val="restart"/>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序号</w:t>
                  </w:r>
                </w:p>
              </w:tc>
              <w:tc>
                <w:tcPr>
                  <w:tcW w:w="1580" w:type="dxa"/>
                  <w:vMerge w:val="restart"/>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过河段</w:t>
                  </w:r>
                </w:p>
              </w:tc>
              <w:tc>
                <w:tcPr>
                  <w:tcW w:w="994" w:type="dxa"/>
                  <w:vMerge w:val="restart"/>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穿越河流</w:t>
                  </w:r>
                </w:p>
              </w:tc>
              <w:tc>
                <w:tcPr>
                  <w:tcW w:w="1659" w:type="dxa"/>
                  <w:vMerge w:val="restart"/>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过河位置河宽（m）</w:t>
                  </w:r>
                </w:p>
              </w:tc>
              <w:tc>
                <w:tcPr>
                  <w:tcW w:w="1295" w:type="dxa"/>
                  <w:vMerge w:val="restart"/>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埋管长度（m）</w:t>
                  </w:r>
                </w:p>
              </w:tc>
              <w:tc>
                <w:tcPr>
                  <w:tcW w:w="2325" w:type="dxa"/>
                  <w:gridSpan w:val="2"/>
                  <w:vAlign w:val="top"/>
                </w:tcPr>
                <w:p>
                  <w:pPr>
                    <w:spacing w:line="240" w:lineRule="exact"/>
                    <w:jc w:val="center"/>
                    <w:rPr>
                      <w:rFonts w:hint="eastAsia"/>
                      <w:color w:val="auto"/>
                      <w:sz w:val="18"/>
                      <w:szCs w:val="18"/>
                    </w:rPr>
                  </w:pPr>
                  <w:r>
                    <w:rPr>
                      <w:rFonts w:hint="eastAsia"/>
                      <w:color w:val="auto"/>
                      <w:sz w:val="18"/>
                      <w:szCs w:val="18"/>
                    </w:rPr>
                    <w:t>依托道路及桥梁名称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vMerge w:val="continue"/>
                  <w:tcMar>
                    <w:left w:w="17" w:type="dxa"/>
                    <w:right w:w="17" w:type="dxa"/>
                  </w:tcMar>
                  <w:vAlign w:val="center"/>
                </w:tcPr>
                <w:p>
                  <w:pPr>
                    <w:spacing w:line="240" w:lineRule="exact"/>
                    <w:jc w:val="center"/>
                    <w:rPr>
                      <w:rFonts w:hint="eastAsia"/>
                      <w:color w:val="auto"/>
                      <w:sz w:val="18"/>
                      <w:szCs w:val="18"/>
                    </w:rPr>
                  </w:pPr>
                </w:p>
              </w:tc>
              <w:tc>
                <w:tcPr>
                  <w:tcW w:w="1580" w:type="dxa"/>
                  <w:vMerge w:val="continue"/>
                  <w:tcMar>
                    <w:left w:w="17" w:type="dxa"/>
                    <w:right w:w="17" w:type="dxa"/>
                  </w:tcMar>
                  <w:vAlign w:val="center"/>
                </w:tcPr>
                <w:p>
                  <w:pPr>
                    <w:spacing w:line="240" w:lineRule="exact"/>
                    <w:jc w:val="center"/>
                    <w:rPr>
                      <w:rFonts w:hint="eastAsia"/>
                      <w:color w:val="auto"/>
                      <w:sz w:val="18"/>
                      <w:szCs w:val="18"/>
                    </w:rPr>
                  </w:pPr>
                </w:p>
              </w:tc>
              <w:tc>
                <w:tcPr>
                  <w:tcW w:w="994" w:type="dxa"/>
                  <w:vMerge w:val="continue"/>
                  <w:tcMar>
                    <w:left w:w="17" w:type="dxa"/>
                    <w:right w:w="17" w:type="dxa"/>
                  </w:tcMar>
                  <w:vAlign w:val="center"/>
                </w:tcPr>
                <w:p>
                  <w:pPr>
                    <w:spacing w:line="240" w:lineRule="exact"/>
                    <w:jc w:val="center"/>
                    <w:rPr>
                      <w:rFonts w:hint="eastAsia"/>
                      <w:color w:val="auto"/>
                      <w:sz w:val="18"/>
                      <w:szCs w:val="18"/>
                    </w:rPr>
                  </w:pPr>
                </w:p>
              </w:tc>
              <w:tc>
                <w:tcPr>
                  <w:tcW w:w="1659" w:type="dxa"/>
                  <w:vMerge w:val="continue"/>
                  <w:tcMar>
                    <w:left w:w="17" w:type="dxa"/>
                    <w:right w:w="17" w:type="dxa"/>
                  </w:tcMar>
                  <w:vAlign w:val="center"/>
                </w:tcPr>
                <w:p>
                  <w:pPr>
                    <w:spacing w:line="240" w:lineRule="exact"/>
                    <w:jc w:val="center"/>
                    <w:rPr>
                      <w:rFonts w:hint="eastAsia"/>
                      <w:color w:val="auto"/>
                      <w:sz w:val="18"/>
                      <w:szCs w:val="18"/>
                    </w:rPr>
                  </w:pPr>
                </w:p>
              </w:tc>
              <w:tc>
                <w:tcPr>
                  <w:tcW w:w="1295" w:type="dxa"/>
                  <w:vMerge w:val="continue"/>
                  <w:tcMar>
                    <w:left w:w="17" w:type="dxa"/>
                    <w:right w:w="17" w:type="dxa"/>
                  </w:tcMar>
                  <w:vAlign w:val="center"/>
                </w:tcPr>
                <w:p>
                  <w:pPr>
                    <w:spacing w:line="240" w:lineRule="exact"/>
                    <w:jc w:val="center"/>
                    <w:rPr>
                      <w:rFonts w:hint="eastAsia"/>
                      <w:color w:val="auto"/>
                      <w:sz w:val="18"/>
                      <w:szCs w:val="18"/>
                    </w:rPr>
                  </w:pPr>
                </w:p>
              </w:tc>
              <w:tc>
                <w:tcPr>
                  <w:tcW w:w="999" w:type="dxa"/>
                  <w:vAlign w:val="top"/>
                </w:tcPr>
                <w:p>
                  <w:pPr>
                    <w:spacing w:line="240" w:lineRule="exact"/>
                    <w:jc w:val="center"/>
                    <w:rPr>
                      <w:rFonts w:hint="eastAsia"/>
                      <w:color w:val="auto"/>
                      <w:sz w:val="18"/>
                      <w:szCs w:val="18"/>
                    </w:rPr>
                  </w:pPr>
                  <w:r>
                    <w:rPr>
                      <w:rFonts w:hint="eastAsia"/>
                      <w:color w:val="auto"/>
                      <w:sz w:val="18"/>
                      <w:szCs w:val="18"/>
                    </w:rPr>
                    <w:t>道路名称</w:t>
                  </w:r>
                </w:p>
              </w:tc>
              <w:tc>
                <w:tcPr>
                  <w:tcW w:w="13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桥梁名称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w:t>
                  </w:r>
                </w:p>
              </w:tc>
              <w:tc>
                <w:tcPr>
                  <w:tcW w:w="1580"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严家塘汨罗江过河</w:t>
                  </w:r>
                </w:p>
              </w:tc>
              <w:tc>
                <w:tcPr>
                  <w:tcW w:w="994"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汨罗江</w:t>
                  </w:r>
                </w:p>
              </w:tc>
              <w:tc>
                <w:tcPr>
                  <w:tcW w:w="1659"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95.6</w:t>
                  </w:r>
                </w:p>
              </w:tc>
              <w:tc>
                <w:tcPr>
                  <w:tcW w:w="1295"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100</w:t>
                  </w:r>
                </w:p>
              </w:tc>
              <w:tc>
                <w:tcPr>
                  <w:tcW w:w="999" w:type="dxa"/>
                  <w:shd w:val="clear" w:color="auto" w:fill="auto"/>
                  <w:vAlign w:val="top"/>
                </w:tcPr>
                <w:p>
                  <w:pPr>
                    <w:spacing w:line="240" w:lineRule="exact"/>
                    <w:jc w:val="center"/>
                    <w:rPr>
                      <w:rFonts w:hint="eastAsia"/>
                      <w:color w:val="auto"/>
                      <w:sz w:val="18"/>
                      <w:szCs w:val="18"/>
                    </w:rPr>
                  </w:pPr>
                  <w:r>
                    <w:rPr>
                      <w:rFonts w:hint="eastAsia"/>
                      <w:color w:val="auto"/>
                      <w:sz w:val="18"/>
                      <w:szCs w:val="18"/>
                    </w:rPr>
                    <w:t>S308</w:t>
                  </w:r>
                </w:p>
              </w:tc>
              <w:tc>
                <w:tcPr>
                  <w:tcW w:w="1326"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严家滩大桥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2</w:t>
                  </w:r>
                </w:p>
              </w:tc>
              <w:tc>
                <w:tcPr>
                  <w:tcW w:w="1580"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昌江杨梅村过河</w:t>
                  </w:r>
                </w:p>
              </w:tc>
              <w:tc>
                <w:tcPr>
                  <w:tcW w:w="994"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昌江</w:t>
                  </w:r>
                </w:p>
              </w:tc>
              <w:tc>
                <w:tcPr>
                  <w:tcW w:w="1659"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91.1</w:t>
                  </w:r>
                </w:p>
              </w:tc>
              <w:tc>
                <w:tcPr>
                  <w:tcW w:w="1295"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95.5</w:t>
                  </w:r>
                </w:p>
              </w:tc>
              <w:tc>
                <w:tcPr>
                  <w:tcW w:w="999" w:type="dxa"/>
                  <w:shd w:val="clear" w:color="auto" w:fill="auto"/>
                  <w:vAlign w:val="top"/>
                </w:tcPr>
                <w:p>
                  <w:pPr>
                    <w:spacing w:line="240" w:lineRule="exact"/>
                    <w:jc w:val="center"/>
                    <w:rPr>
                      <w:rFonts w:hint="eastAsia"/>
                      <w:color w:val="auto"/>
                      <w:sz w:val="18"/>
                      <w:szCs w:val="18"/>
                    </w:rPr>
                  </w:pPr>
                  <w:r>
                    <w:rPr>
                      <w:rFonts w:hint="eastAsia"/>
                      <w:color w:val="auto"/>
                      <w:sz w:val="18"/>
                      <w:szCs w:val="18"/>
                    </w:rPr>
                    <w:t>S308</w:t>
                  </w:r>
                </w:p>
              </w:tc>
              <w:tc>
                <w:tcPr>
                  <w:tcW w:w="1326" w:type="dxa"/>
                  <w:shd w:val="clear" w:color="auto" w:fill="auto"/>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杨梅江大桥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3</w:t>
                  </w:r>
                </w:p>
              </w:tc>
              <w:tc>
                <w:tcPr>
                  <w:tcW w:w="158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张市河市里村过河</w:t>
                  </w:r>
                </w:p>
              </w:tc>
              <w:tc>
                <w:tcPr>
                  <w:tcW w:w="994"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张市河</w:t>
                  </w:r>
                </w:p>
              </w:tc>
              <w:tc>
                <w:tcPr>
                  <w:tcW w:w="1659"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2.5</w:t>
                  </w:r>
                </w:p>
              </w:tc>
              <w:tc>
                <w:tcPr>
                  <w:tcW w:w="12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5.0</w:t>
                  </w:r>
                </w:p>
              </w:tc>
              <w:tc>
                <w:tcPr>
                  <w:tcW w:w="999" w:type="dxa"/>
                  <w:vAlign w:val="top"/>
                </w:tcPr>
                <w:p>
                  <w:pPr>
                    <w:spacing w:line="240" w:lineRule="exact"/>
                    <w:jc w:val="center"/>
                    <w:rPr>
                      <w:rFonts w:hint="eastAsia"/>
                      <w:color w:val="auto"/>
                      <w:sz w:val="18"/>
                      <w:szCs w:val="18"/>
                    </w:rPr>
                  </w:pPr>
                  <w:r>
                    <w:rPr>
                      <w:rFonts w:hint="eastAsia"/>
                      <w:color w:val="auto"/>
                      <w:sz w:val="18"/>
                      <w:szCs w:val="18"/>
                    </w:rPr>
                    <w:t>S308</w:t>
                  </w:r>
                </w:p>
              </w:tc>
              <w:tc>
                <w:tcPr>
                  <w:tcW w:w="13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张市桥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4</w:t>
                  </w:r>
                </w:p>
              </w:tc>
              <w:tc>
                <w:tcPr>
                  <w:tcW w:w="158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汨罗江盘石州过河</w:t>
                  </w:r>
                </w:p>
              </w:tc>
              <w:tc>
                <w:tcPr>
                  <w:tcW w:w="994"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汨罗江</w:t>
                  </w:r>
                </w:p>
              </w:tc>
              <w:tc>
                <w:tcPr>
                  <w:tcW w:w="1659"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183.5</w:t>
                  </w:r>
                </w:p>
              </w:tc>
              <w:tc>
                <w:tcPr>
                  <w:tcW w:w="12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190</w:t>
                  </w:r>
                </w:p>
              </w:tc>
              <w:tc>
                <w:tcPr>
                  <w:tcW w:w="999" w:type="dxa"/>
                  <w:vAlign w:val="top"/>
                </w:tcPr>
                <w:p>
                  <w:pPr>
                    <w:spacing w:line="240" w:lineRule="exact"/>
                    <w:jc w:val="center"/>
                    <w:rPr>
                      <w:rFonts w:hint="eastAsia"/>
                      <w:color w:val="auto"/>
                      <w:sz w:val="18"/>
                      <w:szCs w:val="18"/>
                    </w:rPr>
                  </w:pPr>
                  <w:r>
                    <w:rPr>
                      <w:rFonts w:hint="eastAsia"/>
                      <w:color w:val="auto"/>
                      <w:sz w:val="18"/>
                      <w:szCs w:val="18"/>
                    </w:rPr>
                    <w:t>S308</w:t>
                  </w:r>
                </w:p>
              </w:tc>
              <w:tc>
                <w:tcPr>
                  <w:tcW w:w="13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盘石州</w:t>
                  </w:r>
                  <w:r>
                    <w:rPr>
                      <w:rFonts w:hint="eastAsia" w:ascii="宋体" w:hAnsi="宋体"/>
                      <w:color w:val="auto"/>
                      <w:sz w:val="18"/>
                      <w:szCs w:val="18"/>
                    </w:rPr>
                    <w:t>Ⅰ号</w:t>
                  </w:r>
                  <w:r>
                    <w:rPr>
                      <w:rFonts w:hint="eastAsia"/>
                      <w:color w:val="auto"/>
                      <w:sz w:val="18"/>
                      <w:szCs w:val="18"/>
                    </w:rPr>
                    <w:t>大桥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26"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5</w:t>
                  </w:r>
                </w:p>
              </w:tc>
              <w:tc>
                <w:tcPr>
                  <w:tcW w:w="1580"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浯水河过河</w:t>
                  </w:r>
                </w:p>
              </w:tc>
              <w:tc>
                <w:tcPr>
                  <w:tcW w:w="994"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浯水河</w:t>
                  </w:r>
                </w:p>
              </w:tc>
              <w:tc>
                <w:tcPr>
                  <w:tcW w:w="1659"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3.3</w:t>
                  </w:r>
                </w:p>
              </w:tc>
              <w:tc>
                <w:tcPr>
                  <w:tcW w:w="1295" w:type="dxa"/>
                  <w:tcMar>
                    <w:left w:w="17" w:type="dxa"/>
                    <w:right w:w="17" w:type="dxa"/>
                  </w:tcMar>
                  <w:vAlign w:val="center"/>
                </w:tcPr>
                <w:p>
                  <w:pPr>
                    <w:spacing w:line="240" w:lineRule="exact"/>
                    <w:jc w:val="center"/>
                    <w:rPr>
                      <w:rFonts w:hint="eastAsia"/>
                      <w:color w:val="auto"/>
                      <w:sz w:val="18"/>
                      <w:szCs w:val="18"/>
                    </w:rPr>
                  </w:pPr>
                  <w:r>
                    <w:rPr>
                      <w:rFonts w:hint="eastAsia"/>
                      <w:color w:val="auto"/>
                      <w:sz w:val="18"/>
                      <w:szCs w:val="18"/>
                    </w:rPr>
                    <w:t>6.5</w:t>
                  </w:r>
                </w:p>
              </w:tc>
              <w:tc>
                <w:tcPr>
                  <w:tcW w:w="999" w:type="dxa"/>
                  <w:vAlign w:val="top"/>
                </w:tcPr>
                <w:p>
                  <w:pPr>
                    <w:spacing w:line="240" w:lineRule="exact"/>
                    <w:jc w:val="center"/>
                    <w:rPr>
                      <w:rFonts w:hint="eastAsia"/>
                      <w:color w:val="auto"/>
                      <w:sz w:val="18"/>
                      <w:szCs w:val="18"/>
                    </w:rPr>
                  </w:pPr>
                  <w:r>
                    <w:rPr>
                      <w:rFonts w:hint="eastAsia"/>
                      <w:color w:val="auto"/>
                      <w:sz w:val="18"/>
                      <w:szCs w:val="18"/>
                    </w:rPr>
                    <w:t>X095</w:t>
                  </w:r>
                </w:p>
              </w:tc>
              <w:tc>
                <w:tcPr>
                  <w:tcW w:w="1326" w:type="dxa"/>
                  <w:tcMar>
                    <w:left w:w="17" w:type="dxa"/>
                    <w:right w:w="17" w:type="dxa"/>
                  </w:tcMar>
                  <w:vAlign w:val="center"/>
                </w:tcPr>
                <w:p>
                  <w:pPr>
                    <w:spacing w:line="240" w:lineRule="exact"/>
                    <w:jc w:val="center"/>
                    <w:rPr>
                      <w:rFonts w:hint="eastAsia"/>
                      <w:color w:val="auto"/>
                      <w:sz w:val="18"/>
                      <w:szCs w:val="18"/>
                      <w:highlight w:val="yellow"/>
                    </w:rPr>
                  </w:pPr>
                  <w:r>
                    <w:rPr>
                      <w:rFonts w:hint="eastAsia"/>
                      <w:color w:val="auto"/>
                      <w:sz w:val="18"/>
                      <w:szCs w:val="18"/>
                    </w:rPr>
                    <w:t>浯水桥</w:t>
                  </w:r>
                </w:p>
              </w:tc>
            </w:tr>
          </w:tbl>
          <w:p>
            <w:pPr>
              <w:adjustRightInd w:val="0"/>
              <w:spacing w:line="360" w:lineRule="auto"/>
              <w:ind w:firstLine="480" w:firstLineChars="200"/>
              <w:rPr>
                <w:rFonts w:hint="eastAsia"/>
                <w:color w:val="auto"/>
                <w:sz w:val="24"/>
              </w:rPr>
            </w:pPr>
            <w:r>
              <w:rPr>
                <w:rFonts w:hint="eastAsia"/>
                <w:color w:val="auto"/>
                <w:sz w:val="24"/>
              </w:rPr>
              <w:t>（7）隧洞方案</w:t>
            </w:r>
          </w:p>
          <w:p>
            <w:pPr>
              <w:adjustRightInd w:val="0"/>
              <w:spacing w:line="360" w:lineRule="auto"/>
              <w:ind w:firstLine="480" w:firstLineChars="200"/>
              <w:rPr>
                <w:rFonts w:hint="eastAsia"/>
                <w:color w:val="auto"/>
                <w:sz w:val="24"/>
              </w:rPr>
            </w:pPr>
            <w:r>
              <w:rPr>
                <w:rFonts w:hint="eastAsia"/>
                <w:color w:val="auto"/>
                <w:sz w:val="24"/>
              </w:rPr>
              <w:t>① 隧洞的线路选择</w:t>
            </w:r>
          </w:p>
          <w:p>
            <w:pPr>
              <w:adjustRightInd w:val="0"/>
              <w:spacing w:line="360" w:lineRule="auto"/>
              <w:ind w:firstLine="480" w:firstLineChars="200"/>
              <w:rPr>
                <w:rFonts w:hint="eastAsia"/>
                <w:color w:val="auto"/>
                <w:sz w:val="24"/>
              </w:rPr>
            </w:pPr>
            <w:r>
              <w:rPr>
                <w:rFonts w:hint="eastAsia"/>
                <w:color w:val="auto"/>
                <w:sz w:val="24"/>
              </w:rPr>
              <w:t>本项目管线上共需设2处隧洞，全长927.7m。隧洞的选线尽量避开不利的地质，洞线平面上力求短直，所有隧洞均为直线隧洞，有效的减少了工程费用，保障了良好的隧洞施工和后续管道埋设条件。本项目沿线隧洞设置情况见表</w:t>
            </w:r>
            <w:r>
              <w:rPr>
                <w:rFonts w:hint="eastAsia"/>
                <w:color w:val="auto"/>
                <w:sz w:val="24"/>
                <w:lang w:val="en-US" w:eastAsia="zh-CN"/>
              </w:rPr>
              <w:t>6</w:t>
            </w:r>
            <w:r>
              <w:rPr>
                <w:rFonts w:hint="eastAsia"/>
                <w:color w:val="auto"/>
                <w:sz w:val="24"/>
              </w:rPr>
              <w:t>。</w:t>
            </w:r>
          </w:p>
          <w:p>
            <w:pPr>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6</w:t>
            </w:r>
            <w:r>
              <w:rPr>
                <w:rFonts w:hint="eastAsia"/>
                <w:b/>
                <w:color w:val="auto"/>
                <w:szCs w:val="21"/>
              </w:rPr>
              <w:t xml:space="preserve"> 本项目隧洞设置情况表</w:t>
            </w:r>
          </w:p>
          <w:tbl>
            <w:tblPr>
              <w:tblStyle w:val="15"/>
              <w:tblW w:w="837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2"/>
              <w:gridCol w:w="1703"/>
              <w:gridCol w:w="1800"/>
              <w:gridCol w:w="1515"/>
              <w:gridCol w:w="1046"/>
              <w:gridCol w:w="15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2" w:type="dxa"/>
                  <w:tcMar>
                    <w:left w:w="17" w:type="dxa"/>
                    <w:right w:w="17" w:type="dxa"/>
                  </w:tcMar>
                  <w:vAlign w:val="center"/>
                </w:tcPr>
                <w:p>
                  <w:pPr>
                    <w:spacing w:line="240" w:lineRule="exact"/>
                    <w:jc w:val="center"/>
                    <w:rPr>
                      <w:rFonts w:hint="eastAsia"/>
                      <w:color w:val="auto"/>
                      <w:szCs w:val="21"/>
                    </w:rPr>
                  </w:pPr>
                  <w:r>
                    <w:rPr>
                      <w:rFonts w:hint="eastAsia"/>
                      <w:color w:val="auto"/>
                      <w:szCs w:val="21"/>
                    </w:rPr>
                    <w:t>序号</w:t>
                  </w:r>
                </w:p>
              </w:tc>
              <w:tc>
                <w:tcPr>
                  <w:tcW w:w="1703" w:type="dxa"/>
                  <w:tcMar>
                    <w:left w:w="17" w:type="dxa"/>
                    <w:right w:w="17" w:type="dxa"/>
                  </w:tcMar>
                  <w:vAlign w:val="center"/>
                </w:tcPr>
                <w:p>
                  <w:pPr>
                    <w:spacing w:line="240" w:lineRule="exact"/>
                    <w:jc w:val="center"/>
                    <w:rPr>
                      <w:rFonts w:hint="eastAsia"/>
                      <w:color w:val="auto"/>
                      <w:szCs w:val="21"/>
                    </w:rPr>
                  </w:pPr>
                  <w:r>
                    <w:rPr>
                      <w:rFonts w:hint="eastAsia"/>
                      <w:color w:val="auto"/>
                      <w:szCs w:val="21"/>
                    </w:rPr>
                    <w:t>隧洞段</w:t>
                  </w:r>
                </w:p>
              </w:tc>
              <w:tc>
                <w:tcPr>
                  <w:tcW w:w="1800" w:type="dxa"/>
                  <w:tcMar>
                    <w:left w:w="17" w:type="dxa"/>
                    <w:right w:w="17" w:type="dxa"/>
                  </w:tcMar>
                  <w:vAlign w:val="center"/>
                </w:tcPr>
                <w:p>
                  <w:pPr>
                    <w:spacing w:line="240" w:lineRule="exact"/>
                    <w:jc w:val="center"/>
                    <w:rPr>
                      <w:rFonts w:hint="eastAsia"/>
                      <w:color w:val="auto"/>
                      <w:szCs w:val="21"/>
                    </w:rPr>
                  </w:pPr>
                  <w:r>
                    <w:rPr>
                      <w:rFonts w:hint="eastAsia"/>
                      <w:color w:val="auto"/>
                      <w:szCs w:val="21"/>
                    </w:rPr>
                    <w:t>隧洞进口位置</w:t>
                  </w:r>
                </w:p>
              </w:tc>
              <w:tc>
                <w:tcPr>
                  <w:tcW w:w="1515" w:type="dxa"/>
                  <w:tcMar>
                    <w:left w:w="17" w:type="dxa"/>
                    <w:right w:w="17" w:type="dxa"/>
                  </w:tcMar>
                  <w:vAlign w:val="center"/>
                </w:tcPr>
                <w:p>
                  <w:pPr>
                    <w:spacing w:line="240" w:lineRule="exact"/>
                    <w:jc w:val="center"/>
                    <w:rPr>
                      <w:rFonts w:hint="eastAsia"/>
                      <w:color w:val="auto"/>
                      <w:szCs w:val="21"/>
                    </w:rPr>
                  </w:pPr>
                  <w:r>
                    <w:rPr>
                      <w:rFonts w:hint="eastAsia"/>
                      <w:color w:val="auto"/>
                      <w:szCs w:val="21"/>
                    </w:rPr>
                    <w:t>隧洞出口位置</w:t>
                  </w:r>
                </w:p>
              </w:tc>
              <w:tc>
                <w:tcPr>
                  <w:tcW w:w="10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管长（m）</w:t>
                  </w:r>
                </w:p>
              </w:tc>
              <w:tc>
                <w:tcPr>
                  <w:tcW w:w="1533" w:type="dxa"/>
                  <w:tcMar>
                    <w:left w:w="17" w:type="dxa"/>
                    <w:right w:w="17" w:type="dxa"/>
                  </w:tcMar>
                  <w:vAlign w:val="center"/>
                </w:tcPr>
                <w:p>
                  <w:pPr>
                    <w:spacing w:line="240" w:lineRule="exact"/>
                    <w:jc w:val="center"/>
                    <w:rPr>
                      <w:rFonts w:hint="eastAsia"/>
                      <w:color w:val="auto"/>
                      <w:szCs w:val="21"/>
                    </w:rPr>
                  </w:pPr>
                  <w:r>
                    <w:rPr>
                      <w:rFonts w:hint="eastAsia"/>
                      <w:color w:val="auto"/>
                      <w:szCs w:val="21"/>
                    </w:rPr>
                    <w:t>累计长度（m）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2" w:type="dxa"/>
                  <w:tcMar>
                    <w:left w:w="17" w:type="dxa"/>
                    <w:right w:w="17" w:type="dxa"/>
                  </w:tcMar>
                  <w:vAlign w:val="center"/>
                </w:tcPr>
                <w:p>
                  <w:pPr>
                    <w:spacing w:line="240" w:lineRule="exact"/>
                    <w:jc w:val="center"/>
                    <w:rPr>
                      <w:rFonts w:hint="eastAsia"/>
                      <w:color w:val="auto"/>
                      <w:szCs w:val="21"/>
                    </w:rPr>
                  </w:pPr>
                  <w:r>
                    <w:rPr>
                      <w:rFonts w:hint="eastAsia"/>
                      <w:color w:val="auto"/>
                      <w:szCs w:val="21"/>
                    </w:rPr>
                    <w:t>1</w:t>
                  </w:r>
                </w:p>
              </w:tc>
              <w:tc>
                <w:tcPr>
                  <w:tcW w:w="1703" w:type="dxa"/>
                  <w:tcMar>
                    <w:left w:w="17" w:type="dxa"/>
                    <w:right w:w="17" w:type="dxa"/>
                  </w:tcMar>
                  <w:vAlign w:val="center"/>
                </w:tcPr>
                <w:p>
                  <w:pPr>
                    <w:spacing w:line="240" w:lineRule="exact"/>
                    <w:jc w:val="center"/>
                    <w:rPr>
                      <w:rFonts w:hint="eastAsia"/>
                      <w:color w:val="auto"/>
                      <w:szCs w:val="21"/>
                    </w:rPr>
                  </w:pPr>
                  <w:r>
                    <w:rPr>
                      <w:rFonts w:hint="eastAsia"/>
                      <w:color w:val="auto"/>
                      <w:szCs w:val="21"/>
                    </w:rPr>
                    <w:t>犁头沮隧洞</w:t>
                  </w:r>
                </w:p>
              </w:tc>
              <w:tc>
                <w:tcPr>
                  <w:tcW w:w="1800" w:type="dxa"/>
                  <w:tcMar>
                    <w:left w:w="17" w:type="dxa"/>
                    <w:right w:w="17" w:type="dxa"/>
                  </w:tcMar>
                  <w:vAlign w:val="center"/>
                </w:tcPr>
                <w:p>
                  <w:pPr>
                    <w:spacing w:line="240" w:lineRule="exact"/>
                    <w:jc w:val="center"/>
                    <w:rPr>
                      <w:rFonts w:hint="eastAsia"/>
                      <w:color w:val="auto"/>
                      <w:szCs w:val="21"/>
                    </w:rPr>
                  </w:pPr>
                  <w:r>
                    <w:rPr>
                      <w:rFonts w:hint="eastAsia"/>
                      <w:color w:val="auto"/>
                      <w:szCs w:val="21"/>
                    </w:rPr>
                    <w:t>犁头沮</w:t>
                  </w:r>
                </w:p>
              </w:tc>
              <w:tc>
                <w:tcPr>
                  <w:tcW w:w="1515" w:type="dxa"/>
                  <w:tcMar>
                    <w:left w:w="17" w:type="dxa"/>
                    <w:right w:w="17" w:type="dxa"/>
                  </w:tcMar>
                  <w:vAlign w:val="center"/>
                </w:tcPr>
                <w:p>
                  <w:pPr>
                    <w:spacing w:line="240" w:lineRule="exact"/>
                    <w:jc w:val="center"/>
                    <w:rPr>
                      <w:rFonts w:hint="eastAsia"/>
                      <w:color w:val="auto"/>
                      <w:szCs w:val="21"/>
                    </w:rPr>
                  </w:pPr>
                  <w:r>
                    <w:rPr>
                      <w:rFonts w:hint="eastAsia"/>
                      <w:color w:val="auto"/>
                      <w:szCs w:val="21"/>
                    </w:rPr>
                    <w:t>白杨坡</w:t>
                  </w:r>
                </w:p>
              </w:tc>
              <w:tc>
                <w:tcPr>
                  <w:tcW w:w="10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563.8</w:t>
                  </w:r>
                </w:p>
              </w:tc>
              <w:tc>
                <w:tcPr>
                  <w:tcW w:w="1533" w:type="dxa"/>
                  <w:tcMar>
                    <w:left w:w="17" w:type="dxa"/>
                    <w:right w:w="17" w:type="dxa"/>
                  </w:tcMar>
                  <w:vAlign w:val="center"/>
                </w:tcPr>
                <w:p>
                  <w:pPr>
                    <w:spacing w:line="240" w:lineRule="exact"/>
                    <w:jc w:val="center"/>
                    <w:rPr>
                      <w:rFonts w:hint="eastAsia"/>
                      <w:color w:val="auto"/>
                      <w:szCs w:val="21"/>
                    </w:rPr>
                  </w:pPr>
                  <w:r>
                    <w:rPr>
                      <w:rFonts w:hint="eastAsia"/>
                      <w:color w:val="auto"/>
                      <w:szCs w:val="21"/>
                    </w:rPr>
                    <w:t>563.8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82" w:type="dxa"/>
                  <w:tcMar>
                    <w:left w:w="17" w:type="dxa"/>
                    <w:right w:w="17" w:type="dxa"/>
                  </w:tcMar>
                  <w:vAlign w:val="center"/>
                </w:tcPr>
                <w:p>
                  <w:pPr>
                    <w:spacing w:line="240" w:lineRule="exact"/>
                    <w:jc w:val="center"/>
                    <w:rPr>
                      <w:rFonts w:hint="eastAsia"/>
                      <w:color w:val="auto"/>
                      <w:szCs w:val="21"/>
                    </w:rPr>
                  </w:pPr>
                  <w:r>
                    <w:rPr>
                      <w:rFonts w:hint="eastAsia"/>
                      <w:color w:val="auto"/>
                      <w:szCs w:val="21"/>
                    </w:rPr>
                    <w:t>2</w:t>
                  </w:r>
                </w:p>
              </w:tc>
              <w:tc>
                <w:tcPr>
                  <w:tcW w:w="1703" w:type="dxa"/>
                  <w:tcMar>
                    <w:left w:w="17" w:type="dxa"/>
                    <w:right w:w="17" w:type="dxa"/>
                  </w:tcMar>
                  <w:vAlign w:val="center"/>
                </w:tcPr>
                <w:p>
                  <w:pPr>
                    <w:spacing w:line="240" w:lineRule="exact"/>
                    <w:jc w:val="center"/>
                    <w:rPr>
                      <w:rFonts w:hint="eastAsia"/>
                      <w:color w:val="auto"/>
                      <w:szCs w:val="21"/>
                    </w:rPr>
                  </w:pPr>
                  <w:r>
                    <w:rPr>
                      <w:rFonts w:hint="eastAsia"/>
                      <w:color w:val="auto"/>
                      <w:szCs w:val="21"/>
                    </w:rPr>
                    <w:t>注竹洞隧洞</w:t>
                  </w:r>
                </w:p>
              </w:tc>
              <w:tc>
                <w:tcPr>
                  <w:tcW w:w="1800" w:type="dxa"/>
                  <w:tcMar>
                    <w:left w:w="17" w:type="dxa"/>
                    <w:right w:w="17" w:type="dxa"/>
                  </w:tcMar>
                  <w:vAlign w:val="center"/>
                </w:tcPr>
                <w:p>
                  <w:pPr>
                    <w:spacing w:line="240" w:lineRule="exact"/>
                    <w:jc w:val="center"/>
                    <w:rPr>
                      <w:rFonts w:hint="eastAsia"/>
                      <w:color w:val="auto"/>
                      <w:szCs w:val="21"/>
                    </w:rPr>
                  </w:pPr>
                  <w:r>
                    <w:rPr>
                      <w:rFonts w:hint="eastAsia"/>
                      <w:color w:val="auto"/>
                      <w:szCs w:val="21"/>
                    </w:rPr>
                    <w:t>注竹洞</w:t>
                  </w:r>
                </w:p>
              </w:tc>
              <w:tc>
                <w:tcPr>
                  <w:tcW w:w="1515" w:type="dxa"/>
                  <w:tcMar>
                    <w:left w:w="17" w:type="dxa"/>
                    <w:right w:w="17" w:type="dxa"/>
                  </w:tcMar>
                  <w:vAlign w:val="center"/>
                </w:tcPr>
                <w:p>
                  <w:pPr>
                    <w:spacing w:line="240" w:lineRule="exact"/>
                    <w:jc w:val="center"/>
                    <w:rPr>
                      <w:rFonts w:hint="eastAsia"/>
                      <w:color w:val="auto"/>
                      <w:szCs w:val="21"/>
                    </w:rPr>
                  </w:pPr>
                  <w:r>
                    <w:rPr>
                      <w:rFonts w:hint="eastAsia"/>
                      <w:color w:val="auto"/>
                      <w:szCs w:val="21"/>
                    </w:rPr>
                    <w:t>注竹洞</w:t>
                  </w:r>
                </w:p>
              </w:tc>
              <w:tc>
                <w:tcPr>
                  <w:tcW w:w="10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363.9</w:t>
                  </w:r>
                </w:p>
              </w:tc>
              <w:tc>
                <w:tcPr>
                  <w:tcW w:w="1533" w:type="dxa"/>
                  <w:tcMar>
                    <w:left w:w="17" w:type="dxa"/>
                    <w:right w:w="17" w:type="dxa"/>
                  </w:tcMar>
                  <w:vAlign w:val="center"/>
                </w:tcPr>
                <w:p>
                  <w:pPr>
                    <w:spacing w:line="240" w:lineRule="exact"/>
                    <w:jc w:val="center"/>
                    <w:rPr>
                      <w:rFonts w:hint="eastAsia"/>
                      <w:color w:val="auto"/>
                      <w:szCs w:val="21"/>
                    </w:rPr>
                  </w:pPr>
                  <w:r>
                    <w:rPr>
                      <w:rFonts w:hint="eastAsia"/>
                      <w:color w:val="auto"/>
                      <w:szCs w:val="21"/>
                    </w:rPr>
                    <w:t>927.7</w:t>
                  </w:r>
                </w:p>
              </w:tc>
            </w:tr>
          </w:tbl>
          <w:p>
            <w:pPr>
              <w:spacing w:line="360" w:lineRule="auto"/>
              <w:ind w:firstLine="480" w:firstLineChars="200"/>
              <w:rPr>
                <w:rFonts w:hint="eastAsia"/>
                <w:color w:val="auto"/>
                <w:sz w:val="24"/>
              </w:rPr>
            </w:pPr>
            <w:r>
              <w:rPr>
                <w:rFonts w:hint="eastAsia"/>
                <w:color w:val="auto"/>
                <w:sz w:val="24"/>
              </w:rPr>
              <w:t>② 隧洞的断面形式和尺寸</w:t>
            </w:r>
          </w:p>
          <w:p>
            <w:pPr>
              <w:spacing w:line="360" w:lineRule="auto"/>
              <w:ind w:firstLine="480" w:firstLineChars="200"/>
              <w:rPr>
                <w:rFonts w:hint="eastAsia"/>
                <w:color w:val="auto"/>
                <w:sz w:val="24"/>
              </w:rPr>
            </w:pPr>
            <w:r>
              <w:rPr>
                <w:rFonts w:hint="eastAsia"/>
                <w:color w:val="auto"/>
                <w:sz w:val="24"/>
              </w:rPr>
              <w:t>本项目输水管道采用的隧洞均为无压隧洞，全部采用圆拱直墙式断面，圆拱为半圆形，根据地质要求，进出口段均采用C25钢筋混凝土衬砌，各长10m；其余洞身段采用C15混凝土底板找平、管槽采用砂石回填；侧墙和顶拱根据地质情况，Ⅱ~Ⅲ级围岩不作支护、Ⅲ级围岩采用喷混凝土支护，厚0.08m、Ⅲ~Ⅳ级围岩采用布钢筋网喷混凝土支护，厚0.1m。</w:t>
            </w:r>
          </w:p>
          <w:p>
            <w:pPr>
              <w:spacing w:line="360" w:lineRule="auto"/>
              <w:ind w:firstLine="480" w:firstLineChars="200"/>
              <w:rPr>
                <w:rFonts w:hint="eastAsia"/>
                <w:color w:val="auto"/>
                <w:sz w:val="24"/>
              </w:rPr>
            </w:pPr>
            <w:r>
              <w:rPr>
                <w:rFonts w:hint="eastAsia"/>
                <w:color w:val="auto"/>
                <w:sz w:val="24"/>
              </w:rPr>
              <w:t>所用隧洞开挖衬砌后为净宽2.0m，净高2.0m的同一城门形断面，城门顶采用半圆形，半径为1.0m。底板开挖一条深0.6m槽，将输水管在隧洞内埋深0.5m，隧洞底坡根据布设输水管道进出口高程确定，无固定底坡。</w:t>
            </w:r>
          </w:p>
          <w:p>
            <w:pPr>
              <w:spacing w:line="360" w:lineRule="auto"/>
              <w:ind w:firstLine="480" w:firstLineChars="200"/>
              <w:rPr>
                <w:rFonts w:hint="eastAsia"/>
                <w:color w:val="auto"/>
                <w:sz w:val="24"/>
              </w:rPr>
            </w:pPr>
            <w:r>
              <w:rPr>
                <w:rFonts w:hint="eastAsia"/>
                <w:color w:val="auto"/>
                <w:sz w:val="24"/>
              </w:rPr>
              <w:t>③ 隧洞的进出口布置</w:t>
            </w:r>
          </w:p>
          <w:p>
            <w:pPr>
              <w:adjustRightInd w:val="0"/>
              <w:spacing w:line="360" w:lineRule="auto"/>
              <w:ind w:firstLine="480" w:firstLineChars="200"/>
              <w:rPr>
                <w:rFonts w:hint="eastAsia"/>
                <w:color w:val="auto"/>
                <w:sz w:val="24"/>
              </w:rPr>
            </w:pPr>
            <w:r>
              <w:rPr>
                <w:rFonts w:hint="eastAsia"/>
                <w:color w:val="auto"/>
                <w:sz w:val="24"/>
              </w:rPr>
              <w:t>根据《水工隧洞设计规范（DL/T5195-2004）》，隧洞进出口的布置，宜根据应用要求、地形地质等条件，使水流顺畅，进流均匀，出流平稳，进出口洞顶围岩最小覆盖厚度不宜小于1倍洞径或洞宽。</w:t>
            </w:r>
          </w:p>
          <w:p>
            <w:pPr>
              <w:adjustRightInd w:val="0"/>
              <w:spacing w:line="360" w:lineRule="auto"/>
              <w:ind w:firstLine="480" w:firstLineChars="200"/>
              <w:rPr>
                <w:rFonts w:hint="eastAsia"/>
                <w:color w:val="auto"/>
                <w:sz w:val="24"/>
              </w:rPr>
            </w:pPr>
            <w:r>
              <w:rPr>
                <w:rFonts w:hint="eastAsia"/>
                <w:color w:val="auto"/>
                <w:sz w:val="24"/>
              </w:rPr>
              <w:t>本项目设计隧洞不采用过水通过式输水管道，所以隧洞设计不用考虑水流状态，进出口采用开敞式，洞顶围岩最小覆盖厚度采用3m。洞脸开挖边坡取1：0.5，洞门采用M7.5浆砌石护砌0.6m厚，宽3.5m，高出洞顶0.8m，洞脸以0.3m厚M7.5浆砌石护砌成八字形，确保洞脸边坡稳定。隧洞进出口都存在开挖段，对该段作好输水管道淹埋，淹埋深设为0.3m，并做好排水设施，设置排水孔。隧洞进口在洞门处设置门槛，高0.6m、宽0.4m、长1.2m，进隧洞设踏步，门槛下输水管两侧设排水管，做好隧洞排水，门槛设置为输水管道镇墩，门槛上设置安全门，尺寸为宽×高=</w:t>
            </w:r>
            <w:r>
              <w:rPr>
                <w:color w:val="auto"/>
                <w:sz w:val="24"/>
              </w:rPr>
              <w:t>1.2×0.95m，</w:t>
            </w:r>
            <w:r>
              <w:rPr>
                <w:rFonts w:hint="eastAsia"/>
                <w:color w:val="auto"/>
                <w:sz w:val="24"/>
              </w:rPr>
              <w:t>采用防锈铁门。隧洞进出口前10m，都作C25钢筋衬砌。洞身段根据地质条件选取支护。</w:t>
            </w:r>
          </w:p>
          <w:p>
            <w:pPr>
              <w:adjustRightInd w:val="0"/>
              <w:spacing w:line="360" w:lineRule="auto"/>
              <w:ind w:firstLine="480" w:firstLineChars="200"/>
              <w:rPr>
                <w:rFonts w:hint="eastAsia"/>
                <w:color w:val="auto"/>
                <w:sz w:val="24"/>
              </w:rPr>
            </w:pPr>
            <w:r>
              <w:rPr>
                <w:rFonts w:hint="eastAsia"/>
                <w:color w:val="auto"/>
                <w:sz w:val="24"/>
              </w:rPr>
              <w:t>（8）架空方案</w:t>
            </w:r>
          </w:p>
          <w:p>
            <w:pPr>
              <w:adjustRightInd w:val="0"/>
              <w:spacing w:line="360" w:lineRule="auto"/>
              <w:ind w:firstLine="480" w:firstLineChars="200"/>
              <w:rPr>
                <w:rFonts w:hint="eastAsia"/>
                <w:color w:val="auto"/>
                <w:sz w:val="24"/>
              </w:rPr>
            </w:pPr>
            <w:r>
              <w:rPr>
                <w:rFonts w:hint="eastAsia"/>
                <w:color w:val="auto"/>
                <w:sz w:val="24"/>
              </w:rPr>
              <w:t>本项目输水管道对一些特别地段或跨越低洼沟谷地段，采用管道外露架空方式布置，架空管全部采用钢管，架空钢管采用焊接管，滑动支座，钢管两端采用柔性节头与球墨铸铁管相接，并根据实际情况设置伸缩节或利用二端的柔性接头解决伸缩问题。</w:t>
            </w:r>
          </w:p>
          <w:p>
            <w:pPr>
              <w:adjustRightInd w:val="0"/>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9</w:t>
            </w:r>
            <w:r>
              <w:rPr>
                <w:rFonts w:hint="eastAsia"/>
                <w:color w:val="auto"/>
                <w:sz w:val="24"/>
                <w:lang w:eastAsia="zh-CN"/>
              </w:rPr>
              <w:t>）</w:t>
            </w:r>
            <w:r>
              <w:rPr>
                <w:rFonts w:hint="eastAsia"/>
                <w:color w:val="auto"/>
                <w:sz w:val="24"/>
              </w:rPr>
              <w:t>配水站设计</w:t>
            </w:r>
          </w:p>
          <w:p>
            <w:pPr>
              <w:adjustRightInd w:val="0"/>
              <w:spacing w:line="360" w:lineRule="auto"/>
              <w:ind w:firstLine="480" w:firstLineChars="200"/>
              <w:rPr>
                <w:rFonts w:hint="eastAsia"/>
                <w:color w:val="auto"/>
                <w:sz w:val="24"/>
              </w:rPr>
            </w:pPr>
            <w:r>
              <w:rPr>
                <w:rFonts w:hint="eastAsia"/>
                <w:color w:val="auto"/>
                <w:sz w:val="24"/>
              </w:rPr>
              <w:t>根据现场踏勘及平江供水（黄金洞水库）枢纽工程近期输配水管道水力计算表，整个输配水管道系统按10个片区采用重力流供水，沿线需设置9座配水站，各配水站预留二次加氯设施建设用地，确保沿线乡镇的用水安全，以达到供应优质的自来水。</w:t>
            </w:r>
          </w:p>
          <w:p>
            <w:pPr>
              <w:adjustRightInd w:val="0"/>
              <w:snapToGrid w:val="0"/>
              <w:ind w:right="-86" w:rightChars="-36" w:firstLine="0" w:firstLineChars="0"/>
              <w:jc w:val="center"/>
              <w:textAlignment w:val="baseline"/>
              <w:rPr>
                <w:rFonts w:hint="eastAsia"/>
                <w:color w:val="auto"/>
                <w:szCs w:val="20"/>
              </w:rPr>
            </w:pPr>
            <w:r>
              <w:rPr>
                <w:color w:val="auto"/>
                <w:szCs w:val="20"/>
              </w:rPr>
              <w:t>表</w:t>
            </w:r>
            <w:r>
              <w:rPr>
                <w:rFonts w:hint="eastAsia"/>
                <w:color w:val="auto"/>
                <w:szCs w:val="20"/>
                <w:lang w:val="en-US" w:eastAsia="zh-CN"/>
              </w:rPr>
              <w:t>7</w:t>
            </w:r>
            <w:r>
              <w:rPr>
                <w:color w:val="auto"/>
                <w:szCs w:val="20"/>
              </w:rPr>
              <w:t xml:space="preserve"> 平江供水（黄金洞水库）枢纽工程</w:t>
            </w:r>
            <w:r>
              <w:rPr>
                <w:rFonts w:hint="eastAsia"/>
                <w:color w:val="auto"/>
                <w:szCs w:val="20"/>
              </w:rPr>
              <w:t>各配水站建设规模</w:t>
            </w:r>
          </w:p>
          <w:tbl>
            <w:tblPr>
              <w:tblStyle w:val="14"/>
              <w:tblW w:w="8399"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1784"/>
              <w:gridCol w:w="774"/>
              <w:gridCol w:w="775"/>
              <w:gridCol w:w="679"/>
              <w:gridCol w:w="774"/>
              <w:gridCol w:w="581"/>
              <w:gridCol w:w="679"/>
              <w:gridCol w:w="9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vMerge w:val="restart"/>
                  <w:tcBorders>
                    <w:tl2br w:val="nil"/>
                    <w:tr2bl w:val="nil"/>
                  </w:tcBorders>
                  <w:vAlign w:val="center"/>
                </w:tcPr>
                <w:p>
                  <w:pPr>
                    <w:spacing w:line="240" w:lineRule="exact"/>
                    <w:jc w:val="center"/>
                    <w:rPr>
                      <w:rFonts w:hint="eastAsia"/>
                      <w:color w:val="auto"/>
                      <w:szCs w:val="21"/>
                    </w:rPr>
                  </w:pPr>
                  <w:r>
                    <w:rPr>
                      <w:rFonts w:hint="eastAsia"/>
                      <w:color w:val="auto"/>
                      <w:szCs w:val="21"/>
                    </w:rPr>
                    <w:t>配水站名称</w:t>
                  </w:r>
                </w:p>
              </w:tc>
              <w:tc>
                <w:tcPr>
                  <w:tcW w:w="1784" w:type="dxa"/>
                  <w:vMerge w:val="restart"/>
                  <w:tcBorders>
                    <w:tl2br w:val="nil"/>
                    <w:tr2bl w:val="nil"/>
                  </w:tcBorders>
                  <w:vAlign w:val="center"/>
                </w:tcPr>
                <w:p>
                  <w:pPr>
                    <w:spacing w:line="240" w:lineRule="exact"/>
                    <w:jc w:val="center"/>
                    <w:rPr>
                      <w:rFonts w:hint="eastAsia"/>
                      <w:color w:val="auto"/>
                      <w:szCs w:val="21"/>
                    </w:rPr>
                  </w:pPr>
                  <w:r>
                    <w:rPr>
                      <w:rFonts w:hint="eastAsia"/>
                      <w:color w:val="auto"/>
                      <w:szCs w:val="21"/>
                    </w:rPr>
                    <w:t>服务范围</w:t>
                  </w:r>
                </w:p>
              </w:tc>
              <w:tc>
                <w:tcPr>
                  <w:tcW w:w="1549" w:type="dxa"/>
                  <w:gridSpan w:val="2"/>
                  <w:tcBorders>
                    <w:tl2br w:val="nil"/>
                    <w:tr2bl w:val="nil"/>
                  </w:tcBorders>
                  <w:vAlign w:val="center"/>
                </w:tcPr>
                <w:p>
                  <w:pPr>
                    <w:spacing w:line="240" w:lineRule="exact"/>
                    <w:jc w:val="center"/>
                    <w:rPr>
                      <w:rFonts w:hint="eastAsia"/>
                      <w:color w:val="auto"/>
                      <w:szCs w:val="21"/>
                    </w:rPr>
                  </w:pPr>
                  <w:r>
                    <w:rPr>
                      <w:rFonts w:hint="eastAsia"/>
                      <w:color w:val="auto"/>
                      <w:szCs w:val="21"/>
                    </w:rPr>
                    <w:t>服务人口</w:t>
                  </w:r>
                </w:p>
              </w:tc>
              <w:tc>
                <w:tcPr>
                  <w:tcW w:w="1453" w:type="dxa"/>
                  <w:gridSpan w:val="2"/>
                  <w:tcBorders>
                    <w:tl2br w:val="nil"/>
                    <w:tr2bl w:val="nil"/>
                  </w:tcBorders>
                  <w:vAlign w:val="center"/>
                </w:tcPr>
                <w:p>
                  <w:pPr>
                    <w:spacing w:line="240" w:lineRule="exact"/>
                    <w:jc w:val="center"/>
                    <w:rPr>
                      <w:rFonts w:hint="eastAsia"/>
                      <w:color w:val="auto"/>
                      <w:szCs w:val="21"/>
                    </w:rPr>
                  </w:pPr>
                  <w:r>
                    <w:rPr>
                      <w:rFonts w:hint="eastAsia"/>
                      <w:color w:val="auto"/>
                      <w:szCs w:val="21"/>
                    </w:rPr>
                    <w:t>规模</w:t>
                  </w:r>
                </w:p>
              </w:tc>
              <w:tc>
                <w:tcPr>
                  <w:tcW w:w="1260" w:type="dxa"/>
                  <w:gridSpan w:val="2"/>
                  <w:tcBorders>
                    <w:tl2br w:val="nil"/>
                    <w:tr2bl w:val="nil"/>
                  </w:tcBorders>
                  <w:vAlign w:val="center"/>
                </w:tcPr>
                <w:p>
                  <w:pPr>
                    <w:spacing w:line="240" w:lineRule="exact"/>
                    <w:jc w:val="center"/>
                    <w:rPr>
                      <w:rFonts w:hint="eastAsia"/>
                      <w:color w:val="auto"/>
                      <w:szCs w:val="21"/>
                    </w:rPr>
                  </w:pPr>
                  <w:r>
                    <w:rPr>
                      <w:rFonts w:hint="eastAsia"/>
                      <w:color w:val="auto"/>
                      <w:szCs w:val="21"/>
                    </w:rPr>
                    <w:t>池容</w:t>
                  </w:r>
                </w:p>
              </w:tc>
              <w:tc>
                <w:tcPr>
                  <w:tcW w:w="961" w:type="dxa"/>
                  <w:vMerge w:val="restart"/>
                  <w:tcBorders>
                    <w:tl2br w:val="nil"/>
                    <w:tr2bl w:val="nil"/>
                  </w:tcBorders>
                  <w:vAlign w:val="center"/>
                </w:tcPr>
                <w:p>
                  <w:pPr>
                    <w:spacing w:line="240" w:lineRule="exact"/>
                    <w:jc w:val="center"/>
                    <w:rPr>
                      <w:rFonts w:hint="eastAsia"/>
                      <w:color w:val="auto"/>
                      <w:szCs w:val="21"/>
                    </w:rPr>
                  </w:pPr>
                  <w:r>
                    <w:rPr>
                      <w:rFonts w:hint="eastAsia"/>
                      <w:color w:val="auto"/>
                      <w:szCs w:val="21"/>
                    </w:rPr>
                    <w:t>开”T”处</w:t>
                  </w:r>
                </w:p>
                <w:p>
                  <w:pPr>
                    <w:spacing w:line="240" w:lineRule="exact"/>
                    <w:jc w:val="center"/>
                    <w:rPr>
                      <w:rFonts w:hint="eastAsia"/>
                      <w:color w:val="auto"/>
                      <w:szCs w:val="21"/>
                    </w:rPr>
                  </w:pPr>
                  <w:r>
                    <w:rPr>
                      <w:rFonts w:hint="eastAsia"/>
                      <w:color w:val="auto"/>
                      <w:szCs w:val="21"/>
                    </w:rPr>
                    <w:t>水压标高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vMerge w:val="continue"/>
                  <w:tcBorders>
                    <w:tl2br w:val="nil"/>
                    <w:tr2bl w:val="nil"/>
                  </w:tcBorders>
                  <w:vAlign w:val="center"/>
                </w:tcPr>
                <w:p>
                  <w:pPr>
                    <w:spacing w:line="240" w:lineRule="exact"/>
                    <w:jc w:val="center"/>
                    <w:rPr>
                      <w:rFonts w:hint="eastAsia"/>
                      <w:color w:val="auto"/>
                      <w:szCs w:val="21"/>
                    </w:rPr>
                  </w:pPr>
                </w:p>
              </w:tc>
              <w:tc>
                <w:tcPr>
                  <w:tcW w:w="1784" w:type="dxa"/>
                  <w:vMerge w:val="continue"/>
                  <w:tcBorders>
                    <w:tl2br w:val="nil"/>
                    <w:tr2bl w:val="nil"/>
                  </w:tcBorders>
                  <w:vAlign w:val="center"/>
                </w:tcPr>
                <w:p>
                  <w:pPr>
                    <w:spacing w:line="240" w:lineRule="exact"/>
                    <w:jc w:val="center"/>
                    <w:rPr>
                      <w:rFonts w:hint="eastAsia"/>
                      <w:color w:val="auto"/>
                      <w:szCs w:val="21"/>
                    </w:rPr>
                  </w:pP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近期</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远期</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近期</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远期</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近期</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lang w:eastAsia="zh-CN"/>
                    </w:rPr>
                    <w:t>远期</w:t>
                  </w:r>
                  <w:r>
                    <w:rPr>
                      <w:rFonts w:hint="eastAsia"/>
                      <w:color w:val="auto"/>
                      <w:szCs w:val="21"/>
                    </w:rPr>
                    <w:t>期</w:t>
                  </w:r>
                </w:p>
              </w:tc>
              <w:tc>
                <w:tcPr>
                  <w:tcW w:w="961" w:type="dxa"/>
                  <w:vMerge w:val="continue"/>
                  <w:tcBorders>
                    <w:tl2br w:val="nil"/>
                    <w:tr2bl w:val="nil"/>
                  </w:tcBorders>
                  <w:vAlign w:val="center"/>
                </w:tcPr>
                <w:p>
                  <w:pPr>
                    <w:spacing w:line="240" w:lineRule="exact"/>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加义配水站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加义镇区域</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31408</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20300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5000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3000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1200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1200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153.52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献冲配水站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献冲镇区域</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25596</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27066</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4000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4000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146.45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安定配水站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安定镇、三市镇、三阳乡、福寿山镇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120875</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115213</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17000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17000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3200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3200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140.64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三阳配水站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三阳乡、安定镇、三市镇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24887</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70000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3500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3500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135.29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城关配水站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城关镇、三阳乡、梅仙镇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165226</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220350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52000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160000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8000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16000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132.25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瓮江镇配水站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瓮江镇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27086</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44805</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3600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6500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1000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126.34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余坪镇配水站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余坪镇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29972</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29443</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4000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4500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1200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1200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120.44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青冲配水站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浯口镇、伍市镇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93576</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114253</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13000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17000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1800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1800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108.43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392" w:type="dxa"/>
                  <w:tcBorders>
                    <w:tl2br w:val="nil"/>
                    <w:tr2bl w:val="nil"/>
                  </w:tcBorders>
                  <w:vAlign w:val="center"/>
                </w:tcPr>
                <w:p>
                  <w:pPr>
                    <w:spacing w:line="240" w:lineRule="exact"/>
                    <w:jc w:val="center"/>
                    <w:rPr>
                      <w:rFonts w:hint="eastAsia"/>
                      <w:color w:val="auto"/>
                      <w:szCs w:val="21"/>
                    </w:rPr>
                  </w:pPr>
                  <w:r>
                    <w:rPr>
                      <w:rFonts w:hint="eastAsia"/>
                      <w:color w:val="auto"/>
                      <w:szCs w:val="21"/>
                    </w:rPr>
                    <w:t>向家镇配水站</w:t>
                  </w:r>
                </w:p>
              </w:tc>
              <w:tc>
                <w:tcPr>
                  <w:tcW w:w="1784" w:type="dxa"/>
                  <w:tcBorders>
                    <w:tl2br w:val="nil"/>
                    <w:tr2bl w:val="nil"/>
                  </w:tcBorders>
                  <w:vAlign w:val="center"/>
                </w:tcPr>
                <w:p>
                  <w:pPr>
                    <w:spacing w:line="240" w:lineRule="exact"/>
                    <w:jc w:val="center"/>
                    <w:rPr>
                      <w:rFonts w:hint="eastAsia"/>
                      <w:color w:val="auto"/>
                      <w:szCs w:val="21"/>
                    </w:rPr>
                  </w:pPr>
                  <w:r>
                    <w:rPr>
                      <w:rFonts w:hint="eastAsia"/>
                      <w:color w:val="auto"/>
                      <w:szCs w:val="21"/>
                    </w:rPr>
                    <w:t>向家镇</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18127</w:t>
                  </w:r>
                </w:p>
              </w:tc>
              <w:tc>
                <w:tcPr>
                  <w:tcW w:w="775" w:type="dxa"/>
                  <w:tcBorders>
                    <w:tl2br w:val="nil"/>
                    <w:tr2bl w:val="nil"/>
                  </w:tcBorders>
                  <w:vAlign w:val="center"/>
                </w:tcPr>
                <w:p>
                  <w:pPr>
                    <w:spacing w:line="240" w:lineRule="exact"/>
                    <w:jc w:val="center"/>
                    <w:rPr>
                      <w:rFonts w:hint="eastAsia"/>
                      <w:color w:val="auto"/>
                      <w:szCs w:val="21"/>
                    </w:rPr>
                  </w:pPr>
                  <w:r>
                    <w:rPr>
                      <w:rFonts w:hint="eastAsia"/>
                      <w:color w:val="auto"/>
                      <w:szCs w:val="21"/>
                    </w:rPr>
                    <w:t>12161</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2500</w:t>
                  </w:r>
                </w:p>
              </w:tc>
              <w:tc>
                <w:tcPr>
                  <w:tcW w:w="774" w:type="dxa"/>
                  <w:tcBorders>
                    <w:tl2br w:val="nil"/>
                    <w:tr2bl w:val="nil"/>
                  </w:tcBorders>
                  <w:vAlign w:val="center"/>
                </w:tcPr>
                <w:p>
                  <w:pPr>
                    <w:spacing w:line="240" w:lineRule="exact"/>
                    <w:jc w:val="center"/>
                    <w:rPr>
                      <w:rFonts w:hint="eastAsia"/>
                      <w:color w:val="auto"/>
                      <w:szCs w:val="21"/>
                    </w:rPr>
                  </w:pPr>
                  <w:r>
                    <w:rPr>
                      <w:rFonts w:hint="eastAsia"/>
                      <w:color w:val="auto"/>
                      <w:szCs w:val="21"/>
                    </w:rPr>
                    <w:t>2500</w:t>
                  </w:r>
                </w:p>
              </w:tc>
              <w:tc>
                <w:tcPr>
                  <w:tcW w:w="581" w:type="dxa"/>
                  <w:tcBorders>
                    <w:tl2br w:val="nil"/>
                    <w:tr2bl w:val="nil"/>
                  </w:tcBorders>
                  <w:vAlign w:val="center"/>
                </w:tcPr>
                <w:p>
                  <w:pPr>
                    <w:spacing w:line="240" w:lineRule="exact"/>
                    <w:jc w:val="center"/>
                    <w:rPr>
                      <w:rFonts w:hint="eastAsia"/>
                      <w:color w:val="auto"/>
                      <w:szCs w:val="21"/>
                    </w:rPr>
                  </w:pPr>
                  <w:r>
                    <w:rPr>
                      <w:rFonts w:hint="eastAsia"/>
                      <w:color w:val="auto"/>
                      <w:szCs w:val="21"/>
                    </w:rPr>
                    <w:t>600</w:t>
                  </w:r>
                </w:p>
              </w:tc>
              <w:tc>
                <w:tcPr>
                  <w:tcW w:w="679" w:type="dxa"/>
                  <w:tcBorders>
                    <w:tl2br w:val="nil"/>
                    <w:tr2bl w:val="nil"/>
                  </w:tcBorders>
                  <w:vAlign w:val="center"/>
                </w:tcPr>
                <w:p>
                  <w:pPr>
                    <w:spacing w:line="240" w:lineRule="exact"/>
                    <w:jc w:val="center"/>
                    <w:rPr>
                      <w:rFonts w:hint="eastAsia"/>
                      <w:color w:val="auto"/>
                      <w:szCs w:val="21"/>
                    </w:rPr>
                  </w:pPr>
                  <w:r>
                    <w:rPr>
                      <w:rFonts w:hint="eastAsia"/>
                      <w:color w:val="auto"/>
                      <w:szCs w:val="21"/>
                    </w:rPr>
                    <w:t>600</w:t>
                  </w:r>
                </w:p>
              </w:tc>
              <w:tc>
                <w:tcPr>
                  <w:tcW w:w="961" w:type="dxa"/>
                  <w:tcBorders>
                    <w:tl2br w:val="nil"/>
                    <w:tr2bl w:val="nil"/>
                  </w:tcBorders>
                  <w:vAlign w:val="center"/>
                </w:tcPr>
                <w:p>
                  <w:pPr>
                    <w:spacing w:line="240" w:lineRule="exact"/>
                    <w:jc w:val="center"/>
                    <w:rPr>
                      <w:rFonts w:hint="eastAsia"/>
                      <w:color w:val="auto"/>
                      <w:szCs w:val="21"/>
                    </w:rPr>
                  </w:pPr>
                  <w:r>
                    <w:rPr>
                      <w:rFonts w:hint="eastAsia"/>
                      <w:color w:val="auto"/>
                      <w:szCs w:val="21"/>
                    </w:rPr>
                    <w:t>91.30</w:t>
                  </w:r>
                </w:p>
              </w:tc>
            </w:tr>
          </w:tbl>
          <w:p>
            <w:pPr>
              <w:adjustRightInd w:val="0"/>
              <w:spacing w:line="360" w:lineRule="auto"/>
              <w:ind w:firstLine="480" w:firstLineChars="200"/>
              <w:rPr>
                <w:rFonts w:hint="eastAsia"/>
                <w:color w:val="auto"/>
                <w:sz w:val="24"/>
                <w:lang w:eastAsia="zh-CN"/>
              </w:rPr>
            </w:pPr>
            <w:r>
              <w:rPr>
                <w:rFonts w:hint="eastAsia"/>
                <w:color w:val="auto"/>
                <w:sz w:val="24"/>
                <w:lang w:eastAsia="zh-CN"/>
              </w:rPr>
              <w:t>（</w:t>
            </w:r>
            <w:r>
              <w:rPr>
                <w:rFonts w:hint="eastAsia"/>
                <w:color w:val="auto"/>
                <w:sz w:val="24"/>
                <w:lang w:val="en-US" w:eastAsia="zh-CN"/>
              </w:rPr>
              <w:t>10</w:t>
            </w:r>
            <w:r>
              <w:rPr>
                <w:rFonts w:hint="eastAsia"/>
                <w:color w:val="auto"/>
                <w:sz w:val="24"/>
                <w:lang w:eastAsia="zh-CN"/>
              </w:rPr>
              <w:t>）配水管道主要设备一览表</w:t>
            </w:r>
          </w:p>
          <w:p>
            <w:pPr>
              <w:adjustRightInd w:val="0"/>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8</w:t>
            </w:r>
            <w:r>
              <w:rPr>
                <w:rFonts w:hint="eastAsia"/>
                <w:b/>
                <w:color w:val="auto"/>
                <w:szCs w:val="21"/>
              </w:rPr>
              <w:t>平江供水（黄金洞水库）枢纽工程配水管道主要设备清单一览表</w:t>
            </w:r>
          </w:p>
          <w:tbl>
            <w:tblPr>
              <w:tblStyle w:val="14"/>
              <w:tblW w:w="8399" w:type="dxa"/>
              <w:jc w:val="center"/>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541"/>
              <w:gridCol w:w="1986"/>
              <w:gridCol w:w="3401"/>
              <w:gridCol w:w="657"/>
              <w:gridCol w:w="657"/>
              <w:gridCol w:w="11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blHeader/>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编号</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名  称</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型号及规格</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单位</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数量</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备 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8399" w:type="dxa"/>
                  <w:gridSpan w:val="6"/>
                  <w:tcBorders>
                    <w:tl2br w:val="nil"/>
                    <w:tr2bl w:val="nil"/>
                  </w:tcBorders>
                  <w:vAlign w:val="center"/>
                </w:tcPr>
                <w:p>
                  <w:pPr>
                    <w:tabs>
                      <w:tab w:val="left" w:pos="8100"/>
                    </w:tabs>
                    <w:spacing w:line="240" w:lineRule="auto"/>
                    <w:ind w:firstLine="0" w:firstLineChars="0"/>
                    <w:jc w:val="center"/>
                    <w:rPr>
                      <w:color w:val="auto"/>
                      <w:sz w:val="21"/>
                      <w:szCs w:val="21"/>
                    </w:rPr>
                  </w:pPr>
                  <w:r>
                    <w:rPr>
                      <w:bCs/>
                      <w:color w:val="auto"/>
                      <w:sz w:val="21"/>
                      <w:szCs w:val="21"/>
                    </w:rPr>
                    <w:t>水厂输配水管线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1</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水厂输配水主干管</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DN1200，L=</w:t>
                  </w:r>
                  <w:r>
                    <w:rPr>
                      <w:rFonts w:hint="eastAsia"/>
                      <w:color w:val="auto"/>
                      <w:sz w:val="21"/>
                      <w:szCs w:val="21"/>
                    </w:rPr>
                    <w:t>46822.0</w:t>
                  </w:r>
                  <w:r>
                    <w:rPr>
                      <w:color w:val="auto"/>
                      <w:sz w:val="21"/>
                      <w:szCs w:val="21"/>
                    </w:rPr>
                    <w:t>m</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根</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1</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球磨铸铁管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2</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水厂输配水主干管</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DN</w:t>
                  </w:r>
                  <w:r>
                    <w:rPr>
                      <w:rFonts w:hint="eastAsia"/>
                      <w:color w:val="auto"/>
                      <w:sz w:val="21"/>
                      <w:szCs w:val="21"/>
                    </w:rPr>
                    <w:t>8</w:t>
                  </w:r>
                  <w:r>
                    <w:rPr>
                      <w:color w:val="auto"/>
                      <w:sz w:val="21"/>
                      <w:szCs w:val="21"/>
                    </w:rPr>
                    <w:t>00，L=</w:t>
                  </w:r>
                  <w:r>
                    <w:rPr>
                      <w:rFonts w:hint="eastAsia"/>
                      <w:color w:val="auto"/>
                      <w:sz w:val="21"/>
                      <w:szCs w:val="21"/>
                    </w:rPr>
                    <w:t>16573.0</w:t>
                  </w:r>
                  <w:r>
                    <w:rPr>
                      <w:color w:val="auto"/>
                      <w:sz w:val="21"/>
                      <w:szCs w:val="21"/>
                    </w:rPr>
                    <w:t>m</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根</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1</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球磨铸铁管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rFonts w:hint="eastAsia"/>
                      <w:color w:val="auto"/>
                      <w:sz w:val="21"/>
                      <w:szCs w:val="21"/>
                    </w:rPr>
                    <w:t>3</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水厂输配水主干管</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DN</w:t>
                  </w:r>
                  <w:r>
                    <w:rPr>
                      <w:rFonts w:hint="eastAsia"/>
                      <w:color w:val="auto"/>
                      <w:sz w:val="21"/>
                      <w:szCs w:val="21"/>
                    </w:rPr>
                    <w:t>6</w:t>
                  </w:r>
                  <w:r>
                    <w:rPr>
                      <w:color w:val="auto"/>
                      <w:sz w:val="21"/>
                      <w:szCs w:val="21"/>
                    </w:rPr>
                    <w:t>00，L=</w:t>
                  </w:r>
                  <w:r>
                    <w:rPr>
                      <w:rFonts w:hint="eastAsia"/>
                      <w:color w:val="auto"/>
                      <w:sz w:val="21"/>
                      <w:szCs w:val="21"/>
                    </w:rPr>
                    <w:t>21633.0</w:t>
                  </w:r>
                  <w:r>
                    <w:rPr>
                      <w:color w:val="auto"/>
                      <w:sz w:val="21"/>
                      <w:szCs w:val="21"/>
                    </w:rPr>
                    <w:t>m</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根</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1</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球磨铸铁管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rFonts w:hint="eastAsia"/>
                      <w:color w:val="auto"/>
                      <w:sz w:val="21"/>
                      <w:szCs w:val="21"/>
                    </w:rPr>
                    <w:t>4</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水厂输配水主干管</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DN</w:t>
                  </w:r>
                  <w:r>
                    <w:rPr>
                      <w:rFonts w:hint="eastAsia"/>
                      <w:color w:val="auto"/>
                      <w:sz w:val="21"/>
                      <w:szCs w:val="21"/>
                    </w:rPr>
                    <w:t>3</w:t>
                  </w:r>
                  <w:r>
                    <w:rPr>
                      <w:color w:val="auto"/>
                      <w:sz w:val="21"/>
                      <w:szCs w:val="21"/>
                    </w:rPr>
                    <w:t>00，L=</w:t>
                  </w:r>
                  <w:r>
                    <w:rPr>
                      <w:rFonts w:hint="eastAsia"/>
                      <w:color w:val="auto"/>
                      <w:sz w:val="21"/>
                      <w:szCs w:val="21"/>
                    </w:rPr>
                    <w:t>22261</w:t>
                  </w:r>
                  <w:r>
                    <w:rPr>
                      <w:color w:val="auto"/>
                      <w:sz w:val="21"/>
                      <w:szCs w:val="21"/>
                    </w:rPr>
                    <w:t>m</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根</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1</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球磨铸铁管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jc w:val="center"/>
              </w:trPr>
              <w:tc>
                <w:tcPr>
                  <w:tcW w:w="541" w:type="dxa"/>
                  <w:tcBorders>
                    <w:tl2br w:val="nil"/>
                    <w:tr2bl w:val="nil"/>
                  </w:tcBorders>
                  <w:vAlign w:val="center"/>
                </w:tcPr>
                <w:p>
                  <w:pPr>
                    <w:tabs>
                      <w:tab w:val="left" w:pos="8100"/>
                    </w:tabs>
                    <w:spacing w:line="240" w:lineRule="auto"/>
                    <w:ind w:firstLine="0" w:firstLineChars="0"/>
                    <w:jc w:val="center"/>
                    <w:rPr>
                      <w:color w:val="auto"/>
                      <w:sz w:val="21"/>
                      <w:szCs w:val="21"/>
                    </w:rPr>
                  </w:pPr>
                  <w:r>
                    <w:rPr>
                      <w:rFonts w:hint="eastAsia"/>
                      <w:color w:val="auto"/>
                      <w:sz w:val="21"/>
                      <w:szCs w:val="21"/>
                    </w:rPr>
                    <w:t>5</w:t>
                  </w:r>
                </w:p>
              </w:tc>
              <w:tc>
                <w:tcPr>
                  <w:tcW w:w="1986"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配水站</w:t>
                  </w:r>
                </w:p>
              </w:tc>
              <w:tc>
                <w:tcPr>
                  <w:tcW w:w="3401" w:type="dxa"/>
                  <w:tcBorders>
                    <w:tl2br w:val="nil"/>
                    <w:tr2bl w:val="nil"/>
                  </w:tcBorders>
                  <w:vAlign w:val="center"/>
                </w:tcPr>
                <w:p>
                  <w:pPr>
                    <w:tabs>
                      <w:tab w:val="left" w:pos="8100"/>
                    </w:tabs>
                    <w:spacing w:line="240" w:lineRule="auto"/>
                    <w:ind w:firstLine="0" w:firstLineChars="0"/>
                    <w:jc w:val="center"/>
                    <w:rPr>
                      <w:color w:val="auto"/>
                      <w:sz w:val="21"/>
                      <w:szCs w:val="21"/>
                    </w:rPr>
                  </w:pP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color w:val="auto"/>
                      <w:sz w:val="21"/>
                      <w:szCs w:val="21"/>
                    </w:rPr>
                    <w:t>个</w:t>
                  </w:r>
                </w:p>
              </w:tc>
              <w:tc>
                <w:tcPr>
                  <w:tcW w:w="657" w:type="dxa"/>
                  <w:tcBorders>
                    <w:tl2br w:val="nil"/>
                    <w:tr2bl w:val="nil"/>
                  </w:tcBorders>
                  <w:vAlign w:val="center"/>
                </w:tcPr>
                <w:p>
                  <w:pPr>
                    <w:tabs>
                      <w:tab w:val="left" w:pos="8100"/>
                    </w:tabs>
                    <w:spacing w:line="240" w:lineRule="auto"/>
                    <w:ind w:firstLine="0" w:firstLineChars="0"/>
                    <w:jc w:val="center"/>
                    <w:rPr>
                      <w:color w:val="auto"/>
                      <w:sz w:val="21"/>
                      <w:szCs w:val="21"/>
                    </w:rPr>
                  </w:pPr>
                  <w:r>
                    <w:rPr>
                      <w:rFonts w:hint="eastAsia"/>
                      <w:color w:val="auto"/>
                      <w:sz w:val="21"/>
                      <w:szCs w:val="21"/>
                    </w:rPr>
                    <w:t>9</w:t>
                  </w:r>
                </w:p>
              </w:tc>
              <w:tc>
                <w:tcPr>
                  <w:tcW w:w="1157" w:type="dxa"/>
                  <w:tcBorders>
                    <w:tl2br w:val="nil"/>
                    <w:tr2bl w:val="nil"/>
                  </w:tcBorders>
                  <w:vAlign w:val="center"/>
                </w:tcPr>
                <w:p>
                  <w:pPr>
                    <w:tabs>
                      <w:tab w:val="left" w:pos="8100"/>
                    </w:tabs>
                    <w:spacing w:line="240" w:lineRule="auto"/>
                    <w:ind w:firstLine="0" w:firstLineChars="0"/>
                    <w:jc w:val="center"/>
                    <w:rPr>
                      <w:color w:val="auto"/>
                      <w:sz w:val="21"/>
                      <w:szCs w:val="21"/>
                    </w:rPr>
                  </w:pPr>
                </w:p>
              </w:tc>
            </w:tr>
          </w:tbl>
          <w:p>
            <w:pPr>
              <w:spacing w:line="360" w:lineRule="auto"/>
              <w:rPr>
                <w:rFonts w:hint="eastAsia"/>
                <w:color w:val="auto"/>
                <w:sz w:val="24"/>
              </w:rPr>
            </w:pPr>
            <w:r>
              <w:rPr>
                <w:rFonts w:hint="eastAsia"/>
                <w:b/>
                <w:color w:val="auto"/>
                <w:sz w:val="24"/>
              </w:rPr>
              <w:t>3</w:t>
            </w:r>
            <w:r>
              <w:rPr>
                <w:b/>
                <w:color w:val="auto"/>
                <w:sz w:val="24"/>
              </w:rPr>
              <w:t>.</w:t>
            </w:r>
            <w:r>
              <w:rPr>
                <w:rFonts w:hint="eastAsia"/>
                <w:b/>
                <w:color w:val="auto"/>
                <w:sz w:val="24"/>
              </w:rPr>
              <w:t>4</w:t>
            </w:r>
            <w:r>
              <w:rPr>
                <w:b/>
                <w:color w:val="auto"/>
                <w:sz w:val="24"/>
              </w:rPr>
              <w:t xml:space="preserve"> </w:t>
            </w:r>
            <w:r>
              <w:rPr>
                <w:rFonts w:hint="eastAsia"/>
                <w:b/>
                <w:color w:val="auto"/>
                <w:sz w:val="24"/>
              </w:rPr>
              <w:t>服务乡村及人口情况</w:t>
            </w:r>
          </w:p>
          <w:p>
            <w:pPr>
              <w:adjustRightInd w:val="0"/>
              <w:spacing w:line="360" w:lineRule="auto"/>
              <w:ind w:firstLine="480" w:firstLineChars="200"/>
              <w:rPr>
                <w:rFonts w:hint="eastAsia"/>
                <w:color w:val="auto"/>
                <w:sz w:val="24"/>
              </w:rPr>
            </w:pPr>
            <w:r>
              <w:rPr>
                <w:rFonts w:hint="eastAsia"/>
                <w:color w:val="auto"/>
                <w:sz w:val="24"/>
              </w:rPr>
              <w:t>本项目供水服务范围内乡村名称及服务人口情况见表</w:t>
            </w:r>
            <w:r>
              <w:rPr>
                <w:rFonts w:hint="eastAsia"/>
                <w:color w:val="auto"/>
                <w:sz w:val="24"/>
                <w:lang w:val="en-US" w:eastAsia="zh-CN"/>
              </w:rPr>
              <w:t>9</w:t>
            </w:r>
            <w:r>
              <w:rPr>
                <w:rFonts w:hint="eastAsia"/>
                <w:color w:val="auto"/>
                <w:sz w:val="24"/>
              </w:rPr>
              <w:t>。</w:t>
            </w:r>
          </w:p>
          <w:p>
            <w:pPr>
              <w:adjustRightInd w:val="0"/>
              <w:spacing w:line="360" w:lineRule="auto"/>
              <w:jc w:val="center"/>
              <w:rPr>
                <w:rFonts w:hint="eastAsia"/>
                <w:b/>
                <w:color w:val="auto"/>
                <w:szCs w:val="21"/>
              </w:rPr>
            </w:pPr>
            <w:r>
              <w:rPr>
                <w:rFonts w:hint="eastAsia"/>
                <w:b/>
                <w:color w:val="auto"/>
                <w:szCs w:val="21"/>
              </w:rPr>
              <w:t>表</w:t>
            </w:r>
            <w:r>
              <w:rPr>
                <w:rFonts w:hint="eastAsia"/>
                <w:b/>
                <w:color w:val="auto"/>
                <w:szCs w:val="21"/>
                <w:lang w:val="en-US" w:eastAsia="zh-CN"/>
              </w:rPr>
              <w:t>9</w:t>
            </w:r>
            <w:r>
              <w:rPr>
                <w:rFonts w:hint="eastAsia"/>
                <w:b/>
                <w:color w:val="auto"/>
                <w:szCs w:val="21"/>
              </w:rPr>
              <w:t xml:space="preserve">  本项目服务范围情况一览表</w:t>
            </w:r>
          </w:p>
          <w:tbl>
            <w:tblPr>
              <w:tblStyle w:val="14"/>
              <w:tblW w:w="8399" w:type="dxa"/>
              <w:jc w:val="center"/>
              <w:tblInd w:w="-1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
            <w:tblGrid>
              <w:gridCol w:w="602"/>
              <w:gridCol w:w="1097"/>
              <w:gridCol w:w="1335"/>
              <w:gridCol w:w="4367"/>
              <w:gridCol w:w="9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序号</w:t>
                  </w:r>
                </w:p>
              </w:tc>
              <w:tc>
                <w:tcPr>
                  <w:tcW w:w="109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项目名称</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乡镇名称</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服务范围内村名</w:t>
                  </w:r>
                </w:p>
              </w:tc>
              <w:tc>
                <w:tcPr>
                  <w:tcW w:w="998"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服务人口</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1</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长寿清水池</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长寿镇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明胜村、新建村、金龙村、大水村、付坪村、保丰村、太平村、东一村、郑段村、国富村、下付村、先锋村、塘口村、大塘村、致富村、新园村、马西村、新港村、楼前村、联升村、湖坪村、杨泗村、丁油村、万丰村、道石村、将民村、三三村、新湖村、沙联村、杨坳村、毛田村、洲上村、邵阳村、花园村、福建村、新联村、阳坪村、东风村、永桂村、泗联村、白沿村、桂丰村、丰和村、光明村、九岭村、飞跃村、朗希村、姜坳村、四湾村等49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91945人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木金乡</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保全村、保田村、公安村、清水村、上湖村、金坪村等6个村。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2</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加义配水站</w:t>
                  </w:r>
                </w:p>
              </w:tc>
              <w:tc>
                <w:tcPr>
                  <w:tcW w:w="1335"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加义镇</w:t>
                  </w:r>
                </w:p>
              </w:tc>
              <w:tc>
                <w:tcPr>
                  <w:tcW w:w="436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义口村、大青村、三村村、东山村、东南村、早仑村、加义村、姜年村、练埠村、联合村、谢江村、梅塘村、杨邓村、潘柳村、坎塘村、泉塘村、思源村、永张村、高段村等19个村。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31408人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vMerge w:val="continue"/>
                  <w:tcBorders>
                    <w:tl2br w:val="nil"/>
                    <w:tr2bl w:val="nil"/>
                  </w:tcBorders>
                  <w:vAlign w:val="center"/>
                </w:tcPr>
                <w:p>
                  <w:pPr>
                    <w:spacing w:line="240" w:lineRule="exact"/>
                    <w:jc w:val="center"/>
                    <w:rPr>
                      <w:rFonts w:hint="eastAsia"/>
                      <w:color w:val="auto"/>
                      <w:sz w:val="18"/>
                      <w:szCs w:val="18"/>
                    </w:rPr>
                  </w:pPr>
                </w:p>
              </w:tc>
              <w:tc>
                <w:tcPr>
                  <w:tcW w:w="4367" w:type="dxa"/>
                  <w:vMerge w:val="continue"/>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3</w:t>
                  </w:r>
                </w:p>
              </w:tc>
              <w:tc>
                <w:tcPr>
                  <w:tcW w:w="109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献钟配水站</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献冲镇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落古村、献钟村、泗洲村、五星村、谭湾村、小岩村、黄花村、正义村、西燕村、新江村、新仁村、大岩村、泊头村等13个村。</w:t>
                  </w:r>
                </w:p>
              </w:tc>
              <w:tc>
                <w:tcPr>
                  <w:tcW w:w="998"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25596人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3</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安定配水站</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安定镇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上黄村、田陌村、山背村、官塘村、边山村、青山村、安永村、安定村、横冲村、永兴村、花塘村、河坪村、鸣山村、水南村、岳田村、桃源村、王狮村、圳坎村、小田村、中黄村、正黄村、大毛村、小毛村、长田村、白毛村、富家村、田家村、福星村、平田村、高坪村、等30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120875人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三市镇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眼桥居委会、寨上村、托田村、下坪村、低坪村、天湖村、爽口村、高和村、沙段村、中沙村、联华村、下沙村、郊源村、郊南村、东岸村、麦田村、马斯村、东月村、宦田村、宝丰村、渡头村、肥田村、永安村、效东村、永太村、大洞村、碛江村等27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4</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三阳配水站</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三阳乡</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密岩村、坑口村、大源村、碧联村、新仁村、美潭村、兴阳村、金花村、等8个村。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24887人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三市镇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西南村、横槎村、白尔村、黄金村等4个村。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安定镇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河圳村、大桥村、长兴村、白坪村、官滩村、中县村、浮坛村、止马村、江东村、石浆村等10个村。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5</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城关配水站</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城关镇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县城、城东村、城西村、城郊村、四方塘村、澄潭村、驷马村、古城村、北源村、三望冲村、城新村、北附村、枫树村、迎瑞村、城坪村、北城村、三阳村、天岳村、井坎村等18个村。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165226人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三阳乡</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西岸村、上坪村、狮岩村、潘坳村、大众村、洪山村、金坪村、仙江村、下湾村、大桥村、新源村、葛腾坪村、白若村、长冲村、平沅村、代屏源村、苏白村、甲山村等18个村。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梅仙镇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集镇、高义村、凤形村、钟家村、三坪村、小元村、新霞村、团山村、三里村、玳璋村、竹岭村、稻田村等11个村。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6</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瓮江配水站</w:t>
                  </w:r>
                </w:p>
              </w:tc>
              <w:tc>
                <w:tcPr>
                  <w:tcW w:w="1335"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瓮江镇</w:t>
                  </w:r>
                </w:p>
              </w:tc>
              <w:tc>
                <w:tcPr>
                  <w:tcW w:w="436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张川村、新马村、三合村、瓮江村、清潭村、新岭村、左源村、谷溪村、金罗村、仁胜村、英集村、芭焦村、杨枚村、石坪村、太平村、九龙村、塔兴村、盘石村等18个村。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27086人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vMerge w:val="continue"/>
                  <w:tcBorders>
                    <w:tl2br w:val="nil"/>
                    <w:tr2bl w:val="nil"/>
                  </w:tcBorders>
                  <w:vAlign w:val="center"/>
                </w:tcPr>
                <w:p>
                  <w:pPr>
                    <w:spacing w:line="240" w:lineRule="exact"/>
                    <w:jc w:val="center"/>
                    <w:rPr>
                      <w:rFonts w:hint="eastAsia"/>
                      <w:color w:val="auto"/>
                      <w:sz w:val="18"/>
                      <w:szCs w:val="18"/>
                    </w:rPr>
                  </w:pPr>
                </w:p>
              </w:tc>
              <w:tc>
                <w:tcPr>
                  <w:tcW w:w="4367" w:type="dxa"/>
                  <w:vMerge w:val="continue"/>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7</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余坪配水站</w:t>
                  </w:r>
                </w:p>
              </w:tc>
              <w:tc>
                <w:tcPr>
                  <w:tcW w:w="1335"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余坪镇</w:t>
                  </w:r>
                </w:p>
              </w:tc>
              <w:tc>
                <w:tcPr>
                  <w:tcW w:w="436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余坪村、上新村、易屋村、谈胥村、盘山村、新庄村、姚坳村、丰益村、张市村、景福村、市里村、泉源村、宋段村、黄管村、范固村、忘私村、桥头村等17个村。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29972人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vMerge w:val="continue"/>
                  <w:tcBorders>
                    <w:tl2br w:val="nil"/>
                    <w:tr2bl w:val="nil"/>
                  </w:tcBorders>
                  <w:vAlign w:val="center"/>
                </w:tcPr>
                <w:p>
                  <w:pPr>
                    <w:spacing w:line="240" w:lineRule="exact"/>
                    <w:jc w:val="center"/>
                    <w:rPr>
                      <w:rFonts w:hint="eastAsia"/>
                      <w:color w:val="auto"/>
                      <w:sz w:val="18"/>
                      <w:szCs w:val="18"/>
                    </w:rPr>
                  </w:pPr>
                </w:p>
              </w:tc>
              <w:tc>
                <w:tcPr>
                  <w:tcW w:w="4367" w:type="dxa"/>
                  <w:vMerge w:val="continue"/>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8</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青冲配水站</w:t>
                  </w: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伍市镇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居委会、仁义村、岱青村、茅草坪村、七星村、邹家村、栗山村、礼门村、普祝村、普义村、农科村、界牌村、茶鑫村、君山村、新联村、园艺村、湖胜村、石桥村、普坪村、晏乐村、石坑村、中家桥村、新合村、青源村、普庆村、伍市村、时丰村、连华村、长明村、武岗村、武连村、青冲村、秀水村、公合村、大源村、跃进村、四知村、湖源村、合利村、童家段村、仕洞村、塘沙村、东阳村、桥墩村、盘矿村、大滩村、白杨村、青林村、马头村等50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93576人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浯口镇</w:t>
                  </w: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浯口村、四丰村、鲁合村、兰桥村、西冲村、五星村、英江村等7个村。</w:t>
                  </w: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454"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工业园区</w:t>
                  </w:r>
                </w:p>
              </w:tc>
              <w:tc>
                <w:tcPr>
                  <w:tcW w:w="4367" w:type="dxa"/>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454"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园艺示范中心</w:t>
                  </w:r>
                </w:p>
              </w:tc>
              <w:tc>
                <w:tcPr>
                  <w:tcW w:w="4367" w:type="dxa"/>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9</w:t>
                  </w:r>
                </w:p>
              </w:tc>
              <w:tc>
                <w:tcPr>
                  <w:tcW w:w="109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向家配水站</w:t>
                  </w:r>
                </w:p>
              </w:tc>
              <w:tc>
                <w:tcPr>
                  <w:tcW w:w="1335"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向家镇</w:t>
                  </w:r>
                </w:p>
              </w:tc>
              <w:tc>
                <w:tcPr>
                  <w:tcW w:w="4367"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居委会、向家村、梅树村、新石村、黄长村、长岭村、金山村、仙龙村、黄金村、琅石村、金石村等11个村。</w:t>
                  </w:r>
                </w:p>
              </w:tc>
              <w:tc>
                <w:tcPr>
                  <w:tcW w:w="998" w:type="dxa"/>
                  <w:vMerge w:val="restart"/>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8600人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vMerge w:val="continue"/>
                  <w:tcBorders>
                    <w:tl2br w:val="nil"/>
                    <w:tr2bl w:val="nil"/>
                  </w:tcBorders>
                  <w:vAlign w:val="center"/>
                </w:tcPr>
                <w:p>
                  <w:pPr>
                    <w:spacing w:line="240" w:lineRule="exact"/>
                    <w:jc w:val="center"/>
                    <w:rPr>
                      <w:rFonts w:hint="eastAsia"/>
                      <w:color w:val="auto"/>
                      <w:sz w:val="18"/>
                      <w:szCs w:val="18"/>
                    </w:rPr>
                  </w:pPr>
                </w:p>
              </w:tc>
              <w:tc>
                <w:tcPr>
                  <w:tcW w:w="1097" w:type="dxa"/>
                  <w:vMerge w:val="continue"/>
                  <w:tcBorders>
                    <w:tl2br w:val="nil"/>
                    <w:tr2bl w:val="nil"/>
                  </w:tcBorders>
                  <w:vAlign w:val="center"/>
                </w:tcPr>
                <w:p>
                  <w:pPr>
                    <w:spacing w:line="240" w:lineRule="exact"/>
                    <w:jc w:val="center"/>
                    <w:rPr>
                      <w:rFonts w:hint="eastAsia"/>
                      <w:color w:val="auto"/>
                      <w:sz w:val="18"/>
                      <w:szCs w:val="18"/>
                    </w:rPr>
                  </w:pPr>
                </w:p>
              </w:tc>
              <w:tc>
                <w:tcPr>
                  <w:tcW w:w="1335" w:type="dxa"/>
                  <w:vMerge w:val="continue"/>
                  <w:tcBorders>
                    <w:tl2br w:val="nil"/>
                    <w:tr2bl w:val="nil"/>
                  </w:tcBorders>
                  <w:vAlign w:val="center"/>
                </w:tcPr>
                <w:p>
                  <w:pPr>
                    <w:spacing w:line="240" w:lineRule="exact"/>
                    <w:jc w:val="center"/>
                    <w:rPr>
                      <w:rFonts w:hint="eastAsia"/>
                      <w:color w:val="auto"/>
                      <w:sz w:val="18"/>
                      <w:szCs w:val="18"/>
                    </w:rPr>
                  </w:pPr>
                </w:p>
              </w:tc>
              <w:tc>
                <w:tcPr>
                  <w:tcW w:w="4367" w:type="dxa"/>
                  <w:vMerge w:val="continue"/>
                  <w:tcBorders>
                    <w:tl2br w:val="nil"/>
                    <w:tr2bl w:val="nil"/>
                  </w:tcBorders>
                  <w:vAlign w:val="center"/>
                </w:tcPr>
                <w:p>
                  <w:pPr>
                    <w:spacing w:line="240" w:lineRule="exact"/>
                    <w:jc w:val="center"/>
                    <w:rPr>
                      <w:rFonts w:hint="eastAsia"/>
                      <w:color w:val="auto"/>
                      <w:sz w:val="18"/>
                      <w:szCs w:val="18"/>
                    </w:rPr>
                  </w:pPr>
                </w:p>
              </w:tc>
              <w:tc>
                <w:tcPr>
                  <w:tcW w:w="998" w:type="dxa"/>
                  <w:vMerge w:val="continue"/>
                  <w:tcBorders>
                    <w:tl2br w:val="nil"/>
                    <w:tr2bl w:val="nil"/>
                  </w:tcBorders>
                  <w:vAlign w:val="center"/>
                </w:tcPr>
                <w:p>
                  <w:pPr>
                    <w:spacing w:line="240" w:lineRule="exact"/>
                    <w:jc w:val="center"/>
                    <w:rPr>
                      <w:rFonts w:hint="eastAsia"/>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08" w:type="dxa"/>
                  <w:bottom w:w="15" w:type="dxa"/>
                  <w:right w:w="108" w:type="dxa"/>
                </w:tblCellMar>
              </w:tblPrEx>
              <w:trPr>
                <w:trHeight w:val="397" w:hRule="atLeast"/>
                <w:jc w:val="center"/>
              </w:trPr>
              <w:tc>
                <w:tcPr>
                  <w:tcW w:w="602"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10</w:t>
                  </w:r>
                </w:p>
              </w:tc>
              <w:tc>
                <w:tcPr>
                  <w:tcW w:w="109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合计</w:t>
                  </w:r>
                </w:p>
              </w:tc>
              <w:tc>
                <w:tcPr>
                  <w:tcW w:w="1335" w:type="dxa"/>
                  <w:tcBorders>
                    <w:tl2br w:val="nil"/>
                    <w:tr2bl w:val="nil"/>
                  </w:tcBorders>
                  <w:vAlign w:val="center"/>
                </w:tcPr>
                <w:p>
                  <w:pPr>
                    <w:spacing w:line="240" w:lineRule="exact"/>
                    <w:jc w:val="center"/>
                    <w:rPr>
                      <w:rFonts w:hint="eastAsia"/>
                      <w:color w:val="auto"/>
                      <w:sz w:val="18"/>
                      <w:szCs w:val="18"/>
                    </w:rPr>
                  </w:pPr>
                </w:p>
              </w:tc>
              <w:tc>
                <w:tcPr>
                  <w:tcW w:w="4367"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约323个村</w:t>
                  </w:r>
                </w:p>
              </w:tc>
              <w:tc>
                <w:tcPr>
                  <w:tcW w:w="998" w:type="dxa"/>
                  <w:tcBorders>
                    <w:tl2br w:val="nil"/>
                    <w:tr2bl w:val="nil"/>
                  </w:tcBorders>
                  <w:vAlign w:val="center"/>
                </w:tcPr>
                <w:p>
                  <w:pPr>
                    <w:spacing w:line="240" w:lineRule="exact"/>
                    <w:jc w:val="center"/>
                    <w:rPr>
                      <w:rFonts w:hint="eastAsia"/>
                      <w:color w:val="auto"/>
                      <w:sz w:val="18"/>
                      <w:szCs w:val="18"/>
                    </w:rPr>
                  </w:pPr>
                  <w:r>
                    <w:rPr>
                      <w:rFonts w:hint="eastAsia"/>
                      <w:color w:val="auto"/>
                      <w:sz w:val="18"/>
                      <w:szCs w:val="18"/>
                    </w:rPr>
                    <w:t>62.9万人</w:t>
                  </w:r>
                </w:p>
              </w:tc>
            </w:tr>
          </w:tbl>
          <w:p>
            <w:pPr>
              <w:spacing w:line="360" w:lineRule="auto"/>
              <w:rPr>
                <w:rFonts w:hint="eastAsia"/>
                <w:color w:val="auto"/>
                <w:sz w:val="24"/>
              </w:rPr>
            </w:pPr>
            <w:r>
              <w:rPr>
                <w:rFonts w:hint="eastAsia"/>
                <w:b/>
                <w:color w:val="auto"/>
                <w:sz w:val="24"/>
              </w:rPr>
              <w:t>3</w:t>
            </w:r>
            <w:r>
              <w:rPr>
                <w:b/>
                <w:color w:val="auto"/>
                <w:sz w:val="24"/>
              </w:rPr>
              <w:t>.</w:t>
            </w:r>
            <w:r>
              <w:rPr>
                <w:rFonts w:hint="eastAsia"/>
                <w:b/>
                <w:color w:val="auto"/>
                <w:sz w:val="24"/>
              </w:rPr>
              <w:t>5</w:t>
            </w:r>
            <w:r>
              <w:rPr>
                <w:b/>
                <w:color w:val="auto"/>
                <w:sz w:val="24"/>
              </w:rPr>
              <w:t xml:space="preserve"> 主要</w:t>
            </w:r>
            <w:r>
              <w:rPr>
                <w:rFonts w:hint="eastAsia"/>
                <w:b/>
                <w:color w:val="auto"/>
                <w:sz w:val="24"/>
              </w:rPr>
              <w:t>原材料</w:t>
            </w:r>
            <w:r>
              <w:rPr>
                <w:b/>
                <w:color w:val="auto"/>
                <w:sz w:val="24"/>
              </w:rPr>
              <w:t>消耗情况</w:t>
            </w:r>
          </w:p>
          <w:p>
            <w:pPr>
              <w:spacing w:line="360" w:lineRule="auto"/>
              <w:ind w:firstLine="480" w:firstLineChars="200"/>
              <w:rPr>
                <w:rFonts w:hint="eastAsia"/>
                <w:color w:val="auto"/>
                <w:sz w:val="24"/>
              </w:rPr>
            </w:pPr>
            <w:r>
              <w:rPr>
                <w:rFonts w:hint="eastAsia"/>
                <w:color w:val="auto"/>
                <w:sz w:val="24"/>
              </w:rPr>
              <w:t>项目主要原辅材料、动力消耗及来源见表</w:t>
            </w:r>
            <w:r>
              <w:rPr>
                <w:rFonts w:hint="eastAsia"/>
                <w:color w:val="auto"/>
                <w:sz w:val="24"/>
                <w:lang w:val="en-US" w:eastAsia="zh-CN"/>
              </w:rPr>
              <w:t>10</w:t>
            </w:r>
            <w:r>
              <w:rPr>
                <w:rFonts w:hint="eastAsia"/>
                <w:color w:val="auto"/>
                <w:sz w:val="24"/>
              </w:rPr>
              <w:t>，主要原辅材料理化性质见表</w:t>
            </w:r>
            <w:r>
              <w:rPr>
                <w:rFonts w:hint="eastAsia"/>
                <w:color w:val="auto"/>
                <w:sz w:val="24"/>
                <w:lang w:val="en-US" w:eastAsia="zh-CN"/>
              </w:rPr>
              <w:t>11</w:t>
            </w:r>
            <w:r>
              <w:rPr>
                <w:rFonts w:hint="eastAsia"/>
                <w:color w:val="auto"/>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10</w:t>
            </w:r>
            <w:r>
              <w:rPr>
                <w:rFonts w:hint="eastAsia"/>
                <w:b/>
                <w:color w:val="auto"/>
                <w:sz w:val="24"/>
              </w:rPr>
              <w:t xml:space="preserve"> 主要原辅材料及能耗情况表</w:t>
            </w:r>
          </w:p>
          <w:tbl>
            <w:tblPr>
              <w:tblStyle w:val="14"/>
              <w:tblW w:w="8247"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10"/>
              <w:gridCol w:w="1489"/>
              <w:gridCol w:w="1277"/>
              <w:gridCol w:w="1155"/>
              <w:gridCol w:w="1237"/>
              <w:gridCol w:w="1245"/>
              <w:gridCol w:w="123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color w:val="auto"/>
                      <w:sz w:val="21"/>
                      <w:szCs w:val="21"/>
                    </w:rPr>
                  </w:pPr>
                  <w:r>
                    <w:rPr>
                      <w:color w:val="auto"/>
                      <w:sz w:val="21"/>
                      <w:szCs w:val="21"/>
                    </w:rPr>
                    <w:t>序号</w:t>
                  </w:r>
                </w:p>
              </w:tc>
              <w:tc>
                <w:tcPr>
                  <w:tcW w:w="1489" w:type="dxa"/>
                  <w:vAlign w:val="center"/>
                </w:tcPr>
                <w:p>
                  <w:pPr>
                    <w:jc w:val="center"/>
                    <w:rPr>
                      <w:rFonts w:hint="eastAsia"/>
                      <w:color w:val="auto"/>
                      <w:sz w:val="21"/>
                      <w:szCs w:val="21"/>
                    </w:rPr>
                  </w:pPr>
                  <w:r>
                    <w:rPr>
                      <w:color w:val="auto"/>
                      <w:sz w:val="21"/>
                      <w:szCs w:val="21"/>
                    </w:rPr>
                    <w:t>名 称</w:t>
                  </w:r>
                </w:p>
              </w:tc>
              <w:tc>
                <w:tcPr>
                  <w:tcW w:w="1277" w:type="dxa"/>
                  <w:vAlign w:val="center"/>
                </w:tcPr>
                <w:p>
                  <w:pPr>
                    <w:jc w:val="center"/>
                    <w:rPr>
                      <w:rFonts w:hint="eastAsia"/>
                      <w:color w:val="auto"/>
                      <w:sz w:val="21"/>
                      <w:szCs w:val="21"/>
                    </w:rPr>
                  </w:pPr>
                  <w:r>
                    <w:rPr>
                      <w:rFonts w:hint="eastAsia"/>
                      <w:color w:val="auto"/>
                      <w:sz w:val="21"/>
                      <w:szCs w:val="21"/>
                    </w:rPr>
                    <w:t>规格形态</w:t>
                  </w:r>
                </w:p>
              </w:tc>
              <w:tc>
                <w:tcPr>
                  <w:tcW w:w="1155" w:type="dxa"/>
                  <w:vAlign w:val="center"/>
                </w:tcPr>
                <w:p>
                  <w:pPr>
                    <w:jc w:val="center"/>
                    <w:rPr>
                      <w:color w:val="auto"/>
                      <w:sz w:val="21"/>
                      <w:szCs w:val="21"/>
                    </w:rPr>
                  </w:pPr>
                  <w:r>
                    <w:rPr>
                      <w:color w:val="auto"/>
                      <w:sz w:val="21"/>
                      <w:szCs w:val="21"/>
                    </w:rPr>
                    <w:t>用量（t/a）</w:t>
                  </w:r>
                </w:p>
              </w:tc>
              <w:tc>
                <w:tcPr>
                  <w:tcW w:w="1237" w:type="dxa"/>
                  <w:vAlign w:val="center"/>
                </w:tcPr>
                <w:p>
                  <w:pPr>
                    <w:jc w:val="center"/>
                    <w:rPr>
                      <w:rFonts w:hint="eastAsia"/>
                      <w:color w:val="auto"/>
                      <w:sz w:val="21"/>
                      <w:szCs w:val="21"/>
                    </w:rPr>
                  </w:pPr>
                  <w:r>
                    <w:rPr>
                      <w:rFonts w:hint="eastAsia"/>
                      <w:color w:val="auto"/>
                      <w:sz w:val="21"/>
                      <w:szCs w:val="21"/>
                    </w:rPr>
                    <w:t>储存方式</w:t>
                  </w:r>
                </w:p>
              </w:tc>
              <w:tc>
                <w:tcPr>
                  <w:tcW w:w="1245" w:type="dxa"/>
                  <w:vAlign w:val="center"/>
                </w:tcPr>
                <w:p>
                  <w:pPr>
                    <w:jc w:val="center"/>
                    <w:rPr>
                      <w:color w:val="auto"/>
                      <w:sz w:val="21"/>
                      <w:szCs w:val="21"/>
                    </w:rPr>
                  </w:pPr>
                  <w:r>
                    <w:rPr>
                      <w:color w:val="auto"/>
                      <w:sz w:val="21"/>
                      <w:szCs w:val="21"/>
                    </w:rPr>
                    <w:t>最大存储量（t）</w:t>
                  </w:r>
                </w:p>
              </w:tc>
              <w:tc>
                <w:tcPr>
                  <w:tcW w:w="1234" w:type="dxa"/>
                  <w:vAlign w:val="center"/>
                </w:tcPr>
                <w:p>
                  <w:pPr>
                    <w:jc w:val="center"/>
                    <w:rPr>
                      <w:rFonts w:hint="eastAsia"/>
                      <w:color w:val="auto"/>
                      <w:sz w:val="21"/>
                      <w:szCs w:val="21"/>
                    </w:rPr>
                  </w:pPr>
                  <w:r>
                    <w:rPr>
                      <w:rFonts w:hint="eastAsia"/>
                      <w:color w:val="auto"/>
                      <w:sz w:val="21"/>
                      <w:szCs w:val="21"/>
                    </w:rPr>
                    <w:t>产地来</w:t>
                  </w:r>
                </w:p>
                <w:p>
                  <w:pPr>
                    <w:jc w:val="center"/>
                    <w:rPr>
                      <w:color w:val="auto"/>
                      <w:sz w:val="21"/>
                      <w:szCs w:val="21"/>
                    </w:rPr>
                  </w:pPr>
                  <w:r>
                    <w:rPr>
                      <w:rFonts w:hint="eastAsia"/>
                      <w:color w:val="auto"/>
                      <w:sz w:val="21"/>
                      <w:szCs w:val="21"/>
                    </w:rPr>
                    <w:t>源方式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color w:val="auto"/>
                      <w:sz w:val="21"/>
                      <w:szCs w:val="21"/>
                    </w:rPr>
                  </w:pPr>
                  <w:r>
                    <w:rPr>
                      <w:color w:val="auto"/>
                      <w:sz w:val="21"/>
                      <w:szCs w:val="21"/>
                    </w:rPr>
                    <w:t>1</w:t>
                  </w:r>
                </w:p>
              </w:tc>
              <w:tc>
                <w:tcPr>
                  <w:tcW w:w="1489" w:type="dxa"/>
                  <w:vAlign w:val="center"/>
                </w:tcPr>
                <w:p>
                  <w:pPr>
                    <w:jc w:val="center"/>
                    <w:rPr>
                      <w:rFonts w:hint="eastAsia"/>
                      <w:color w:val="auto"/>
                      <w:sz w:val="21"/>
                      <w:szCs w:val="21"/>
                    </w:rPr>
                  </w:pPr>
                  <w:r>
                    <w:rPr>
                      <w:rFonts w:hint="eastAsia"/>
                      <w:color w:val="auto"/>
                      <w:sz w:val="21"/>
                      <w:szCs w:val="21"/>
                    </w:rPr>
                    <w:t>聚合氯化铝</w:t>
                  </w:r>
                </w:p>
              </w:tc>
              <w:tc>
                <w:tcPr>
                  <w:tcW w:w="1277" w:type="dxa"/>
                  <w:vAlign w:val="center"/>
                </w:tcPr>
                <w:p>
                  <w:pPr>
                    <w:jc w:val="center"/>
                    <w:rPr>
                      <w:rFonts w:hint="eastAsia"/>
                      <w:color w:val="auto"/>
                      <w:sz w:val="21"/>
                      <w:szCs w:val="21"/>
                    </w:rPr>
                  </w:pPr>
                  <w:r>
                    <w:rPr>
                      <w:rFonts w:hint="eastAsia"/>
                      <w:color w:val="auto"/>
                      <w:sz w:val="21"/>
                      <w:szCs w:val="21"/>
                    </w:rPr>
                    <w:t>固态</w:t>
                  </w:r>
                </w:p>
              </w:tc>
              <w:tc>
                <w:tcPr>
                  <w:tcW w:w="1155" w:type="dxa"/>
                  <w:vAlign w:val="center"/>
                </w:tcPr>
                <w:p>
                  <w:pPr>
                    <w:jc w:val="center"/>
                    <w:rPr>
                      <w:rFonts w:hint="eastAsia" w:eastAsia="宋体"/>
                      <w:color w:val="auto"/>
                      <w:sz w:val="21"/>
                      <w:szCs w:val="21"/>
                      <w:lang w:eastAsia="zh-CN"/>
                    </w:rPr>
                  </w:pPr>
                  <w:r>
                    <w:rPr>
                      <w:rFonts w:hint="eastAsia"/>
                      <w:color w:val="auto"/>
                      <w:sz w:val="21"/>
                      <w:szCs w:val="21"/>
                      <w:lang w:val="en-US" w:eastAsia="zh-CN"/>
                    </w:rPr>
                    <w:t>511</w:t>
                  </w:r>
                </w:p>
              </w:tc>
              <w:tc>
                <w:tcPr>
                  <w:tcW w:w="1237" w:type="dxa"/>
                  <w:vAlign w:val="center"/>
                </w:tcPr>
                <w:p>
                  <w:pPr>
                    <w:jc w:val="center"/>
                    <w:rPr>
                      <w:color w:val="auto"/>
                      <w:sz w:val="21"/>
                      <w:szCs w:val="21"/>
                    </w:rPr>
                  </w:pPr>
                  <w:r>
                    <w:rPr>
                      <w:rFonts w:hint="eastAsia"/>
                      <w:color w:val="auto"/>
                      <w:sz w:val="21"/>
                      <w:szCs w:val="21"/>
                    </w:rPr>
                    <w:t>袋装</w:t>
                  </w:r>
                </w:p>
              </w:tc>
              <w:tc>
                <w:tcPr>
                  <w:tcW w:w="1245" w:type="dxa"/>
                  <w:vAlign w:val="center"/>
                </w:tcPr>
                <w:p>
                  <w:pPr>
                    <w:jc w:val="center"/>
                    <w:rPr>
                      <w:rFonts w:hint="eastAsia" w:eastAsia="宋体"/>
                      <w:color w:val="auto"/>
                      <w:sz w:val="21"/>
                      <w:szCs w:val="21"/>
                      <w:lang w:eastAsia="zh-CN"/>
                    </w:rPr>
                  </w:pPr>
                  <w:r>
                    <w:rPr>
                      <w:rFonts w:hint="eastAsia"/>
                      <w:color w:val="auto"/>
                      <w:sz w:val="21"/>
                      <w:szCs w:val="21"/>
                      <w:lang w:val="en-US" w:eastAsia="zh-CN"/>
                    </w:rPr>
                    <w:t>44</w:t>
                  </w:r>
                </w:p>
              </w:tc>
              <w:tc>
                <w:tcPr>
                  <w:tcW w:w="1234" w:type="dxa"/>
                  <w:vAlign w:val="center"/>
                </w:tcPr>
                <w:p>
                  <w:pPr>
                    <w:jc w:val="center"/>
                    <w:rPr>
                      <w:color w:val="auto"/>
                      <w:sz w:val="21"/>
                      <w:szCs w:val="21"/>
                    </w:rPr>
                  </w:pPr>
                  <w:r>
                    <w:rPr>
                      <w:color w:val="auto"/>
                      <w:sz w:val="21"/>
                      <w:szCs w:val="21"/>
                    </w:rPr>
                    <w:t>省内汽车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rFonts w:hint="eastAsia"/>
                      <w:color w:val="auto"/>
                      <w:sz w:val="21"/>
                      <w:szCs w:val="21"/>
                    </w:rPr>
                  </w:pPr>
                  <w:r>
                    <w:rPr>
                      <w:rFonts w:hint="eastAsia"/>
                      <w:color w:val="auto"/>
                      <w:sz w:val="21"/>
                      <w:szCs w:val="21"/>
                    </w:rPr>
                    <w:t>2</w:t>
                  </w:r>
                </w:p>
              </w:tc>
              <w:tc>
                <w:tcPr>
                  <w:tcW w:w="1489" w:type="dxa"/>
                  <w:vAlign w:val="center"/>
                </w:tcPr>
                <w:p>
                  <w:pPr>
                    <w:jc w:val="center"/>
                    <w:rPr>
                      <w:rFonts w:hint="eastAsia"/>
                      <w:color w:val="auto"/>
                      <w:sz w:val="21"/>
                      <w:szCs w:val="21"/>
                    </w:rPr>
                  </w:pPr>
                  <w:r>
                    <w:rPr>
                      <w:rFonts w:hint="eastAsia"/>
                      <w:color w:val="auto"/>
                      <w:sz w:val="21"/>
                      <w:szCs w:val="21"/>
                    </w:rPr>
                    <w:t>盐酸</w:t>
                  </w:r>
                </w:p>
              </w:tc>
              <w:tc>
                <w:tcPr>
                  <w:tcW w:w="1277" w:type="dxa"/>
                  <w:vAlign w:val="center"/>
                </w:tcPr>
                <w:p>
                  <w:pPr>
                    <w:jc w:val="center"/>
                    <w:rPr>
                      <w:color w:val="auto"/>
                      <w:sz w:val="21"/>
                      <w:szCs w:val="21"/>
                    </w:rPr>
                  </w:pPr>
                  <w:r>
                    <w:rPr>
                      <w:rFonts w:hint="eastAsia"/>
                      <w:color w:val="auto"/>
                      <w:sz w:val="21"/>
                      <w:szCs w:val="21"/>
                    </w:rPr>
                    <w:t>液态31</w:t>
                  </w:r>
                  <w:r>
                    <w:rPr>
                      <w:color w:val="auto"/>
                      <w:sz w:val="21"/>
                      <w:szCs w:val="21"/>
                    </w:rPr>
                    <w:t>%</w:t>
                  </w:r>
                </w:p>
              </w:tc>
              <w:tc>
                <w:tcPr>
                  <w:tcW w:w="1155" w:type="dxa"/>
                  <w:vAlign w:val="center"/>
                </w:tcPr>
                <w:p>
                  <w:pPr>
                    <w:jc w:val="center"/>
                    <w:rPr>
                      <w:rFonts w:hint="eastAsia" w:eastAsia="宋体"/>
                      <w:color w:val="auto"/>
                      <w:sz w:val="21"/>
                      <w:szCs w:val="21"/>
                      <w:lang w:eastAsia="zh-CN"/>
                    </w:rPr>
                  </w:pPr>
                  <w:r>
                    <w:rPr>
                      <w:rFonts w:hint="eastAsia"/>
                      <w:color w:val="auto"/>
                      <w:sz w:val="21"/>
                      <w:szCs w:val="21"/>
                      <w:lang w:val="en-US" w:eastAsia="zh-CN"/>
                    </w:rPr>
                    <w:t>126</w:t>
                  </w:r>
                </w:p>
              </w:tc>
              <w:tc>
                <w:tcPr>
                  <w:tcW w:w="1237" w:type="dxa"/>
                  <w:vAlign w:val="center"/>
                </w:tcPr>
                <w:p>
                  <w:pPr>
                    <w:jc w:val="center"/>
                    <w:rPr>
                      <w:color w:val="auto"/>
                      <w:sz w:val="21"/>
                      <w:szCs w:val="21"/>
                    </w:rPr>
                  </w:pPr>
                  <w:r>
                    <w:rPr>
                      <w:rFonts w:hint="eastAsia"/>
                      <w:color w:val="auto"/>
                      <w:sz w:val="21"/>
                      <w:szCs w:val="21"/>
                    </w:rPr>
                    <w:t>储罐</w:t>
                  </w:r>
                </w:p>
              </w:tc>
              <w:tc>
                <w:tcPr>
                  <w:tcW w:w="1245" w:type="dxa"/>
                  <w:vAlign w:val="center"/>
                </w:tcPr>
                <w:p>
                  <w:pPr>
                    <w:jc w:val="center"/>
                    <w:rPr>
                      <w:rFonts w:hint="eastAsia" w:eastAsia="宋体"/>
                      <w:color w:val="auto"/>
                      <w:sz w:val="21"/>
                      <w:szCs w:val="21"/>
                      <w:lang w:eastAsia="zh-CN"/>
                    </w:rPr>
                  </w:pPr>
                  <w:r>
                    <w:rPr>
                      <w:rFonts w:hint="eastAsia"/>
                      <w:color w:val="auto"/>
                      <w:sz w:val="21"/>
                      <w:szCs w:val="21"/>
                      <w:lang w:val="en-US" w:eastAsia="zh-CN"/>
                    </w:rPr>
                    <w:t>10</w:t>
                  </w:r>
                </w:p>
              </w:tc>
              <w:tc>
                <w:tcPr>
                  <w:tcW w:w="1234" w:type="dxa"/>
                  <w:vAlign w:val="center"/>
                </w:tcPr>
                <w:p>
                  <w:pPr>
                    <w:jc w:val="center"/>
                    <w:rPr>
                      <w:rFonts w:hint="eastAsia"/>
                      <w:color w:val="auto"/>
                      <w:sz w:val="21"/>
                      <w:szCs w:val="21"/>
                    </w:rPr>
                  </w:pPr>
                  <w:r>
                    <w:rPr>
                      <w:color w:val="auto"/>
                      <w:sz w:val="21"/>
                      <w:szCs w:val="21"/>
                    </w:rPr>
                    <w:t>省内汽车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color w:val="auto"/>
                      <w:sz w:val="21"/>
                      <w:szCs w:val="21"/>
                    </w:rPr>
                  </w:pPr>
                  <w:r>
                    <w:rPr>
                      <w:color w:val="auto"/>
                      <w:sz w:val="21"/>
                      <w:szCs w:val="21"/>
                    </w:rPr>
                    <w:t>3</w:t>
                  </w:r>
                </w:p>
              </w:tc>
              <w:tc>
                <w:tcPr>
                  <w:tcW w:w="1489" w:type="dxa"/>
                  <w:vAlign w:val="center"/>
                </w:tcPr>
                <w:p>
                  <w:pPr>
                    <w:jc w:val="center"/>
                    <w:rPr>
                      <w:rFonts w:hint="eastAsia"/>
                      <w:color w:val="auto"/>
                      <w:sz w:val="21"/>
                      <w:szCs w:val="21"/>
                    </w:rPr>
                  </w:pPr>
                  <w:r>
                    <w:rPr>
                      <w:rFonts w:hint="eastAsia"/>
                      <w:color w:val="auto"/>
                      <w:sz w:val="21"/>
                      <w:szCs w:val="21"/>
                    </w:rPr>
                    <w:t>氯酸钠</w:t>
                  </w:r>
                </w:p>
              </w:tc>
              <w:tc>
                <w:tcPr>
                  <w:tcW w:w="1277" w:type="dxa"/>
                  <w:vAlign w:val="center"/>
                </w:tcPr>
                <w:p>
                  <w:pPr>
                    <w:jc w:val="center"/>
                    <w:rPr>
                      <w:color w:val="auto"/>
                      <w:sz w:val="21"/>
                      <w:szCs w:val="21"/>
                    </w:rPr>
                  </w:pPr>
                  <w:r>
                    <w:rPr>
                      <w:rFonts w:hint="eastAsia"/>
                      <w:color w:val="auto"/>
                      <w:sz w:val="21"/>
                      <w:szCs w:val="21"/>
                    </w:rPr>
                    <w:t>固态</w:t>
                  </w:r>
                </w:p>
              </w:tc>
              <w:tc>
                <w:tcPr>
                  <w:tcW w:w="1155" w:type="dxa"/>
                  <w:vAlign w:val="center"/>
                </w:tcPr>
                <w:p>
                  <w:pPr>
                    <w:jc w:val="center"/>
                    <w:rPr>
                      <w:rFonts w:hint="eastAsia" w:eastAsia="宋体"/>
                      <w:color w:val="auto"/>
                      <w:sz w:val="21"/>
                      <w:szCs w:val="21"/>
                      <w:lang w:eastAsia="zh-CN"/>
                    </w:rPr>
                  </w:pPr>
                  <w:r>
                    <w:rPr>
                      <w:rFonts w:hint="eastAsia"/>
                      <w:color w:val="auto"/>
                      <w:sz w:val="21"/>
                      <w:szCs w:val="21"/>
                      <w:lang w:val="en-US" w:eastAsia="zh-CN"/>
                    </w:rPr>
                    <w:t>184</w:t>
                  </w:r>
                </w:p>
              </w:tc>
              <w:tc>
                <w:tcPr>
                  <w:tcW w:w="1237" w:type="dxa"/>
                  <w:vAlign w:val="center"/>
                </w:tcPr>
                <w:p>
                  <w:pPr>
                    <w:jc w:val="center"/>
                    <w:rPr>
                      <w:color w:val="auto"/>
                      <w:sz w:val="21"/>
                      <w:szCs w:val="21"/>
                    </w:rPr>
                  </w:pPr>
                  <w:r>
                    <w:rPr>
                      <w:rFonts w:hint="eastAsia"/>
                      <w:color w:val="auto"/>
                      <w:sz w:val="21"/>
                      <w:szCs w:val="21"/>
                    </w:rPr>
                    <w:t>储罐</w:t>
                  </w:r>
                </w:p>
              </w:tc>
              <w:tc>
                <w:tcPr>
                  <w:tcW w:w="1245" w:type="dxa"/>
                  <w:vAlign w:val="center"/>
                </w:tcPr>
                <w:p>
                  <w:pPr>
                    <w:jc w:val="center"/>
                    <w:rPr>
                      <w:color w:val="auto"/>
                      <w:sz w:val="21"/>
                      <w:szCs w:val="21"/>
                    </w:rPr>
                  </w:pPr>
                  <w:r>
                    <w:rPr>
                      <w:rFonts w:hint="eastAsia"/>
                      <w:color w:val="auto"/>
                      <w:sz w:val="21"/>
                      <w:szCs w:val="21"/>
                    </w:rPr>
                    <w:t>10</w:t>
                  </w:r>
                </w:p>
              </w:tc>
              <w:tc>
                <w:tcPr>
                  <w:tcW w:w="1234" w:type="dxa"/>
                  <w:vAlign w:val="center"/>
                </w:tcPr>
                <w:p>
                  <w:pPr>
                    <w:jc w:val="center"/>
                    <w:rPr>
                      <w:color w:val="auto"/>
                      <w:sz w:val="21"/>
                      <w:szCs w:val="21"/>
                    </w:rPr>
                  </w:pPr>
                  <w:r>
                    <w:rPr>
                      <w:color w:val="auto"/>
                      <w:sz w:val="21"/>
                      <w:szCs w:val="21"/>
                    </w:rPr>
                    <w:t>省内汽车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rFonts w:hint="eastAsia"/>
                      <w:color w:val="auto"/>
                      <w:sz w:val="21"/>
                      <w:szCs w:val="21"/>
                    </w:rPr>
                  </w:pPr>
                  <w:r>
                    <w:rPr>
                      <w:rFonts w:hint="eastAsia"/>
                      <w:color w:val="auto"/>
                      <w:sz w:val="21"/>
                      <w:szCs w:val="21"/>
                    </w:rPr>
                    <w:t>4</w:t>
                  </w:r>
                </w:p>
              </w:tc>
              <w:tc>
                <w:tcPr>
                  <w:tcW w:w="1489" w:type="dxa"/>
                  <w:vAlign w:val="center"/>
                </w:tcPr>
                <w:p>
                  <w:pPr>
                    <w:jc w:val="center"/>
                    <w:rPr>
                      <w:rFonts w:hint="eastAsia"/>
                      <w:color w:val="auto"/>
                      <w:sz w:val="21"/>
                      <w:szCs w:val="21"/>
                    </w:rPr>
                  </w:pPr>
                  <w:r>
                    <w:rPr>
                      <w:rFonts w:hint="eastAsia"/>
                      <w:color w:val="auto"/>
                      <w:sz w:val="21"/>
                      <w:szCs w:val="21"/>
                    </w:rPr>
                    <w:t>原水</w:t>
                  </w:r>
                </w:p>
              </w:tc>
              <w:tc>
                <w:tcPr>
                  <w:tcW w:w="1277" w:type="dxa"/>
                  <w:vAlign w:val="center"/>
                </w:tcPr>
                <w:p>
                  <w:pPr>
                    <w:jc w:val="center"/>
                    <w:rPr>
                      <w:rFonts w:hint="eastAsia"/>
                      <w:color w:val="auto"/>
                      <w:sz w:val="21"/>
                      <w:szCs w:val="21"/>
                    </w:rPr>
                  </w:pPr>
                  <w:r>
                    <w:rPr>
                      <w:rFonts w:hint="eastAsia"/>
                      <w:color w:val="auto"/>
                      <w:sz w:val="21"/>
                      <w:szCs w:val="21"/>
                    </w:rPr>
                    <w:t>液态</w:t>
                  </w:r>
                </w:p>
              </w:tc>
              <w:tc>
                <w:tcPr>
                  <w:tcW w:w="1155" w:type="dxa"/>
                  <w:vAlign w:val="center"/>
                </w:tcPr>
                <w:p>
                  <w:pPr>
                    <w:jc w:val="center"/>
                    <w:rPr>
                      <w:rFonts w:hint="eastAsia"/>
                      <w:color w:val="auto"/>
                      <w:sz w:val="21"/>
                      <w:szCs w:val="21"/>
                    </w:rPr>
                  </w:pPr>
                  <w:r>
                    <w:rPr>
                      <w:rFonts w:hint="eastAsia"/>
                      <w:color w:val="auto"/>
                      <w:sz w:val="21"/>
                      <w:szCs w:val="21"/>
                      <w:lang w:val="en-US" w:eastAsia="zh-CN"/>
                    </w:rPr>
                    <w:t>112368</w:t>
                  </w:r>
                  <w:r>
                    <w:rPr>
                      <w:rFonts w:hint="eastAsia"/>
                      <w:color w:val="auto"/>
                      <w:sz w:val="21"/>
                      <w:szCs w:val="21"/>
                    </w:rPr>
                    <w:t>m</w:t>
                  </w:r>
                  <w:r>
                    <w:rPr>
                      <w:rFonts w:hint="eastAsia"/>
                      <w:color w:val="auto"/>
                      <w:sz w:val="21"/>
                      <w:szCs w:val="21"/>
                      <w:vertAlign w:val="superscript"/>
                    </w:rPr>
                    <w:t>3</w:t>
                  </w:r>
                  <w:r>
                    <w:rPr>
                      <w:rFonts w:hint="eastAsia"/>
                      <w:color w:val="auto"/>
                      <w:sz w:val="21"/>
                      <w:szCs w:val="21"/>
                    </w:rPr>
                    <w:t>/d</w:t>
                  </w:r>
                </w:p>
              </w:tc>
              <w:tc>
                <w:tcPr>
                  <w:tcW w:w="1237" w:type="dxa"/>
                  <w:vAlign w:val="center"/>
                </w:tcPr>
                <w:p>
                  <w:pPr>
                    <w:jc w:val="center"/>
                    <w:rPr>
                      <w:rFonts w:hint="eastAsia"/>
                      <w:color w:val="auto"/>
                      <w:sz w:val="21"/>
                      <w:szCs w:val="21"/>
                    </w:rPr>
                  </w:pPr>
                  <w:r>
                    <w:rPr>
                      <w:rFonts w:hint="eastAsia"/>
                      <w:color w:val="auto"/>
                      <w:sz w:val="21"/>
                      <w:szCs w:val="21"/>
                    </w:rPr>
                    <w:t>管道输送</w:t>
                  </w:r>
                </w:p>
              </w:tc>
              <w:tc>
                <w:tcPr>
                  <w:tcW w:w="1245" w:type="dxa"/>
                  <w:vAlign w:val="center"/>
                </w:tcPr>
                <w:p>
                  <w:pPr>
                    <w:jc w:val="center"/>
                    <w:rPr>
                      <w:rFonts w:hint="eastAsia"/>
                      <w:color w:val="auto"/>
                      <w:sz w:val="21"/>
                      <w:szCs w:val="21"/>
                    </w:rPr>
                  </w:pPr>
                  <w:r>
                    <w:rPr>
                      <w:rFonts w:hint="eastAsia"/>
                      <w:color w:val="auto"/>
                      <w:sz w:val="21"/>
                      <w:szCs w:val="21"/>
                    </w:rPr>
                    <w:t>/</w:t>
                  </w:r>
                </w:p>
              </w:tc>
              <w:tc>
                <w:tcPr>
                  <w:tcW w:w="1234" w:type="dxa"/>
                  <w:vAlign w:val="center"/>
                </w:tcPr>
                <w:p>
                  <w:pPr>
                    <w:jc w:val="center"/>
                    <w:rPr>
                      <w:rFonts w:hint="eastAsia"/>
                      <w:color w:val="auto"/>
                      <w:sz w:val="21"/>
                      <w:szCs w:val="21"/>
                    </w:rPr>
                  </w:pPr>
                  <w:r>
                    <w:rPr>
                      <w:rFonts w:hint="eastAsia"/>
                      <w:color w:val="auto"/>
                      <w:sz w:val="21"/>
                      <w:szCs w:val="21"/>
                    </w:rPr>
                    <w:t>黄金洞</w:t>
                  </w:r>
                </w:p>
                <w:p>
                  <w:pPr>
                    <w:jc w:val="center"/>
                    <w:rPr>
                      <w:rFonts w:hint="eastAsia"/>
                      <w:color w:val="auto"/>
                      <w:sz w:val="21"/>
                      <w:szCs w:val="21"/>
                    </w:rPr>
                  </w:pPr>
                  <w:r>
                    <w:rPr>
                      <w:rFonts w:hint="eastAsia"/>
                      <w:color w:val="auto"/>
                      <w:sz w:val="21"/>
                      <w:szCs w:val="21"/>
                    </w:rPr>
                    <w:t>水库</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610" w:type="dxa"/>
                  <w:vAlign w:val="center"/>
                </w:tcPr>
                <w:p>
                  <w:pPr>
                    <w:jc w:val="center"/>
                    <w:rPr>
                      <w:rFonts w:hint="eastAsia"/>
                      <w:color w:val="auto"/>
                      <w:sz w:val="21"/>
                      <w:szCs w:val="21"/>
                    </w:rPr>
                  </w:pPr>
                  <w:r>
                    <w:rPr>
                      <w:rFonts w:hint="eastAsia"/>
                      <w:color w:val="auto"/>
                      <w:sz w:val="21"/>
                      <w:szCs w:val="21"/>
                    </w:rPr>
                    <w:t>5</w:t>
                  </w:r>
                </w:p>
              </w:tc>
              <w:tc>
                <w:tcPr>
                  <w:tcW w:w="1489" w:type="dxa"/>
                  <w:vAlign w:val="center"/>
                </w:tcPr>
                <w:p>
                  <w:pPr>
                    <w:jc w:val="center"/>
                    <w:rPr>
                      <w:rFonts w:hint="eastAsia"/>
                      <w:color w:val="auto"/>
                      <w:sz w:val="21"/>
                      <w:szCs w:val="21"/>
                    </w:rPr>
                  </w:pPr>
                  <w:r>
                    <w:rPr>
                      <w:rFonts w:hint="eastAsia"/>
                      <w:color w:val="auto"/>
                      <w:sz w:val="21"/>
                      <w:szCs w:val="21"/>
                    </w:rPr>
                    <w:t>电</w:t>
                  </w:r>
                </w:p>
              </w:tc>
              <w:tc>
                <w:tcPr>
                  <w:tcW w:w="1277" w:type="dxa"/>
                  <w:vAlign w:val="center"/>
                </w:tcPr>
                <w:p>
                  <w:pPr>
                    <w:jc w:val="center"/>
                    <w:rPr>
                      <w:rFonts w:hint="eastAsia"/>
                      <w:color w:val="auto"/>
                      <w:sz w:val="21"/>
                      <w:szCs w:val="21"/>
                    </w:rPr>
                  </w:pPr>
                  <w:r>
                    <w:rPr>
                      <w:rFonts w:hint="eastAsia"/>
                      <w:color w:val="auto"/>
                      <w:sz w:val="21"/>
                      <w:szCs w:val="21"/>
                    </w:rPr>
                    <w:t>/</w:t>
                  </w:r>
                </w:p>
              </w:tc>
              <w:tc>
                <w:tcPr>
                  <w:tcW w:w="1155" w:type="dxa"/>
                  <w:vAlign w:val="center"/>
                </w:tcPr>
                <w:p>
                  <w:pPr>
                    <w:jc w:val="center"/>
                    <w:rPr>
                      <w:rFonts w:hint="eastAsia"/>
                      <w:color w:val="auto"/>
                      <w:sz w:val="21"/>
                      <w:szCs w:val="21"/>
                    </w:rPr>
                  </w:pPr>
                  <w:r>
                    <w:rPr>
                      <w:rFonts w:hint="eastAsia"/>
                      <w:color w:val="auto"/>
                      <w:sz w:val="21"/>
                      <w:szCs w:val="21"/>
                      <w:lang w:val="en-US" w:eastAsia="zh-CN"/>
                    </w:rPr>
                    <w:t>2</w:t>
                  </w:r>
                  <w:r>
                    <w:rPr>
                      <w:rFonts w:hint="eastAsia"/>
                      <w:color w:val="auto"/>
                      <w:sz w:val="21"/>
                      <w:szCs w:val="21"/>
                    </w:rPr>
                    <w:t>万度</w:t>
                  </w:r>
                </w:p>
              </w:tc>
              <w:tc>
                <w:tcPr>
                  <w:tcW w:w="1237" w:type="dxa"/>
                  <w:vAlign w:val="center"/>
                </w:tcPr>
                <w:p>
                  <w:pPr>
                    <w:jc w:val="center"/>
                    <w:rPr>
                      <w:rFonts w:hint="eastAsia"/>
                      <w:color w:val="auto"/>
                      <w:sz w:val="21"/>
                      <w:szCs w:val="21"/>
                    </w:rPr>
                  </w:pPr>
                  <w:r>
                    <w:rPr>
                      <w:rFonts w:hint="eastAsia"/>
                      <w:color w:val="auto"/>
                      <w:sz w:val="21"/>
                      <w:szCs w:val="21"/>
                    </w:rPr>
                    <w:t>/</w:t>
                  </w:r>
                </w:p>
              </w:tc>
              <w:tc>
                <w:tcPr>
                  <w:tcW w:w="1245" w:type="dxa"/>
                  <w:vAlign w:val="center"/>
                </w:tcPr>
                <w:p>
                  <w:pPr>
                    <w:jc w:val="center"/>
                    <w:rPr>
                      <w:rFonts w:hint="eastAsia"/>
                      <w:color w:val="auto"/>
                      <w:sz w:val="21"/>
                      <w:szCs w:val="21"/>
                    </w:rPr>
                  </w:pPr>
                  <w:r>
                    <w:rPr>
                      <w:rFonts w:hint="eastAsia"/>
                      <w:color w:val="auto"/>
                      <w:sz w:val="21"/>
                      <w:szCs w:val="21"/>
                    </w:rPr>
                    <w:t>/</w:t>
                  </w:r>
                </w:p>
              </w:tc>
              <w:tc>
                <w:tcPr>
                  <w:tcW w:w="1234" w:type="dxa"/>
                  <w:vAlign w:val="center"/>
                </w:tcPr>
                <w:p>
                  <w:pPr>
                    <w:jc w:val="center"/>
                    <w:rPr>
                      <w:rFonts w:hint="eastAsia"/>
                      <w:color w:val="auto"/>
                      <w:sz w:val="21"/>
                      <w:szCs w:val="21"/>
                    </w:rPr>
                  </w:pPr>
                  <w:r>
                    <w:rPr>
                      <w:rFonts w:hint="eastAsia"/>
                      <w:color w:val="auto"/>
                      <w:sz w:val="21"/>
                      <w:szCs w:val="21"/>
                    </w:rPr>
                    <w:t>农村电网</w:t>
                  </w:r>
                </w:p>
              </w:tc>
            </w:tr>
          </w:tbl>
          <w:p>
            <w:pPr>
              <w:jc w:val="center"/>
              <w:rPr>
                <w:rFonts w:hint="eastAsia"/>
                <w:b/>
                <w:color w:val="auto"/>
                <w:sz w:val="24"/>
              </w:rPr>
            </w:pPr>
            <w:r>
              <w:rPr>
                <w:rFonts w:hint="eastAsia"/>
                <w:b/>
                <w:color w:val="auto"/>
                <w:sz w:val="24"/>
              </w:rPr>
              <w:t>表</w:t>
            </w:r>
            <w:r>
              <w:rPr>
                <w:rFonts w:hint="eastAsia"/>
                <w:b/>
                <w:color w:val="auto"/>
                <w:sz w:val="24"/>
                <w:lang w:val="en-US" w:eastAsia="zh-CN"/>
              </w:rPr>
              <w:t>11</w:t>
            </w:r>
            <w:r>
              <w:rPr>
                <w:rFonts w:hint="eastAsia"/>
                <w:b/>
                <w:color w:val="auto"/>
                <w:sz w:val="24"/>
              </w:rPr>
              <w:t xml:space="preserve">  项目主要原辅料的理化性质表</w:t>
            </w:r>
          </w:p>
          <w:tbl>
            <w:tblPr>
              <w:tblStyle w:val="14"/>
              <w:tblW w:w="839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1"/>
              <w:gridCol w:w="2281"/>
              <w:gridCol w:w="2517"/>
              <w:gridCol w:w="24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3" w:hRule="atLeast"/>
              </w:trPr>
              <w:tc>
                <w:tcPr>
                  <w:tcW w:w="1131" w:type="dxa"/>
                  <w:vAlign w:val="center"/>
                </w:tcPr>
                <w:p>
                  <w:pPr>
                    <w:jc w:val="center"/>
                    <w:rPr>
                      <w:rFonts w:hint="eastAsia"/>
                      <w:color w:val="auto"/>
                      <w:sz w:val="21"/>
                      <w:szCs w:val="21"/>
                    </w:rPr>
                  </w:pPr>
                  <w:r>
                    <w:rPr>
                      <w:rFonts w:hint="eastAsia"/>
                      <w:color w:val="auto"/>
                      <w:sz w:val="21"/>
                      <w:szCs w:val="21"/>
                    </w:rPr>
                    <w:t>名称</w:t>
                  </w:r>
                </w:p>
              </w:tc>
              <w:tc>
                <w:tcPr>
                  <w:tcW w:w="2281" w:type="dxa"/>
                  <w:vAlign w:val="center"/>
                </w:tcPr>
                <w:p>
                  <w:pPr>
                    <w:jc w:val="center"/>
                    <w:rPr>
                      <w:rFonts w:hint="eastAsia"/>
                      <w:color w:val="auto"/>
                      <w:sz w:val="21"/>
                      <w:szCs w:val="21"/>
                    </w:rPr>
                  </w:pPr>
                  <w:r>
                    <w:rPr>
                      <w:rFonts w:hint="eastAsia"/>
                      <w:color w:val="auto"/>
                      <w:sz w:val="21"/>
                      <w:szCs w:val="21"/>
                    </w:rPr>
                    <w:t>盐酸</w:t>
                  </w:r>
                </w:p>
              </w:tc>
              <w:tc>
                <w:tcPr>
                  <w:tcW w:w="2517" w:type="dxa"/>
                  <w:vAlign w:val="center"/>
                </w:tcPr>
                <w:p>
                  <w:pPr>
                    <w:jc w:val="center"/>
                    <w:rPr>
                      <w:rFonts w:hint="eastAsia"/>
                      <w:color w:val="auto"/>
                      <w:sz w:val="21"/>
                      <w:szCs w:val="21"/>
                    </w:rPr>
                  </w:pPr>
                  <w:r>
                    <w:rPr>
                      <w:rFonts w:hint="eastAsia"/>
                      <w:color w:val="auto"/>
                      <w:sz w:val="21"/>
                      <w:szCs w:val="21"/>
                    </w:rPr>
                    <w:t>二氧化氯（中间产物）</w:t>
                  </w:r>
                </w:p>
              </w:tc>
              <w:tc>
                <w:tcPr>
                  <w:tcW w:w="2468" w:type="dxa"/>
                  <w:vAlign w:val="center"/>
                </w:tcPr>
                <w:p>
                  <w:pPr>
                    <w:jc w:val="center"/>
                    <w:rPr>
                      <w:rFonts w:hint="eastAsia"/>
                      <w:color w:val="auto"/>
                      <w:sz w:val="21"/>
                      <w:szCs w:val="21"/>
                    </w:rPr>
                  </w:pPr>
                  <w:r>
                    <w:rPr>
                      <w:rFonts w:hint="eastAsia"/>
                      <w:color w:val="auto"/>
                      <w:sz w:val="21"/>
                      <w:szCs w:val="21"/>
                    </w:rPr>
                    <w:t>氯酸钠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3" w:hRule="atLeast"/>
              </w:trPr>
              <w:tc>
                <w:tcPr>
                  <w:tcW w:w="1131" w:type="dxa"/>
                  <w:vAlign w:val="center"/>
                </w:tcPr>
                <w:p>
                  <w:pPr>
                    <w:jc w:val="center"/>
                    <w:rPr>
                      <w:rFonts w:hint="eastAsia"/>
                      <w:color w:val="auto"/>
                      <w:sz w:val="21"/>
                      <w:szCs w:val="21"/>
                    </w:rPr>
                  </w:pPr>
                  <w:r>
                    <w:rPr>
                      <w:rFonts w:hint="eastAsia"/>
                      <w:color w:val="auto"/>
                      <w:sz w:val="21"/>
                      <w:szCs w:val="21"/>
                    </w:rPr>
                    <w:t>分子式</w:t>
                  </w:r>
                </w:p>
              </w:tc>
              <w:tc>
                <w:tcPr>
                  <w:tcW w:w="2281" w:type="dxa"/>
                  <w:vAlign w:val="center"/>
                </w:tcPr>
                <w:p>
                  <w:pPr>
                    <w:jc w:val="center"/>
                    <w:rPr>
                      <w:rFonts w:hint="eastAsia"/>
                      <w:color w:val="auto"/>
                      <w:sz w:val="21"/>
                      <w:szCs w:val="21"/>
                    </w:rPr>
                  </w:pPr>
                  <w:r>
                    <w:rPr>
                      <w:rFonts w:hint="eastAsia"/>
                      <w:color w:val="auto"/>
                      <w:sz w:val="21"/>
                      <w:szCs w:val="21"/>
                    </w:rPr>
                    <w:t>HCl</w:t>
                  </w:r>
                </w:p>
              </w:tc>
              <w:tc>
                <w:tcPr>
                  <w:tcW w:w="2517" w:type="dxa"/>
                  <w:vAlign w:val="center"/>
                </w:tcPr>
                <w:p>
                  <w:pPr>
                    <w:jc w:val="center"/>
                    <w:rPr>
                      <w:rFonts w:hint="eastAsia"/>
                      <w:color w:val="auto"/>
                      <w:sz w:val="21"/>
                      <w:szCs w:val="21"/>
                    </w:rPr>
                  </w:pPr>
                  <w:r>
                    <w:rPr>
                      <w:rFonts w:hint="eastAsia"/>
                      <w:color w:val="auto"/>
                      <w:sz w:val="21"/>
                      <w:szCs w:val="21"/>
                    </w:rPr>
                    <w:t>ClO</w:t>
                  </w:r>
                  <w:r>
                    <w:rPr>
                      <w:rFonts w:hint="eastAsia"/>
                      <w:color w:val="auto"/>
                      <w:sz w:val="21"/>
                      <w:szCs w:val="21"/>
                      <w:vertAlign w:val="subscript"/>
                    </w:rPr>
                    <w:t>2</w:t>
                  </w:r>
                </w:p>
              </w:tc>
              <w:tc>
                <w:tcPr>
                  <w:tcW w:w="2468" w:type="dxa"/>
                  <w:vAlign w:val="center"/>
                </w:tcPr>
                <w:p>
                  <w:pPr>
                    <w:jc w:val="center"/>
                    <w:rPr>
                      <w:rFonts w:hint="eastAsia"/>
                      <w:color w:val="auto"/>
                      <w:sz w:val="21"/>
                      <w:szCs w:val="21"/>
                    </w:rPr>
                  </w:pPr>
                  <w:r>
                    <w:rPr>
                      <w:color w:val="auto"/>
                      <w:sz w:val="21"/>
                      <w:szCs w:val="21"/>
                    </w:rPr>
                    <w:t>NaClO</w:t>
                  </w:r>
                  <w:r>
                    <w:rPr>
                      <w:color w:val="auto"/>
                      <w:sz w:val="21"/>
                      <w:szCs w:val="21"/>
                      <w:vertAlign w:val="subscript"/>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3" w:hRule="atLeast"/>
              </w:trPr>
              <w:tc>
                <w:tcPr>
                  <w:tcW w:w="1131" w:type="dxa"/>
                  <w:vAlign w:val="center"/>
                </w:tcPr>
                <w:p>
                  <w:pPr>
                    <w:jc w:val="center"/>
                    <w:rPr>
                      <w:rFonts w:hint="eastAsia"/>
                      <w:color w:val="auto"/>
                      <w:sz w:val="21"/>
                      <w:szCs w:val="21"/>
                    </w:rPr>
                  </w:pPr>
                  <w:r>
                    <w:rPr>
                      <w:rFonts w:hint="eastAsia"/>
                      <w:color w:val="auto"/>
                      <w:sz w:val="21"/>
                      <w:szCs w:val="21"/>
                    </w:rPr>
                    <w:t>分子量</w:t>
                  </w:r>
                </w:p>
              </w:tc>
              <w:tc>
                <w:tcPr>
                  <w:tcW w:w="2281" w:type="dxa"/>
                  <w:vAlign w:val="center"/>
                </w:tcPr>
                <w:p>
                  <w:pPr>
                    <w:jc w:val="center"/>
                    <w:rPr>
                      <w:rFonts w:hint="eastAsia"/>
                      <w:color w:val="auto"/>
                      <w:sz w:val="21"/>
                      <w:szCs w:val="21"/>
                    </w:rPr>
                  </w:pPr>
                  <w:r>
                    <w:rPr>
                      <w:color w:val="auto"/>
                      <w:sz w:val="21"/>
                      <w:szCs w:val="21"/>
                    </w:rPr>
                    <w:t>36.45</w:t>
                  </w:r>
                </w:p>
              </w:tc>
              <w:tc>
                <w:tcPr>
                  <w:tcW w:w="2517" w:type="dxa"/>
                  <w:vAlign w:val="center"/>
                </w:tcPr>
                <w:p>
                  <w:pPr>
                    <w:jc w:val="center"/>
                    <w:rPr>
                      <w:rFonts w:hint="eastAsia"/>
                      <w:color w:val="auto"/>
                      <w:sz w:val="21"/>
                      <w:szCs w:val="21"/>
                    </w:rPr>
                  </w:pPr>
                  <w:r>
                    <w:rPr>
                      <w:color w:val="auto"/>
                      <w:sz w:val="21"/>
                      <w:szCs w:val="21"/>
                    </w:rPr>
                    <w:t>67.45</w:t>
                  </w:r>
                </w:p>
              </w:tc>
              <w:tc>
                <w:tcPr>
                  <w:tcW w:w="2468" w:type="dxa"/>
                  <w:vAlign w:val="center"/>
                </w:tcPr>
                <w:p>
                  <w:pPr>
                    <w:jc w:val="center"/>
                    <w:rPr>
                      <w:rFonts w:hint="eastAsia"/>
                      <w:color w:val="auto"/>
                      <w:sz w:val="21"/>
                      <w:szCs w:val="21"/>
                    </w:rPr>
                  </w:pPr>
                  <w:r>
                    <w:rPr>
                      <w:color w:val="auto"/>
                      <w:sz w:val="21"/>
                      <w:szCs w:val="21"/>
                    </w:rPr>
                    <w:t>106.45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8" w:hRule="atLeast"/>
              </w:trPr>
              <w:tc>
                <w:tcPr>
                  <w:tcW w:w="1131" w:type="dxa"/>
                  <w:vAlign w:val="center"/>
                </w:tcPr>
                <w:p>
                  <w:pPr>
                    <w:jc w:val="center"/>
                    <w:rPr>
                      <w:rFonts w:hint="eastAsia"/>
                      <w:color w:val="auto"/>
                      <w:sz w:val="21"/>
                      <w:szCs w:val="21"/>
                    </w:rPr>
                  </w:pPr>
                  <w:r>
                    <w:rPr>
                      <w:rFonts w:hint="eastAsia"/>
                      <w:color w:val="auto"/>
                      <w:sz w:val="21"/>
                      <w:szCs w:val="21"/>
                    </w:rPr>
                    <w:t>熔  点</w:t>
                  </w:r>
                </w:p>
              </w:tc>
              <w:tc>
                <w:tcPr>
                  <w:tcW w:w="2281" w:type="dxa"/>
                  <w:vAlign w:val="center"/>
                </w:tcPr>
                <w:p>
                  <w:pPr>
                    <w:jc w:val="center"/>
                    <w:rPr>
                      <w:rFonts w:hint="eastAsia"/>
                      <w:color w:val="auto"/>
                      <w:sz w:val="21"/>
                      <w:szCs w:val="21"/>
                    </w:rPr>
                  </w:pPr>
                  <w:r>
                    <w:rPr>
                      <w:rFonts w:hint="eastAsia"/>
                      <w:color w:val="auto"/>
                      <w:sz w:val="21"/>
                      <w:szCs w:val="21"/>
                    </w:rPr>
                    <w:t>-114.8℃（纯）</w:t>
                  </w:r>
                </w:p>
              </w:tc>
              <w:tc>
                <w:tcPr>
                  <w:tcW w:w="2517" w:type="dxa"/>
                  <w:vAlign w:val="center"/>
                </w:tcPr>
                <w:p>
                  <w:pPr>
                    <w:jc w:val="center"/>
                    <w:rPr>
                      <w:rFonts w:hint="eastAsia"/>
                      <w:color w:val="auto"/>
                      <w:sz w:val="21"/>
                      <w:szCs w:val="21"/>
                    </w:rPr>
                  </w:pPr>
                  <w:r>
                    <w:rPr>
                      <w:rFonts w:hint="eastAsia"/>
                      <w:color w:val="auto"/>
                      <w:sz w:val="21"/>
                      <w:szCs w:val="21"/>
                    </w:rPr>
                    <w:t>-59℃</w:t>
                  </w:r>
                </w:p>
              </w:tc>
              <w:tc>
                <w:tcPr>
                  <w:tcW w:w="2468" w:type="dxa"/>
                  <w:vAlign w:val="center"/>
                </w:tcPr>
                <w:p>
                  <w:pPr>
                    <w:jc w:val="center"/>
                    <w:rPr>
                      <w:rFonts w:hint="eastAsia"/>
                      <w:color w:val="auto"/>
                      <w:sz w:val="21"/>
                      <w:szCs w:val="21"/>
                    </w:rPr>
                  </w:pPr>
                  <w:r>
                    <w:rPr>
                      <w:rFonts w:hint="eastAsia"/>
                      <w:color w:val="auto"/>
                      <w:sz w:val="21"/>
                      <w:szCs w:val="21"/>
                    </w:rPr>
                    <w:t>248～261℃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19" w:hRule="atLeast"/>
              </w:trPr>
              <w:tc>
                <w:tcPr>
                  <w:tcW w:w="1131" w:type="dxa"/>
                  <w:vAlign w:val="center"/>
                </w:tcPr>
                <w:p>
                  <w:pPr>
                    <w:jc w:val="center"/>
                    <w:rPr>
                      <w:rFonts w:hint="eastAsia"/>
                      <w:color w:val="auto"/>
                      <w:sz w:val="21"/>
                      <w:szCs w:val="21"/>
                    </w:rPr>
                  </w:pPr>
                  <w:r>
                    <w:rPr>
                      <w:rFonts w:hint="eastAsia"/>
                      <w:color w:val="auto"/>
                      <w:sz w:val="21"/>
                      <w:szCs w:val="21"/>
                    </w:rPr>
                    <w:t>密  度</w:t>
                  </w:r>
                </w:p>
              </w:tc>
              <w:tc>
                <w:tcPr>
                  <w:tcW w:w="2281" w:type="dxa"/>
                  <w:vAlign w:val="center"/>
                </w:tcPr>
                <w:p>
                  <w:pPr>
                    <w:jc w:val="center"/>
                    <w:rPr>
                      <w:rFonts w:hint="eastAsia"/>
                      <w:color w:val="auto"/>
                      <w:sz w:val="21"/>
                      <w:szCs w:val="21"/>
                    </w:rPr>
                  </w:pPr>
                  <w:r>
                    <w:rPr>
                      <w:rFonts w:hint="eastAsia"/>
                      <w:color w:val="auto"/>
                      <w:sz w:val="21"/>
                      <w:szCs w:val="21"/>
                    </w:rPr>
                    <w:t>相对密度（水=1）1.20；</w:t>
                  </w:r>
                </w:p>
                <w:p>
                  <w:pPr>
                    <w:jc w:val="center"/>
                    <w:rPr>
                      <w:rFonts w:hint="eastAsia"/>
                      <w:color w:val="auto"/>
                      <w:sz w:val="21"/>
                      <w:szCs w:val="21"/>
                    </w:rPr>
                  </w:pPr>
                  <w:r>
                    <w:rPr>
                      <w:rFonts w:hint="eastAsia"/>
                      <w:color w:val="auto"/>
                      <w:sz w:val="21"/>
                      <w:szCs w:val="21"/>
                    </w:rPr>
                    <w:t>相对密度（空气=1）1.26</w:t>
                  </w:r>
                </w:p>
              </w:tc>
              <w:tc>
                <w:tcPr>
                  <w:tcW w:w="2517" w:type="dxa"/>
                  <w:vAlign w:val="center"/>
                </w:tcPr>
                <w:p>
                  <w:pPr>
                    <w:jc w:val="center"/>
                    <w:rPr>
                      <w:rFonts w:hint="eastAsia"/>
                      <w:color w:val="auto"/>
                      <w:sz w:val="21"/>
                      <w:szCs w:val="21"/>
                    </w:rPr>
                  </w:pPr>
                  <w:r>
                    <w:rPr>
                      <w:rFonts w:hint="eastAsia"/>
                      <w:color w:val="auto"/>
                      <w:sz w:val="21"/>
                      <w:szCs w:val="21"/>
                    </w:rPr>
                    <w:t>相对密度（水=1）3.09（11℃）</w:t>
                  </w:r>
                </w:p>
                <w:p>
                  <w:pPr>
                    <w:jc w:val="center"/>
                    <w:rPr>
                      <w:rFonts w:hint="eastAsia"/>
                      <w:color w:val="auto"/>
                      <w:sz w:val="21"/>
                      <w:szCs w:val="21"/>
                    </w:rPr>
                  </w:pPr>
                  <w:r>
                    <w:rPr>
                      <w:rFonts w:hint="eastAsia"/>
                      <w:color w:val="auto"/>
                      <w:sz w:val="21"/>
                      <w:szCs w:val="21"/>
                    </w:rPr>
                    <w:t>相对密度（空气=1）2.3</w:t>
                  </w:r>
                </w:p>
              </w:tc>
              <w:tc>
                <w:tcPr>
                  <w:tcW w:w="2468" w:type="dxa"/>
                  <w:vAlign w:val="center"/>
                </w:tcPr>
                <w:p>
                  <w:pPr>
                    <w:jc w:val="center"/>
                    <w:rPr>
                      <w:rFonts w:hint="eastAsia"/>
                      <w:color w:val="auto"/>
                      <w:sz w:val="21"/>
                      <w:szCs w:val="21"/>
                    </w:rPr>
                  </w:pPr>
                  <w:r>
                    <w:rPr>
                      <w:rFonts w:hint="eastAsia"/>
                      <w:color w:val="auto"/>
                      <w:sz w:val="21"/>
                      <w:szCs w:val="21"/>
                    </w:rPr>
                    <w:t>相对密度(水=1)2.49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34" w:hRule="atLeast"/>
              </w:trPr>
              <w:tc>
                <w:tcPr>
                  <w:tcW w:w="1131" w:type="dxa"/>
                  <w:vAlign w:val="center"/>
                </w:tcPr>
                <w:p>
                  <w:pPr>
                    <w:jc w:val="center"/>
                    <w:rPr>
                      <w:rFonts w:hint="eastAsia"/>
                      <w:color w:val="auto"/>
                      <w:sz w:val="21"/>
                      <w:szCs w:val="21"/>
                    </w:rPr>
                  </w:pPr>
                  <w:r>
                    <w:rPr>
                      <w:rFonts w:hint="eastAsia"/>
                      <w:color w:val="auto"/>
                      <w:sz w:val="21"/>
                      <w:szCs w:val="21"/>
                    </w:rPr>
                    <w:t>外观与</w:t>
                  </w:r>
                </w:p>
                <w:p>
                  <w:pPr>
                    <w:jc w:val="center"/>
                    <w:rPr>
                      <w:rFonts w:hint="eastAsia"/>
                      <w:color w:val="auto"/>
                      <w:sz w:val="21"/>
                      <w:szCs w:val="21"/>
                    </w:rPr>
                  </w:pPr>
                  <w:r>
                    <w:rPr>
                      <w:rFonts w:hint="eastAsia"/>
                      <w:color w:val="auto"/>
                      <w:sz w:val="21"/>
                      <w:szCs w:val="21"/>
                    </w:rPr>
                    <w:t>形状</w:t>
                  </w:r>
                </w:p>
              </w:tc>
              <w:tc>
                <w:tcPr>
                  <w:tcW w:w="2281" w:type="dxa"/>
                  <w:vAlign w:val="center"/>
                </w:tcPr>
                <w:p>
                  <w:pPr>
                    <w:jc w:val="center"/>
                    <w:rPr>
                      <w:rFonts w:hint="eastAsia"/>
                      <w:color w:val="auto"/>
                      <w:sz w:val="21"/>
                      <w:szCs w:val="21"/>
                    </w:rPr>
                  </w:pPr>
                  <w:r>
                    <w:rPr>
                      <w:rFonts w:hint="eastAsia"/>
                      <w:color w:val="auto"/>
                      <w:sz w:val="21"/>
                      <w:szCs w:val="21"/>
                    </w:rPr>
                    <w:t>纯品是无色液体，有腐蚀性。如含有杂质，则呈黄、棕等色。</w:t>
                  </w:r>
                </w:p>
              </w:tc>
              <w:tc>
                <w:tcPr>
                  <w:tcW w:w="2517" w:type="dxa"/>
                  <w:vAlign w:val="center"/>
                </w:tcPr>
                <w:p>
                  <w:pPr>
                    <w:jc w:val="center"/>
                    <w:rPr>
                      <w:rFonts w:hint="eastAsia"/>
                      <w:color w:val="auto"/>
                      <w:sz w:val="21"/>
                      <w:szCs w:val="21"/>
                    </w:rPr>
                  </w:pPr>
                  <w:r>
                    <w:rPr>
                      <w:rFonts w:hint="eastAsia"/>
                      <w:color w:val="auto"/>
                      <w:sz w:val="21"/>
                      <w:szCs w:val="21"/>
                    </w:rPr>
                    <w:t>黄红色气体,  有刺激性气味。</w:t>
                  </w:r>
                </w:p>
              </w:tc>
              <w:tc>
                <w:tcPr>
                  <w:tcW w:w="2468" w:type="dxa"/>
                  <w:vAlign w:val="center"/>
                </w:tcPr>
                <w:p>
                  <w:pPr>
                    <w:jc w:val="center"/>
                    <w:rPr>
                      <w:rFonts w:hint="eastAsia"/>
                      <w:color w:val="auto"/>
                      <w:sz w:val="21"/>
                      <w:szCs w:val="21"/>
                    </w:rPr>
                  </w:pPr>
                  <w:r>
                    <w:rPr>
                      <w:rFonts w:hint="eastAsia"/>
                      <w:color w:val="auto"/>
                      <w:sz w:val="21"/>
                      <w:szCs w:val="21"/>
                    </w:rPr>
                    <w:t>无色无臭结晶，味咸而凉，有潮解性。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73" w:hRule="atLeast"/>
              </w:trPr>
              <w:tc>
                <w:tcPr>
                  <w:tcW w:w="1131" w:type="dxa"/>
                  <w:vAlign w:val="center"/>
                </w:tcPr>
                <w:p>
                  <w:pPr>
                    <w:jc w:val="center"/>
                    <w:rPr>
                      <w:rFonts w:hint="eastAsia"/>
                      <w:color w:val="auto"/>
                      <w:sz w:val="21"/>
                      <w:szCs w:val="21"/>
                    </w:rPr>
                  </w:pPr>
                  <w:r>
                    <w:rPr>
                      <w:rFonts w:hint="eastAsia"/>
                      <w:color w:val="auto"/>
                      <w:sz w:val="21"/>
                      <w:szCs w:val="21"/>
                    </w:rPr>
                    <w:t>溶解性</w:t>
                  </w:r>
                </w:p>
              </w:tc>
              <w:tc>
                <w:tcPr>
                  <w:tcW w:w="2281" w:type="dxa"/>
                  <w:vAlign w:val="center"/>
                </w:tcPr>
                <w:p>
                  <w:pPr>
                    <w:jc w:val="center"/>
                    <w:rPr>
                      <w:rFonts w:hint="eastAsia"/>
                      <w:color w:val="auto"/>
                      <w:sz w:val="21"/>
                      <w:szCs w:val="21"/>
                    </w:rPr>
                  </w:pPr>
                  <w:r>
                    <w:rPr>
                      <w:rFonts w:hint="eastAsia"/>
                      <w:color w:val="auto"/>
                      <w:sz w:val="21"/>
                      <w:szCs w:val="21"/>
                    </w:rPr>
                    <w:t>与水混溶，溶于碱液。</w:t>
                  </w:r>
                </w:p>
              </w:tc>
              <w:tc>
                <w:tcPr>
                  <w:tcW w:w="2517" w:type="dxa"/>
                  <w:vAlign w:val="center"/>
                </w:tcPr>
                <w:p>
                  <w:pPr>
                    <w:jc w:val="center"/>
                    <w:rPr>
                      <w:rFonts w:hint="eastAsia"/>
                      <w:color w:val="auto"/>
                      <w:sz w:val="21"/>
                      <w:szCs w:val="21"/>
                    </w:rPr>
                  </w:pPr>
                  <w:r>
                    <w:rPr>
                      <w:rFonts w:hint="eastAsia"/>
                      <w:color w:val="auto"/>
                      <w:sz w:val="21"/>
                      <w:szCs w:val="21"/>
                    </w:rPr>
                    <w:t>不溶于水。</w:t>
                  </w:r>
                </w:p>
              </w:tc>
              <w:tc>
                <w:tcPr>
                  <w:tcW w:w="2468" w:type="dxa"/>
                  <w:vAlign w:val="center"/>
                </w:tcPr>
                <w:p>
                  <w:pPr>
                    <w:jc w:val="center"/>
                    <w:rPr>
                      <w:rFonts w:hint="eastAsia"/>
                      <w:color w:val="auto"/>
                      <w:sz w:val="21"/>
                      <w:szCs w:val="21"/>
                    </w:rPr>
                  </w:pPr>
                  <w:r>
                    <w:rPr>
                      <w:rFonts w:hint="eastAsia"/>
                      <w:color w:val="auto"/>
                      <w:sz w:val="21"/>
                      <w:szCs w:val="21"/>
                    </w:rPr>
                    <w:t>易溶于水，微溶于乙醇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10" w:hRule="atLeast"/>
              </w:trPr>
              <w:tc>
                <w:tcPr>
                  <w:tcW w:w="1131" w:type="dxa"/>
                  <w:vAlign w:val="center"/>
                </w:tcPr>
                <w:p>
                  <w:pPr>
                    <w:jc w:val="center"/>
                    <w:rPr>
                      <w:rFonts w:hint="eastAsia"/>
                      <w:color w:val="auto"/>
                      <w:sz w:val="21"/>
                      <w:szCs w:val="21"/>
                    </w:rPr>
                  </w:pPr>
                  <w:r>
                    <w:rPr>
                      <w:rFonts w:hint="eastAsia"/>
                      <w:color w:val="auto"/>
                      <w:sz w:val="21"/>
                      <w:szCs w:val="21"/>
                    </w:rPr>
                    <w:t>毒性</w:t>
                  </w:r>
                </w:p>
              </w:tc>
              <w:tc>
                <w:tcPr>
                  <w:tcW w:w="2281" w:type="dxa"/>
                  <w:vAlign w:val="center"/>
                </w:tcPr>
                <w:p>
                  <w:pPr>
                    <w:jc w:val="center"/>
                    <w:rPr>
                      <w:rFonts w:hint="eastAsia"/>
                      <w:color w:val="auto"/>
                      <w:sz w:val="21"/>
                      <w:szCs w:val="21"/>
                    </w:rPr>
                  </w:pPr>
                  <w:r>
                    <w:rPr>
                      <w:color w:val="auto"/>
                      <w:sz w:val="21"/>
                      <w:szCs w:val="21"/>
                    </w:rPr>
                    <w:t>LD</w:t>
                  </w:r>
                  <w:r>
                    <w:rPr>
                      <w:color w:val="auto"/>
                      <w:sz w:val="21"/>
                      <w:szCs w:val="21"/>
                      <w:vertAlign w:val="subscript"/>
                    </w:rPr>
                    <w:t>50</w:t>
                  </w:r>
                  <w:r>
                    <w:rPr>
                      <w:color w:val="auto"/>
                      <w:sz w:val="21"/>
                      <w:szCs w:val="21"/>
                    </w:rPr>
                    <w:t>900mg/kg（兔经口）；LC</w:t>
                  </w:r>
                  <w:r>
                    <w:rPr>
                      <w:color w:val="auto"/>
                      <w:sz w:val="21"/>
                      <w:szCs w:val="21"/>
                      <w:vertAlign w:val="subscript"/>
                    </w:rPr>
                    <w:t>50</w:t>
                  </w:r>
                  <w:r>
                    <w:rPr>
                      <w:color w:val="auto"/>
                      <w:sz w:val="21"/>
                      <w:szCs w:val="21"/>
                    </w:rPr>
                    <w:t>3124ppm，1小时(</w:t>
                  </w:r>
                  <w:r>
                    <w:rPr>
                      <w:color w:val="auto"/>
                      <w:sz w:val="21"/>
                      <w:szCs w:val="21"/>
                    </w:rPr>
                    <w:fldChar w:fldCharType="begin"/>
                  </w:r>
                  <w:r>
                    <w:rPr>
                      <w:color w:val="auto"/>
                      <w:sz w:val="21"/>
                      <w:szCs w:val="21"/>
                    </w:rPr>
                    <w:instrText xml:space="preserve"> HYPERLINK "http://baike.baidu.com/view/205631.htm" \t "_blank" </w:instrText>
                  </w:r>
                  <w:r>
                    <w:rPr>
                      <w:color w:val="auto"/>
                      <w:sz w:val="21"/>
                      <w:szCs w:val="21"/>
                    </w:rPr>
                    <w:fldChar w:fldCharType="separate"/>
                  </w:r>
                  <w:r>
                    <w:rPr>
                      <w:color w:val="auto"/>
                    </w:rPr>
                    <w:t>大鼠</w:t>
                  </w:r>
                  <w:r>
                    <w:rPr>
                      <w:color w:val="auto"/>
                      <w:sz w:val="21"/>
                      <w:szCs w:val="21"/>
                    </w:rPr>
                    <w:fldChar w:fldCharType="end"/>
                  </w:r>
                  <w:r>
                    <w:rPr>
                      <w:color w:val="auto"/>
                      <w:sz w:val="21"/>
                      <w:szCs w:val="21"/>
                    </w:rPr>
                    <w:t>吸入)</w:t>
                  </w:r>
                </w:p>
              </w:tc>
              <w:tc>
                <w:tcPr>
                  <w:tcW w:w="2517" w:type="dxa"/>
                  <w:vAlign w:val="center"/>
                </w:tcPr>
                <w:p>
                  <w:pPr>
                    <w:jc w:val="center"/>
                    <w:rPr>
                      <w:rFonts w:hint="eastAsia"/>
                      <w:color w:val="auto"/>
                      <w:sz w:val="21"/>
                      <w:szCs w:val="21"/>
                    </w:rPr>
                  </w:pPr>
                  <w:r>
                    <w:rPr>
                      <w:color w:val="auto"/>
                      <w:sz w:val="21"/>
                      <w:szCs w:val="21"/>
                    </w:rPr>
                    <w:t>LD</w:t>
                  </w:r>
                  <w:r>
                    <w:rPr>
                      <w:color w:val="auto"/>
                      <w:sz w:val="21"/>
                      <w:szCs w:val="21"/>
                      <w:vertAlign w:val="subscript"/>
                    </w:rPr>
                    <w:t>50</w:t>
                  </w:r>
                  <w:r>
                    <w:rPr>
                      <w:color w:val="auto"/>
                      <w:sz w:val="21"/>
                      <w:szCs w:val="21"/>
                    </w:rPr>
                    <w:t>&gt;10000mg/kg</w:t>
                  </w:r>
                </w:p>
              </w:tc>
              <w:tc>
                <w:tcPr>
                  <w:tcW w:w="2468" w:type="dxa"/>
                  <w:vAlign w:val="center"/>
                </w:tcPr>
                <w:p>
                  <w:pPr>
                    <w:jc w:val="center"/>
                    <w:rPr>
                      <w:rFonts w:hint="eastAsia"/>
                      <w:color w:val="auto"/>
                      <w:sz w:val="21"/>
                      <w:szCs w:val="21"/>
                    </w:rPr>
                  </w:pPr>
                  <w:r>
                    <w:rPr>
                      <w:color w:val="auto"/>
                      <w:sz w:val="21"/>
                      <w:szCs w:val="21"/>
                    </w:rPr>
                    <w:t>低毒，半数致死量（大鼠，经口）1200mg/kg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14" w:hRule="atLeast"/>
              </w:trPr>
              <w:tc>
                <w:tcPr>
                  <w:tcW w:w="1131" w:type="dxa"/>
                  <w:vAlign w:val="center"/>
                </w:tcPr>
                <w:p>
                  <w:pPr>
                    <w:jc w:val="center"/>
                    <w:rPr>
                      <w:rFonts w:hint="eastAsia"/>
                      <w:color w:val="auto"/>
                      <w:sz w:val="21"/>
                      <w:szCs w:val="21"/>
                    </w:rPr>
                  </w:pPr>
                  <w:r>
                    <w:rPr>
                      <w:rFonts w:hint="eastAsia"/>
                      <w:color w:val="auto"/>
                      <w:sz w:val="21"/>
                      <w:szCs w:val="21"/>
                    </w:rPr>
                    <w:t>危险特性</w:t>
                  </w:r>
                </w:p>
              </w:tc>
              <w:tc>
                <w:tcPr>
                  <w:tcW w:w="2281" w:type="dxa"/>
                  <w:vAlign w:val="center"/>
                </w:tcPr>
                <w:p>
                  <w:pPr>
                    <w:jc w:val="center"/>
                    <w:rPr>
                      <w:rFonts w:hint="eastAsia"/>
                      <w:color w:val="auto"/>
                      <w:sz w:val="21"/>
                      <w:szCs w:val="21"/>
                    </w:rPr>
                  </w:pPr>
                  <w:r>
                    <w:rPr>
                      <w:rFonts w:hint="eastAsia"/>
                      <w:color w:val="auto"/>
                      <w:sz w:val="21"/>
                      <w:szCs w:val="21"/>
                    </w:rPr>
                    <w:t>不燃，具强腐蚀性、强刺激性，可致人体灼伤。能与一些活性金属粉末发生反应，放出氢气。遇氰化物能产生剧毒的氰化氢气体。与碱发生中合反应，并放出大量的热。</w:t>
                  </w:r>
                </w:p>
              </w:tc>
              <w:tc>
                <w:tcPr>
                  <w:tcW w:w="2517" w:type="dxa"/>
                  <w:vAlign w:val="center"/>
                </w:tcPr>
                <w:p>
                  <w:pPr>
                    <w:jc w:val="center"/>
                    <w:rPr>
                      <w:rFonts w:hint="eastAsia"/>
                      <w:color w:val="auto"/>
                      <w:sz w:val="21"/>
                      <w:szCs w:val="21"/>
                    </w:rPr>
                  </w:pPr>
                  <w:r>
                    <w:rPr>
                      <w:rFonts w:hint="eastAsia"/>
                      <w:color w:val="auto"/>
                      <w:sz w:val="21"/>
                      <w:szCs w:val="21"/>
                    </w:rPr>
                    <w:t>具有强刺激性和强氧化性。能与许多化学物质发生爆炸性反应。对热、震动、撞击和摩擦相当敏感，  极易分解发生爆炸。</w:t>
                  </w:r>
                </w:p>
              </w:tc>
              <w:tc>
                <w:tcPr>
                  <w:tcW w:w="2468" w:type="dxa"/>
                  <w:vAlign w:val="center"/>
                </w:tcPr>
                <w:p>
                  <w:pPr>
                    <w:jc w:val="center"/>
                    <w:rPr>
                      <w:rFonts w:hint="eastAsia"/>
                      <w:color w:val="auto"/>
                      <w:sz w:val="21"/>
                      <w:szCs w:val="21"/>
                    </w:rPr>
                  </w:pPr>
                  <w:r>
                    <w:rPr>
                      <w:rFonts w:hint="eastAsia"/>
                      <w:color w:val="auto"/>
                      <w:sz w:val="21"/>
                      <w:szCs w:val="21"/>
                    </w:rPr>
                    <w:t>强氧化剂。受强热或与强酸接触时即发生爆炸。与还原剂、有机物、易燃物如硫、磷或金属粉等混合可形成爆炸性混合物。急剧加热时可发生爆炸。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46" w:hRule="atLeast"/>
              </w:trPr>
              <w:tc>
                <w:tcPr>
                  <w:tcW w:w="1131" w:type="dxa"/>
                  <w:vAlign w:val="center"/>
                </w:tcPr>
                <w:p>
                  <w:pPr>
                    <w:jc w:val="center"/>
                    <w:rPr>
                      <w:rFonts w:hint="eastAsia"/>
                      <w:color w:val="auto"/>
                      <w:sz w:val="21"/>
                      <w:szCs w:val="21"/>
                    </w:rPr>
                  </w:pPr>
                  <w:r>
                    <w:rPr>
                      <w:rFonts w:hint="eastAsia"/>
                      <w:color w:val="auto"/>
                      <w:sz w:val="21"/>
                      <w:szCs w:val="21"/>
                    </w:rPr>
                    <w:t>禁配物</w:t>
                  </w:r>
                </w:p>
              </w:tc>
              <w:tc>
                <w:tcPr>
                  <w:tcW w:w="2281" w:type="dxa"/>
                  <w:vAlign w:val="center"/>
                </w:tcPr>
                <w:p>
                  <w:pPr>
                    <w:jc w:val="center"/>
                    <w:rPr>
                      <w:rFonts w:hint="eastAsia"/>
                      <w:color w:val="auto"/>
                      <w:sz w:val="21"/>
                      <w:szCs w:val="21"/>
                    </w:rPr>
                  </w:pPr>
                  <w:r>
                    <w:rPr>
                      <w:rFonts w:hint="eastAsia"/>
                      <w:color w:val="auto"/>
                      <w:sz w:val="21"/>
                      <w:szCs w:val="21"/>
                    </w:rPr>
                    <w:t>碱类、碱金属、胺类、易燃或可燃物。</w:t>
                  </w:r>
                </w:p>
              </w:tc>
              <w:tc>
                <w:tcPr>
                  <w:tcW w:w="2517" w:type="dxa"/>
                  <w:vAlign w:val="center"/>
                </w:tcPr>
                <w:p>
                  <w:pPr>
                    <w:jc w:val="center"/>
                    <w:rPr>
                      <w:rFonts w:hint="eastAsia"/>
                      <w:color w:val="auto"/>
                      <w:sz w:val="21"/>
                      <w:szCs w:val="21"/>
                    </w:rPr>
                  </w:pPr>
                  <w:r>
                    <w:rPr>
                      <w:rFonts w:hint="eastAsia"/>
                      <w:color w:val="auto"/>
                      <w:sz w:val="21"/>
                      <w:szCs w:val="21"/>
                    </w:rPr>
                    <w:t>还原剂、易燃或可燃物、活性金属粉末。</w:t>
                  </w:r>
                </w:p>
              </w:tc>
              <w:tc>
                <w:tcPr>
                  <w:tcW w:w="2468" w:type="dxa"/>
                  <w:vAlign w:val="center"/>
                </w:tcPr>
                <w:p>
                  <w:pPr>
                    <w:jc w:val="center"/>
                    <w:rPr>
                      <w:rFonts w:hint="eastAsia"/>
                      <w:color w:val="auto"/>
                      <w:sz w:val="21"/>
                      <w:szCs w:val="21"/>
                    </w:rPr>
                  </w:pPr>
                  <w:r>
                    <w:rPr>
                      <w:rFonts w:hint="eastAsia"/>
                      <w:color w:val="auto"/>
                      <w:sz w:val="21"/>
                      <w:szCs w:val="21"/>
                    </w:rPr>
                    <w:t>易燃物品如木屑、硫磺、磷等物品。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92" w:hRule="atLeast"/>
              </w:trPr>
              <w:tc>
                <w:tcPr>
                  <w:tcW w:w="1131" w:type="dxa"/>
                  <w:vAlign w:val="center"/>
                </w:tcPr>
                <w:p>
                  <w:pPr>
                    <w:jc w:val="center"/>
                    <w:rPr>
                      <w:rFonts w:hint="eastAsia"/>
                      <w:color w:val="auto"/>
                      <w:sz w:val="21"/>
                      <w:szCs w:val="21"/>
                    </w:rPr>
                  </w:pPr>
                  <w:r>
                    <w:rPr>
                      <w:rFonts w:hint="eastAsia"/>
                      <w:color w:val="auto"/>
                      <w:sz w:val="21"/>
                      <w:szCs w:val="21"/>
                    </w:rPr>
                    <w:t>主要用途</w:t>
                  </w:r>
                </w:p>
              </w:tc>
              <w:tc>
                <w:tcPr>
                  <w:tcW w:w="2281" w:type="dxa"/>
                  <w:vAlign w:val="center"/>
                </w:tcPr>
                <w:p>
                  <w:pPr>
                    <w:jc w:val="center"/>
                    <w:rPr>
                      <w:rFonts w:hint="eastAsia"/>
                      <w:color w:val="auto"/>
                      <w:sz w:val="21"/>
                      <w:szCs w:val="21"/>
                    </w:rPr>
                  </w:pPr>
                  <w:r>
                    <w:rPr>
                      <w:rFonts w:hint="eastAsia"/>
                      <w:color w:val="auto"/>
                      <w:sz w:val="21"/>
                      <w:szCs w:val="21"/>
                    </w:rPr>
                    <w:t>用于稀有金属的湿法冶金，在化工、医药、食品、漂染、金属加工等工业也有广泛的应用。</w:t>
                  </w:r>
                </w:p>
              </w:tc>
              <w:tc>
                <w:tcPr>
                  <w:tcW w:w="2517" w:type="dxa"/>
                  <w:vAlign w:val="center"/>
                </w:tcPr>
                <w:p>
                  <w:pPr>
                    <w:jc w:val="center"/>
                    <w:rPr>
                      <w:rFonts w:hint="eastAsia"/>
                      <w:color w:val="auto"/>
                      <w:sz w:val="21"/>
                      <w:szCs w:val="21"/>
                    </w:rPr>
                  </w:pPr>
                  <w:r>
                    <w:rPr>
                      <w:rFonts w:hint="eastAsia"/>
                      <w:color w:val="auto"/>
                      <w:sz w:val="21"/>
                      <w:szCs w:val="21"/>
                    </w:rPr>
                    <w:t>用作漂白剂、除臭剂、氧化剂等。</w:t>
                  </w:r>
                </w:p>
              </w:tc>
              <w:tc>
                <w:tcPr>
                  <w:tcW w:w="2468" w:type="dxa"/>
                  <w:vAlign w:val="center"/>
                </w:tcPr>
                <w:p>
                  <w:pPr>
                    <w:jc w:val="center"/>
                    <w:rPr>
                      <w:rFonts w:hint="eastAsia"/>
                      <w:color w:val="auto"/>
                      <w:sz w:val="21"/>
                      <w:szCs w:val="21"/>
                    </w:rPr>
                  </w:pPr>
                  <w:r>
                    <w:rPr>
                      <w:rFonts w:hint="eastAsia"/>
                      <w:color w:val="auto"/>
                      <w:sz w:val="21"/>
                      <w:szCs w:val="21"/>
                    </w:rPr>
                    <w:t>用作氧化剂，及制氯酸盐、除草剂、医药品等，也用于冶金矿石处理。</w:t>
                  </w:r>
                </w:p>
              </w:tc>
            </w:tr>
          </w:tbl>
          <w:p>
            <w:pPr>
              <w:spacing w:line="360" w:lineRule="auto"/>
              <w:rPr>
                <w:rFonts w:hint="eastAsia"/>
                <w:color w:val="auto"/>
                <w:sz w:val="24"/>
              </w:rPr>
            </w:pPr>
            <w:r>
              <w:rPr>
                <w:rFonts w:hint="eastAsia"/>
                <w:b/>
                <w:color w:val="auto"/>
                <w:sz w:val="24"/>
              </w:rPr>
              <w:t>3</w:t>
            </w:r>
            <w:r>
              <w:rPr>
                <w:b/>
                <w:color w:val="auto"/>
                <w:sz w:val="24"/>
              </w:rPr>
              <w:t>.</w:t>
            </w:r>
            <w:r>
              <w:rPr>
                <w:rFonts w:hint="eastAsia"/>
                <w:b/>
                <w:color w:val="auto"/>
                <w:sz w:val="24"/>
              </w:rPr>
              <w:t>6</w:t>
            </w:r>
            <w:r>
              <w:rPr>
                <w:b/>
                <w:color w:val="auto"/>
                <w:sz w:val="24"/>
              </w:rPr>
              <w:t xml:space="preserve"> </w:t>
            </w:r>
            <w:r>
              <w:rPr>
                <w:rFonts w:hint="eastAsia"/>
                <w:b/>
                <w:color w:val="auto"/>
                <w:sz w:val="24"/>
                <w:lang w:eastAsia="zh-CN"/>
              </w:rPr>
              <w:t>主要设备情况</w:t>
            </w:r>
          </w:p>
          <w:p>
            <w:pPr>
              <w:spacing w:line="360" w:lineRule="auto"/>
              <w:ind w:firstLine="480" w:firstLineChars="200"/>
              <w:rPr>
                <w:rFonts w:hint="eastAsia"/>
                <w:color w:val="auto"/>
                <w:sz w:val="24"/>
              </w:rPr>
            </w:pPr>
            <w:r>
              <w:rPr>
                <w:rFonts w:hint="eastAsia"/>
                <w:color w:val="auto"/>
                <w:sz w:val="24"/>
              </w:rPr>
              <w:t>本项目净水厂主要工艺设备见表</w:t>
            </w:r>
            <w:r>
              <w:rPr>
                <w:rFonts w:hint="eastAsia"/>
                <w:color w:val="auto"/>
                <w:sz w:val="24"/>
                <w:lang w:val="en-US" w:eastAsia="zh-CN"/>
              </w:rPr>
              <w:t>12</w:t>
            </w:r>
            <w:r>
              <w:rPr>
                <w:rFonts w:hint="eastAsia"/>
                <w:color w:val="auto"/>
                <w:sz w:val="24"/>
              </w:rPr>
              <w:t>，水质化验检测设备见表</w:t>
            </w:r>
            <w:r>
              <w:rPr>
                <w:rFonts w:hint="eastAsia"/>
                <w:color w:val="auto"/>
                <w:sz w:val="24"/>
                <w:lang w:val="en-US" w:eastAsia="zh-CN"/>
              </w:rPr>
              <w:t>13</w:t>
            </w:r>
            <w:r>
              <w:rPr>
                <w:rFonts w:hint="eastAsia"/>
                <w:color w:val="auto"/>
                <w:sz w:val="24"/>
              </w:rPr>
              <w:t>。</w:t>
            </w:r>
          </w:p>
          <w:p>
            <w:pPr>
              <w:jc w:val="center"/>
              <w:rPr>
                <w:b/>
                <w:color w:val="auto"/>
                <w:sz w:val="24"/>
              </w:rPr>
            </w:pPr>
            <w:r>
              <w:rPr>
                <w:rFonts w:hint="eastAsia"/>
                <w:b/>
                <w:color w:val="auto"/>
                <w:sz w:val="24"/>
              </w:rPr>
              <w:t>表</w:t>
            </w:r>
            <w:r>
              <w:rPr>
                <w:rFonts w:hint="eastAsia"/>
                <w:b/>
                <w:color w:val="auto"/>
                <w:sz w:val="24"/>
                <w:lang w:val="en-US" w:eastAsia="zh-CN"/>
              </w:rPr>
              <w:t>12</w:t>
            </w:r>
            <w:r>
              <w:rPr>
                <w:rFonts w:hint="eastAsia"/>
                <w:b/>
                <w:color w:val="auto"/>
                <w:sz w:val="24"/>
              </w:rPr>
              <w:t xml:space="preserve">  工艺主要设备表</w:t>
            </w:r>
          </w:p>
          <w:tbl>
            <w:tblPr>
              <w:tblStyle w:val="14"/>
              <w:tblW w:w="844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8"/>
              <w:gridCol w:w="2079"/>
              <w:gridCol w:w="2423"/>
              <w:gridCol w:w="808"/>
              <w:gridCol w:w="539"/>
              <w:gridCol w:w="19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blHeader/>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编号</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名   称</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型 号 及 规 格</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单位</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数量</w:t>
                  </w:r>
                </w:p>
              </w:tc>
              <w:tc>
                <w:tcPr>
                  <w:tcW w:w="1960"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8447" w:type="dxa"/>
                  <w:gridSpan w:val="6"/>
                  <w:tcMar>
                    <w:top w:w="0" w:type="dxa"/>
                    <w:left w:w="28" w:type="dxa"/>
                    <w:bottom w:w="0" w:type="dxa"/>
                    <w:right w:w="28" w:type="dxa"/>
                  </w:tcMar>
                  <w:vAlign w:val="center"/>
                </w:tcPr>
                <w:p>
                  <w:pPr>
                    <w:jc w:val="center"/>
                    <w:rPr>
                      <w:color w:val="auto"/>
                      <w:sz w:val="21"/>
                      <w:szCs w:val="21"/>
                    </w:rPr>
                  </w:pPr>
                  <w:r>
                    <w:rPr>
                      <w:rFonts w:hint="eastAsia"/>
                      <w:color w:val="auto"/>
                      <w:sz w:val="21"/>
                      <w:szCs w:val="21"/>
                    </w:rPr>
                    <w:t>絮凝、沉淀(一座)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管式静态混合器</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DN400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蝶阀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DN400~15</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105</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3</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膜片式快开排泥阀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DN150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套</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7</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4</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膜片式快开排泥阀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DN200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套</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27</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5</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电磁流量计</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DN400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6</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电磁阀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DN15</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34</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8447" w:type="dxa"/>
                  <w:gridSpan w:val="6"/>
                  <w:tcMar>
                    <w:top w:w="0" w:type="dxa"/>
                    <w:left w:w="28" w:type="dxa"/>
                    <w:bottom w:w="0" w:type="dxa"/>
                    <w:right w:w="28" w:type="dxa"/>
                  </w:tcMar>
                  <w:vAlign w:val="center"/>
                </w:tcPr>
                <w:p>
                  <w:pPr>
                    <w:jc w:val="center"/>
                    <w:rPr>
                      <w:color w:val="auto"/>
                      <w:sz w:val="21"/>
                      <w:szCs w:val="21"/>
                    </w:rPr>
                  </w:pPr>
                  <w:r>
                    <w:rPr>
                      <w:rFonts w:hint="eastAsia"/>
                      <w:color w:val="auto"/>
                      <w:sz w:val="21"/>
                      <w:szCs w:val="21"/>
                    </w:rPr>
                    <w:t>虹吸滤池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蝶阀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DN400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排空阀门</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DN80 Z45T-10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8</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8447" w:type="dxa"/>
                  <w:gridSpan w:val="6"/>
                  <w:tcMar>
                    <w:top w:w="0" w:type="dxa"/>
                    <w:left w:w="28" w:type="dxa"/>
                    <w:bottom w:w="0" w:type="dxa"/>
                    <w:right w:w="28" w:type="dxa"/>
                  </w:tcMar>
                  <w:vAlign w:val="center"/>
                </w:tcPr>
                <w:p>
                  <w:pPr>
                    <w:jc w:val="center"/>
                    <w:rPr>
                      <w:color w:val="auto"/>
                      <w:sz w:val="21"/>
                      <w:szCs w:val="21"/>
                    </w:rPr>
                  </w:pPr>
                  <w:r>
                    <w:rPr>
                      <w:rFonts w:hint="eastAsia"/>
                      <w:color w:val="auto"/>
                      <w:sz w:val="21"/>
                      <w:szCs w:val="21"/>
                    </w:rPr>
                    <w:t>加药间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JY型加矾设备</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套</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复合二氧化氯发生器</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套</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3</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自动余氯分析仪</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套</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放置清水池出水口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4</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电磁流量计</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DN25、DN32</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5</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轴流风机</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台</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3</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6</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化料器</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台</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7</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卸酸泵</w:t>
                  </w:r>
                </w:p>
              </w:tc>
              <w:tc>
                <w:tcPr>
                  <w:tcW w:w="2423" w:type="dxa"/>
                  <w:tcMar>
                    <w:top w:w="0" w:type="dxa"/>
                    <w:left w:w="28" w:type="dxa"/>
                    <w:bottom w:w="0" w:type="dxa"/>
                    <w:right w:w="28" w:type="dxa"/>
                  </w:tcMar>
                  <w:vAlign w:val="center"/>
                </w:tcPr>
                <w:p>
                  <w:pPr>
                    <w:jc w:val="center"/>
                    <w:rPr>
                      <w:color w:val="auto"/>
                      <w:sz w:val="21"/>
                      <w:szCs w:val="21"/>
                    </w:rPr>
                  </w:pP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台</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8</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手动球阀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DN15、32</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14</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8447" w:type="dxa"/>
                  <w:gridSpan w:val="6"/>
                  <w:tcMar>
                    <w:top w:w="0" w:type="dxa"/>
                    <w:left w:w="28" w:type="dxa"/>
                    <w:bottom w:w="0" w:type="dxa"/>
                    <w:right w:w="28" w:type="dxa"/>
                  </w:tcMar>
                  <w:vAlign w:val="center"/>
                </w:tcPr>
                <w:p>
                  <w:pPr>
                    <w:jc w:val="center"/>
                    <w:rPr>
                      <w:color w:val="auto"/>
                      <w:sz w:val="21"/>
                      <w:szCs w:val="21"/>
                    </w:rPr>
                  </w:pPr>
                  <w:r>
                    <w:rPr>
                      <w:rFonts w:hint="eastAsia"/>
                      <w:color w:val="auto"/>
                      <w:sz w:val="21"/>
                      <w:szCs w:val="21"/>
                    </w:rPr>
                    <w:t>清水池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1</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法兰式蝶阀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DN400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 w:hRule="atLeast"/>
              </w:trPr>
              <w:tc>
                <w:tcPr>
                  <w:tcW w:w="63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207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法兰式蝶阀</w:t>
                  </w:r>
                </w:p>
              </w:tc>
              <w:tc>
                <w:tcPr>
                  <w:tcW w:w="2423"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DN500</w:t>
                  </w:r>
                </w:p>
              </w:tc>
              <w:tc>
                <w:tcPr>
                  <w:tcW w:w="808"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个</w:t>
                  </w:r>
                </w:p>
              </w:tc>
              <w:tc>
                <w:tcPr>
                  <w:tcW w:w="539" w:type="dxa"/>
                  <w:tcMar>
                    <w:top w:w="0" w:type="dxa"/>
                    <w:left w:w="28" w:type="dxa"/>
                    <w:bottom w:w="0" w:type="dxa"/>
                    <w:right w:w="28" w:type="dxa"/>
                  </w:tcMar>
                  <w:vAlign w:val="center"/>
                </w:tcPr>
                <w:p>
                  <w:pPr>
                    <w:jc w:val="center"/>
                    <w:rPr>
                      <w:color w:val="auto"/>
                      <w:sz w:val="21"/>
                      <w:szCs w:val="21"/>
                    </w:rPr>
                  </w:pPr>
                  <w:r>
                    <w:rPr>
                      <w:rFonts w:hint="eastAsia"/>
                      <w:color w:val="auto"/>
                      <w:sz w:val="21"/>
                      <w:szCs w:val="21"/>
                    </w:rPr>
                    <w:t>2</w:t>
                  </w:r>
                </w:p>
              </w:tc>
              <w:tc>
                <w:tcPr>
                  <w:tcW w:w="1960" w:type="dxa"/>
                  <w:tcMar>
                    <w:top w:w="0" w:type="dxa"/>
                    <w:left w:w="28" w:type="dxa"/>
                    <w:bottom w:w="0" w:type="dxa"/>
                    <w:right w:w="28" w:type="dxa"/>
                  </w:tcMar>
                  <w:vAlign w:val="center"/>
                </w:tcPr>
                <w:p>
                  <w:pPr>
                    <w:jc w:val="center"/>
                    <w:rPr>
                      <w:color w:val="auto"/>
                      <w:sz w:val="21"/>
                      <w:szCs w:val="21"/>
                    </w:rPr>
                  </w:pPr>
                </w:p>
              </w:tc>
            </w:tr>
          </w:tbl>
          <w:p>
            <w:pPr>
              <w:jc w:val="center"/>
              <w:rPr>
                <w:b/>
                <w:color w:val="auto"/>
                <w:sz w:val="24"/>
              </w:rPr>
            </w:pPr>
            <w:r>
              <w:rPr>
                <w:rFonts w:hint="eastAsia"/>
                <w:b/>
                <w:color w:val="auto"/>
                <w:sz w:val="24"/>
              </w:rPr>
              <w:t>表</w:t>
            </w:r>
            <w:r>
              <w:rPr>
                <w:rFonts w:hint="eastAsia"/>
                <w:b/>
                <w:color w:val="auto"/>
                <w:sz w:val="24"/>
                <w:lang w:val="en-US" w:eastAsia="zh-CN"/>
              </w:rPr>
              <w:t>13</w:t>
            </w:r>
            <w:r>
              <w:rPr>
                <w:rFonts w:hint="eastAsia"/>
                <w:b/>
                <w:color w:val="auto"/>
                <w:sz w:val="24"/>
              </w:rPr>
              <w:t xml:space="preserve"> 水质检验室内需设置常规水质化验设备，具体见下表：</w:t>
            </w:r>
          </w:p>
          <w:tbl>
            <w:tblPr>
              <w:tblStyle w:val="14"/>
              <w:tblW w:w="837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08"/>
              <w:gridCol w:w="922"/>
              <w:gridCol w:w="1397"/>
              <w:gridCol w:w="922"/>
              <w:gridCol w:w="2108"/>
              <w:gridCol w:w="9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设备名称</w:t>
                  </w:r>
                </w:p>
              </w:tc>
              <w:tc>
                <w:tcPr>
                  <w:tcW w:w="922" w:type="dxa"/>
                  <w:vAlign w:val="center"/>
                </w:tcPr>
                <w:p>
                  <w:pPr>
                    <w:jc w:val="center"/>
                    <w:rPr>
                      <w:color w:val="auto"/>
                      <w:sz w:val="21"/>
                      <w:szCs w:val="21"/>
                    </w:rPr>
                  </w:pPr>
                  <w:r>
                    <w:rPr>
                      <w:rFonts w:hint="eastAsia"/>
                      <w:color w:val="auto"/>
                      <w:sz w:val="21"/>
                      <w:szCs w:val="21"/>
                    </w:rPr>
                    <w:t>数量</w:t>
                  </w:r>
                </w:p>
              </w:tc>
              <w:tc>
                <w:tcPr>
                  <w:tcW w:w="1397" w:type="dxa"/>
                  <w:vAlign w:val="center"/>
                </w:tcPr>
                <w:p>
                  <w:pPr>
                    <w:jc w:val="center"/>
                    <w:rPr>
                      <w:color w:val="auto"/>
                      <w:sz w:val="21"/>
                      <w:szCs w:val="21"/>
                    </w:rPr>
                  </w:pPr>
                  <w:r>
                    <w:rPr>
                      <w:rFonts w:hint="eastAsia"/>
                      <w:color w:val="auto"/>
                      <w:sz w:val="21"/>
                      <w:szCs w:val="21"/>
                    </w:rPr>
                    <w:t>设备名称</w:t>
                  </w:r>
                </w:p>
              </w:tc>
              <w:tc>
                <w:tcPr>
                  <w:tcW w:w="922" w:type="dxa"/>
                  <w:vAlign w:val="center"/>
                </w:tcPr>
                <w:p>
                  <w:pPr>
                    <w:jc w:val="center"/>
                    <w:rPr>
                      <w:color w:val="auto"/>
                      <w:sz w:val="21"/>
                      <w:szCs w:val="21"/>
                    </w:rPr>
                  </w:pPr>
                  <w:r>
                    <w:rPr>
                      <w:rFonts w:hint="eastAsia"/>
                      <w:color w:val="auto"/>
                      <w:sz w:val="21"/>
                      <w:szCs w:val="21"/>
                    </w:rPr>
                    <w:t>数量</w:t>
                  </w:r>
                </w:p>
              </w:tc>
              <w:tc>
                <w:tcPr>
                  <w:tcW w:w="2108" w:type="dxa"/>
                  <w:vAlign w:val="center"/>
                </w:tcPr>
                <w:p>
                  <w:pPr>
                    <w:jc w:val="center"/>
                    <w:rPr>
                      <w:color w:val="auto"/>
                      <w:sz w:val="21"/>
                      <w:szCs w:val="21"/>
                    </w:rPr>
                  </w:pPr>
                  <w:r>
                    <w:rPr>
                      <w:rFonts w:hint="eastAsia"/>
                      <w:color w:val="auto"/>
                      <w:sz w:val="21"/>
                      <w:szCs w:val="21"/>
                    </w:rPr>
                    <w:t>设备名称</w:t>
                  </w:r>
                </w:p>
              </w:tc>
              <w:tc>
                <w:tcPr>
                  <w:tcW w:w="922" w:type="dxa"/>
                  <w:vAlign w:val="center"/>
                </w:tcPr>
                <w:p>
                  <w:pPr>
                    <w:jc w:val="center"/>
                    <w:rPr>
                      <w:color w:val="auto"/>
                      <w:sz w:val="21"/>
                      <w:szCs w:val="21"/>
                    </w:rPr>
                  </w:pPr>
                  <w:r>
                    <w:rPr>
                      <w:rFonts w:hint="eastAsia"/>
                      <w:color w:val="auto"/>
                      <w:sz w:val="21"/>
                      <w:szCs w:val="21"/>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7" w:hRule="atLeast"/>
              </w:trPr>
              <w:tc>
                <w:tcPr>
                  <w:tcW w:w="2108" w:type="dxa"/>
                  <w:vAlign w:val="center"/>
                </w:tcPr>
                <w:p>
                  <w:pPr>
                    <w:jc w:val="center"/>
                    <w:rPr>
                      <w:color w:val="auto"/>
                      <w:sz w:val="21"/>
                      <w:szCs w:val="21"/>
                    </w:rPr>
                  </w:pPr>
                  <w:r>
                    <w:rPr>
                      <w:rFonts w:hint="eastAsia"/>
                      <w:color w:val="auto"/>
                      <w:sz w:val="21"/>
                      <w:szCs w:val="21"/>
                    </w:rPr>
                    <w:t>高温电炉</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r>
                    <w:rPr>
                      <w:rFonts w:hint="eastAsia"/>
                      <w:color w:val="auto"/>
                      <w:sz w:val="21"/>
                      <w:szCs w:val="21"/>
                    </w:rPr>
                    <w:t>托盘天平</w:t>
                  </w:r>
                </w:p>
              </w:tc>
              <w:tc>
                <w:tcPr>
                  <w:tcW w:w="922" w:type="dxa"/>
                  <w:vAlign w:val="center"/>
                </w:tcPr>
                <w:p>
                  <w:pPr>
                    <w:jc w:val="center"/>
                    <w:rPr>
                      <w:color w:val="auto"/>
                      <w:sz w:val="21"/>
                      <w:szCs w:val="21"/>
                    </w:rPr>
                  </w:pPr>
                  <w:r>
                    <w:rPr>
                      <w:rFonts w:hint="eastAsia"/>
                      <w:color w:val="auto"/>
                      <w:sz w:val="21"/>
                      <w:szCs w:val="21"/>
                    </w:rPr>
                    <w:t>2</w:t>
                  </w:r>
                </w:p>
              </w:tc>
              <w:tc>
                <w:tcPr>
                  <w:tcW w:w="2108" w:type="dxa"/>
                  <w:vAlign w:val="center"/>
                </w:tcPr>
                <w:p>
                  <w:pPr>
                    <w:jc w:val="center"/>
                    <w:rPr>
                      <w:color w:val="auto"/>
                      <w:sz w:val="21"/>
                      <w:szCs w:val="21"/>
                    </w:rPr>
                  </w:pPr>
                  <w:r>
                    <w:rPr>
                      <w:rFonts w:hint="eastAsia"/>
                      <w:color w:val="auto"/>
                      <w:sz w:val="21"/>
                      <w:szCs w:val="21"/>
                    </w:rPr>
                    <w:t>余氯比色器</w:t>
                  </w:r>
                </w:p>
              </w:tc>
              <w:tc>
                <w:tcPr>
                  <w:tcW w:w="922" w:type="dxa"/>
                  <w:vAlign w:val="center"/>
                </w:tcPr>
                <w:p>
                  <w:pPr>
                    <w:jc w:val="center"/>
                    <w:rPr>
                      <w:color w:val="auto"/>
                      <w:sz w:val="21"/>
                      <w:szCs w:val="21"/>
                    </w:rPr>
                  </w:pPr>
                  <w:r>
                    <w:rPr>
                      <w:rFonts w:hint="eastAsia"/>
                      <w:color w:val="auto"/>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电热恒温干燥箱</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r>
                    <w:rPr>
                      <w:rFonts w:hint="eastAsia"/>
                      <w:color w:val="auto"/>
                      <w:sz w:val="21"/>
                      <w:szCs w:val="21"/>
                    </w:rPr>
                    <w:t>电导仪</w:t>
                  </w:r>
                </w:p>
              </w:tc>
              <w:tc>
                <w:tcPr>
                  <w:tcW w:w="922" w:type="dxa"/>
                  <w:vAlign w:val="center"/>
                </w:tcPr>
                <w:p>
                  <w:pPr>
                    <w:jc w:val="center"/>
                    <w:rPr>
                      <w:color w:val="auto"/>
                      <w:sz w:val="21"/>
                      <w:szCs w:val="21"/>
                    </w:rPr>
                  </w:pPr>
                  <w:r>
                    <w:rPr>
                      <w:rFonts w:hint="eastAsia"/>
                      <w:color w:val="auto"/>
                      <w:sz w:val="21"/>
                      <w:szCs w:val="21"/>
                    </w:rPr>
                    <w:t>1</w:t>
                  </w:r>
                </w:p>
              </w:tc>
              <w:tc>
                <w:tcPr>
                  <w:tcW w:w="2108" w:type="dxa"/>
                  <w:vAlign w:val="center"/>
                </w:tcPr>
                <w:p>
                  <w:pPr>
                    <w:jc w:val="center"/>
                    <w:rPr>
                      <w:color w:val="auto"/>
                      <w:sz w:val="21"/>
                      <w:szCs w:val="21"/>
                    </w:rPr>
                  </w:pPr>
                  <w:r>
                    <w:rPr>
                      <w:rFonts w:hint="eastAsia"/>
                      <w:color w:val="auto"/>
                      <w:sz w:val="21"/>
                      <w:szCs w:val="21"/>
                    </w:rPr>
                    <w:t>高倍显微镜</w:t>
                  </w:r>
                </w:p>
              </w:tc>
              <w:tc>
                <w:tcPr>
                  <w:tcW w:w="922" w:type="dxa"/>
                  <w:vAlign w:val="center"/>
                </w:tcPr>
                <w:p>
                  <w:pPr>
                    <w:jc w:val="center"/>
                    <w:rPr>
                      <w:color w:val="auto"/>
                      <w:sz w:val="21"/>
                      <w:szCs w:val="21"/>
                    </w:rPr>
                  </w:pPr>
                  <w:r>
                    <w:rPr>
                      <w:rFonts w:hint="eastAsia"/>
                      <w:color w:val="auto"/>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电热恒温培养箱</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r>
                    <w:rPr>
                      <w:rFonts w:hint="eastAsia"/>
                      <w:color w:val="auto"/>
                      <w:sz w:val="21"/>
                      <w:szCs w:val="21"/>
                    </w:rPr>
                    <w:t>酸度仪</w:t>
                  </w:r>
                </w:p>
              </w:tc>
              <w:tc>
                <w:tcPr>
                  <w:tcW w:w="922" w:type="dxa"/>
                  <w:vAlign w:val="center"/>
                </w:tcPr>
                <w:p>
                  <w:pPr>
                    <w:jc w:val="center"/>
                    <w:rPr>
                      <w:color w:val="auto"/>
                      <w:sz w:val="21"/>
                      <w:szCs w:val="21"/>
                    </w:rPr>
                  </w:pPr>
                  <w:r>
                    <w:rPr>
                      <w:rFonts w:hint="eastAsia"/>
                      <w:color w:val="auto"/>
                      <w:sz w:val="21"/>
                      <w:szCs w:val="21"/>
                    </w:rPr>
                    <w:t>1</w:t>
                  </w:r>
                </w:p>
              </w:tc>
              <w:tc>
                <w:tcPr>
                  <w:tcW w:w="2108" w:type="dxa"/>
                  <w:vAlign w:val="center"/>
                </w:tcPr>
                <w:p>
                  <w:pPr>
                    <w:jc w:val="center"/>
                    <w:rPr>
                      <w:color w:val="auto"/>
                      <w:sz w:val="21"/>
                      <w:szCs w:val="21"/>
                    </w:rPr>
                  </w:pPr>
                  <w:r>
                    <w:rPr>
                      <w:rFonts w:hint="eastAsia"/>
                      <w:color w:val="auto"/>
                      <w:sz w:val="21"/>
                      <w:szCs w:val="21"/>
                    </w:rPr>
                    <w:t>电动六联搅拌机</w:t>
                  </w:r>
                </w:p>
              </w:tc>
              <w:tc>
                <w:tcPr>
                  <w:tcW w:w="922" w:type="dxa"/>
                  <w:vAlign w:val="center"/>
                </w:tcPr>
                <w:p>
                  <w:pPr>
                    <w:jc w:val="center"/>
                    <w:rPr>
                      <w:color w:val="auto"/>
                      <w:sz w:val="21"/>
                      <w:szCs w:val="21"/>
                    </w:rPr>
                  </w:pPr>
                  <w:r>
                    <w:rPr>
                      <w:rFonts w:hint="eastAsia"/>
                      <w:color w:val="auto"/>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电热蒸馏水器</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r>
                    <w:rPr>
                      <w:rFonts w:hint="eastAsia"/>
                      <w:color w:val="auto"/>
                      <w:sz w:val="21"/>
                      <w:szCs w:val="21"/>
                    </w:rPr>
                    <w:t>离子仪</w:t>
                  </w:r>
                </w:p>
              </w:tc>
              <w:tc>
                <w:tcPr>
                  <w:tcW w:w="922" w:type="dxa"/>
                  <w:vAlign w:val="center"/>
                </w:tcPr>
                <w:p>
                  <w:pPr>
                    <w:jc w:val="center"/>
                    <w:rPr>
                      <w:color w:val="auto"/>
                      <w:sz w:val="21"/>
                      <w:szCs w:val="21"/>
                    </w:rPr>
                  </w:pPr>
                  <w:r>
                    <w:rPr>
                      <w:rFonts w:hint="eastAsia"/>
                      <w:color w:val="auto"/>
                      <w:sz w:val="21"/>
                      <w:szCs w:val="21"/>
                    </w:rPr>
                    <w:t>1</w:t>
                  </w:r>
                </w:p>
              </w:tc>
              <w:tc>
                <w:tcPr>
                  <w:tcW w:w="2108" w:type="dxa"/>
                  <w:vAlign w:val="center"/>
                </w:tcPr>
                <w:p>
                  <w:pPr>
                    <w:jc w:val="center"/>
                    <w:rPr>
                      <w:color w:val="auto"/>
                      <w:sz w:val="21"/>
                      <w:szCs w:val="21"/>
                    </w:rPr>
                  </w:pPr>
                  <w:r>
                    <w:rPr>
                      <w:rFonts w:hint="eastAsia"/>
                      <w:color w:val="auto"/>
                      <w:sz w:val="21"/>
                      <w:szCs w:val="21"/>
                    </w:rPr>
                    <w:t>高压蒸馏消毒器</w:t>
                  </w:r>
                </w:p>
              </w:tc>
              <w:tc>
                <w:tcPr>
                  <w:tcW w:w="922" w:type="dxa"/>
                  <w:vAlign w:val="center"/>
                </w:tcPr>
                <w:p>
                  <w:pPr>
                    <w:jc w:val="center"/>
                    <w:rPr>
                      <w:color w:val="auto"/>
                      <w:sz w:val="21"/>
                      <w:szCs w:val="21"/>
                    </w:rPr>
                  </w:pPr>
                  <w:r>
                    <w:rPr>
                      <w:rFonts w:hint="eastAsia"/>
                      <w:color w:val="auto"/>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电热恒温水浴锅</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r>
                    <w:rPr>
                      <w:rFonts w:hint="eastAsia"/>
                      <w:color w:val="auto"/>
                      <w:sz w:val="21"/>
                      <w:szCs w:val="21"/>
                    </w:rPr>
                    <w:t>浊度仪</w:t>
                  </w:r>
                </w:p>
              </w:tc>
              <w:tc>
                <w:tcPr>
                  <w:tcW w:w="922" w:type="dxa"/>
                  <w:vAlign w:val="center"/>
                </w:tcPr>
                <w:p>
                  <w:pPr>
                    <w:jc w:val="center"/>
                    <w:rPr>
                      <w:color w:val="auto"/>
                      <w:sz w:val="21"/>
                      <w:szCs w:val="21"/>
                    </w:rPr>
                  </w:pPr>
                  <w:r>
                    <w:rPr>
                      <w:rFonts w:hint="eastAsia"/>
                      <w:color w:val="auto"/>
                      <w:sz w:val="21"/>
                      <w:szCs w:val="21"/>
                    </w:rPr>
                    <w:t>2</w:t>
                  </w:r>
                </w:p>
              </w:tc>
              <w:tc>
                <w:tcPr>
                  <w:tcW w:w="2108" w:type="dxa"/>
                  <w:vAlign w:val="center"/>
                </w:tcPr>
                <w:p>
                  <w:pPr>
                    <w:jc w:val="center"/>
                    <w:rPr>
                      <w:color w:val="auto"/>
                      <w:sz w:val="21"/>
                      <w:szCs w:val="21"/>
                    </w:rPr>
                  </w:pPr>
                  <w:r>
                    <w:rPr>
                      <w:rFonts w:hint="eastAsia"/>
                      <w:color w:val="auto"/>
                      <w:sz w:val="21"/>
                      <w:szCs w:val="21"/>
                    </w:rPr>
                    <w:t>电冰箱</w:t>
                  </w:r>
                </w:p>
              </w:tc>
              <w:tc>
                <w:tcPr>
                  <w:tcW w:w="922" w:type="dxa"/>
                  <w:vAlign w:val="center"/>
                </w:tcPr>
                <w:p>
                  <w:pPr>
                    <w:jc w:val="center"/>
                    <w:rPr>
                      <w:color w:val="auto"/>
                      <w:sz w:val="21"/>
                      <w:szCs w:val="21"/>
                    </w:rPr>
                  </w:pPr>
                  <w:r>
                    <w:rPr>
                      <w:rFonts w:hint="eastAsia"/>
                      <w:color w:val="auto"/>
                      <w:sz w:val="21"/>
                      <w:szCs w:val="21"/>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3" w:hRule="atLeast"/>
              </w:trPr>
              <w:tc>
                <w:tcPr>
                  <w:tcW w:w="2108" w:type="dxa"/>
                  <w:vAlign w:val="center"/>
                </w:tcPr>
                <w:p>
                  <w:pPr>
                    <w:jc w:val="center"/>
                    <w:rPr>
                      <w:color w:val="auto"/>
                      <w:sz w:val="21"/>
                      <w:szCs w:val="21"/>
                    </w:rPr>
                  </w:pPr>
                  <w:r>
                    <w:rPr>
                      <w:rFonts w:hint="eastAsia"/>
                      <w:color w:val="auto"/>
                      <w:sz w:val="21"/>
                      <w:szCs w:val="21"/>
                    </w:rPr>
                    <w:t>溶解氧测定仪</w:t>
                  </w:r>
                </w:p>
              </w:tc>
              <w:tc>
                <w:tcPr>
                  <w:tcW w:w="922" w:type="dxa"/>
                  <w:vAlign w:val="center"/>
                </w:tcPr>
                <w:p>
                  <w:pPr>
                    <w:jc w:val="center"/>
                    <w:rPr>
                      <w:color w:val="auto"/>
                      <w:sz w:val="21"/>
                      <w:szCs w:val="21"/>
                    </w:rPr>
                  </w:pPr>
                  <w:r>
                    <w:rPr>
                      <w:rFonts w:hint="eastAsia"/>
                      <w:color w:val="auto"/>
                      <w:sz w:val="21"/>
                      <w:szCs w:val="21"/>
                    </w:rPr>
                    <w:t>1</w:t>
                  </w:r>
                </w:p>
              </w:tc>
              <w:tc>
                <w:tcPr>
                  <w:tcW w:w="1397" w:type="dxa"/>
                  <w:vAlign w:val="center"/>
                </w:tcPr>
                <w:p>
                  <w:pPr>
                    <w:jc w:val="center"/>
                    <w:rPr>
                      <w:color w:val="auto"/>
                      <w:sz w:val="21"/>
                      <w:szCs w:val="21"/>
                    </w:rPr>
                  </w:pPr>
                </w:p>
              </w:tc>
              <w:tc>
                <w:tcPr>
                  <w:tcW w:w="922" w:type="dxa"/>
                  <w:vAlign w:val="center"/>
                </w:tcPr>
                <w:p>
                  <w:pPr>
                    <w:jc w:val="center"/>
                    <w:rPr>
                      <w:color w:val="auto"/>
                      <w:sz w:val="21"/>
                      <w:szCs w:val="21"/>
                    </w:rPr>
                  </w:pPr>
                </w:p>
              </w:tc>
              <w:tc>
                <w:tcPr>
                  <w:tcW w:w="2108" w:type="dxa"/>
                  <w:vAlign w:val="center"/>
                </w:tcPr>
                <w:p>
                  <w:pPr>
                    <w:jc w:val="center"/>
                    <w:rPr>
                      <w:color w:val="auto"/>
                      <w:sz w:val="21"/>
                      <w:szCs w:val="21"/>
                    </w:rPr>
                  </w:pPr>
                </w:p>
              </w:tc>
              <w:tc>
                <w:tcPr>
                  <w:tcW w:w="922" w:type="dxa"/>
                  <w:vAlign w:val="center"/>
                </w:tcPr>
                <w:p>
                  <w:pPr>
                    <w:jc w:val="center"/>
                    <w:rPr>
                      <w:color w:val="auto"/>
                      <w:sz w:val="21"/>
                      <w:szCs w:val="21"/>
                    </w:rPr>
                  </w:pPr>
                </w:p>
              </w:tc>
            </w:tr>
          </w:tbl>
          <w:p>
            <w:pPr>
              <w:spacing w:line="360" w:lineRule="auto"/>
              <w:ind w:firstLine="480" w:firstLineChars="200"/>
              <w:rPr>
                <w:rFonts w:hint="eastAsia"/>
                <w:color w:val="auto"/>
                <w:sz w:val="24"/>
              </w:rPr>
            </w:pPr>
            <w:r>
              <w:rPr>
                <w:rFonts w:hint="eastAsia"/>
                <w:color w:val="auto"/>
                <w:sz w:val="24"/>
              </w:rPr>
              <w:t>其它检测指标可将水厂出水样本送至上一级的检测单位进行检测。</w:t>
            </w:r>
          </w:p>
          <w:p>
            <w:pPr>
              <w:numPr>
                <w:ilvl w:val="0"/>
                <w:numId w:val="2"/>
              </w:numPr>
              <w:spacing w:line="360" w:lineRule="auto"/>
              <w:rPr>
                <w:b/>
                <w:color w:val="auto"/>
                <w:sz w:val="24"/>
              </w:rPr>
            </w:pPr>
            <w:r>
              <w:rPr>
                <w:rFonts w:hint="eastAsia"/>
                <w:b/>
                <w:color w:val="auto"/>
                <w:sz w:val="24"/>
              </w:rPr>
              <w:t>项目占地与拆迁</w:t>
            </w:r>
          </w:p>
          <w:p>
            <w:pPr>
              <w:adjustRightInd w:val="0"/>
              <w:spacing w:line="360" w:lineRule="auto"/>
              <w:ind w:firstLine="480" w:firstLineChars="200"/>
              <w:rPr>
                <w:rFonts w:hint="eastAsia"/>
                <w:color w:val="auto"/>
                <w:sz w:val="24"/>
              </w:rPr>
            </w:pPr>
            <w:r>
              <w:rPr>
                <w:rFonts w:hint="eastAsia"/>
                <w:color w:val="auto"/>
                <w:sz w:val="24"/>
              </w:rPr>
              <w:t>①净水工程：平江供水（黄金洞水库）枢纽工程新建长寿水厂位于长寿镇长寿村，本次二期工程建设厂址位于现有一期工程东南侧山地，整个山包相对独立，山坡较缓，地质条件较好，红线范围内无其它房屋拆迁。该地块有少量菜地，多为山地，并有高大乔木，厂址地形标高大部分位于160～172m之间。</w:t>
            </w:r>
          </w:p>
          <w:p>
            <w:pPr>
              <w:adjustRightInd w:val="0"/>
              <w:spacing w:line="360" w:lineRule="auto"/>
              <w:ind w:firstLine="480" w:firstLineChars="200"/>
              <w:rPr>
                <w:rFonts w:hint="eastAsia"/>
                <w:color w:val="auto"/>
                <w:sz w:val="24"/>
              </w:rPr>
            </w:pPr>
            <w:r>
              <w:rPr>
                <w:rFonts w:hint="eastAsia"/>
                <w:color w:val="auto"/>
                <w:sz w:val="24"/>
              </w:rPr>
              <w:t>②输配水工程：新建可覆盖供水范围内的乡镇配水站及配水管道。输配水管道系统按1</w:t>
            </w:r>
            <w:r>
              <w:rPr>
                <w:rFonts w:hint="eastAsia"/>
                <w:color w:val="auto"/>
                <w:sz w:val="24"/>
                <w:lang w:val="en-US" w:eastAsia="zh-CN"/>
              </w:rPr>
              <w:t>0</w:t>
            </w:r>
            <w:r>
              <w:rPr>
                <w:rFonts w:hint="eastAsia"/>
                <w:color w:val="auto"/>
                <w:sz w:val="24"/>
              </w:rPr>
              <w:t>个片区采用重力流供水，沿线需设置</w:t>
            </w:r>
            <w:r>
              <w:rPr>
                <w:rFonts w:hint="eastAsia"/>
                <w:color w:val="auto"/>
                <w:sz w:val="24"/>
                <w:lang w:val="en-US" w:eastAsia="zh-CN"/>
              </w:rPr>
              <w:t>9</w:t>
            </w:r>
            <w:r>
              <w:rPr>
                <w:rFonts w:hint="eastAsia"/>
                <w:color w:val="auto"/>
                <w:sz w:val="24"/>
              </w:rPr>
              <w:t>座配水站。</w:t>
            </w:r>
            <w:r>
              <w:rPr>
                <w:rFonts w:hint="eastAsia"/>
                <w:color w:val="auto"/>
                <w:sz w:val="24"/>
                <w:lang w:eastAsia="zh-CN"/>
              </w:rPr>
              <w:t>配水管道主要沿</w:t>
            </w:r>
            <w:r>
              <w:rPr>
                <w:rFonts w:hint="eastAsia"/>
                <w:color w:val="auto"/>
                <w:sz w:val="24"/>
              </w:rPr>
              <w:t>现有道路进行布置，沿线建设区均属道路旁或丘陵，因此采用临时征用的办法，不需要拆迁；在管线施工完毕后均可复耕。同时项目施工过程中不占用基本农田。</w:t>
            </w:r>
          </w:p>
          <w:p>
            <w:pPr>
              <w:numPr>
                <w:ilvl w:val="0"/>
                <w:numId w:val="2"/>
              </w:numPr>
              <w:spacing w:line="360" w:lineRule="auto"/>
              <w:rPr>
                <w:b/>
                <w:color w:val="auto"/>
                <w:sz w:val="24"/>
              </w:rPr>
            </w:pPr>
            <w:r>
              <w:rPr>
                <w:rFonts w:hint="eastAsia"/>
                <w:b/>
                <w:color w:val="auto"/>
                <w:sz w:val="24"/>
              </w:rPr>
              <w:t>临时工程</w:t>
            </w:r>
          </w:p>
          <w:p>
            <w:pPr>
              <w:spacing w:line="360" w:lineRule="auto"/>
              <w:ind w:firstLine="480" w:firstLineChars="200"/>
              <w:rPr>
                <w:rFonts w:hint="eastAsia"/>
                <w:color w:val="auto"/>
                <w:sz w:val="24"/>
                <w:u w:val="none"/>
              </w:rPr>
            </w:pPr>
            <w:r>
              <w:rPr>
                <w:rFonts w:hint="eastAsia"/>
                <w:color w:val="auto"/>
                <w:sz w:val="24"/>
                <w:u w:val="none"/>
              </w:rPr>
              <w:t xml:space="preserve">项目全线辅助工程包括料场、施工工场、施工营地和临时堆场等，现分述如下： </w:t>
            </w:r>
          </w:p>
          <w:p>
            <w:pPr>
              <w:spacing w:line="360" w:lineRule="auto"/>
              <w:ind w:firstLine="480" w:firstLineChars="200"/>
              <w:rPr>
                <w:rFonts w:hint="eastAsia"/>
                <w:color w:val="auto"/>
                <w:sz w:val="24"/>
                <w:u w:val="none"/>
              </w:rPr>
            </w:pPr>
            <w:r>
              <w:rPr>
                <w:rFonts w:hint="eastAsia"/>
                <w:color w:val="auto"/>
                <w:sz w:val="24"/>
                <w:u w:val="none"/>
              </w:rPr>
              <w:t xml:space="preserve">① 料场及能源供给 </w:t>
            </w:r>
          </w:p>
          <w:p>
            <w:pPr>
              <w:spacing w:line="360" w:lineRule="auto"/>
              <w:ind w:firstLine="480" w:firstLineChars="200"/>
              <w:rPr>
                <w:rFonts w:hint="eastAsia"/>
                <w:color w:val="auto"/>
                <w:sz w:val="24"/>
                <w:u w:val="none"/>
              </w:rPr>
            </w:pPr>
            <w:r>
              <w:rPr>
                <w:rFonts w:hint="eastAsia"/>
                <w:color w:val="auto"/>
                <w:sz w:val="24"/>
                <w:u w:val="none"/>
              </w:rPr>
              <w:t xml:space="preserve">施工用水可就近从城镇供水管网分接或直接取用附近河流等水体，采用小型水泵直接抽取，塑料皮管接至用水点；施工用电由附近已有电网供给或由自备小型发电机解决；工程所需水泥、钢材及沙石等建筑材料，均在当地建筑材料市场购买，采用汽车运输。 </w:t>
            </w:r>
          </w:p>
          <w:p>
            <w:pPr>
              <w:spacing w:line="360" w:lineRule="auto"/>
              <w:ind w:firstLine="480" w:firstLineChars="200"/>
              <w:rPr>
                <w:rFonts w:hint="eastAsia"/>
                <w:color w:val="auto"/>
                <w:sz w:val="24"/>
                <w:u w:val="none"/>
              </w:rPr>
            </w:pPr>
            <w:r>
              <w:rPr>
                <w:rFonts w:hint="eastAsia"/>
                <w:color w:val="auto"/>
                <w:sz w:val="24"/>
                <w:u w:val="none"/>
              </w:rPr>
              <w:t xml:space="preserve">② 施工工场 </w:t>
            </w:r>
          </w:p>
          <w:p>
            <w:pPr>
              <w:spacing w:line="360" w:lineRule="auto"/>
              <w:ind w:firstLine="480" w:firstLineChars="200"/>
              <w:rPr>
                <w:rFonts w:hint="eastAsia"/>
                <w:color w:val="auto"/>
                <w:sz w:val="24"/>
                <w:u w:val="none"/>
              </w:rPr>
            </w:pPr>
            <w:r>
              <w:rPr>
                <w:rFonts w:hint="eastAsia"/>
                <w:color w:val="auto"/>
                <w:sz w:val="24"/>
                <w:u w:val="none"/>
              </w:rPr>
              <w:t xml:space="preserve">根据本工程施工特点，施工工场设于净水厂厂区内，尽量远离周围住户。 施工场地功能：施工机械临时停放点、水泥混凝土加工点。施工工期短，不单独设置机修、汽修设施，利用项目所在地的机修、汽修厂。 </w:t>
            </w:r>
          </w:p>
          <w:p>
            <w:pPr>
              <w:spacing w:line="360" w:lineRule="auto"/>
              <w:ind w:firstLine="480" w:firstLineChars="200"/>
              <w:rPr>
                <w:rFonts w:hint="eastAsia"/>
                <w:color w:val="auto"/>
                <w:sz w:val="24"/>
                <w:u w:val="none"/>
              </w:rPr>
            </w:pPr>
            <w:r>
              <w:rPr>
                <w:rFonts w:hint="eastAsia"/>
                <w:color w:val="auto"/>
                <w:sz w:val="24"/>
                <w:u w:val="none"/>
              </w:rPr>
              <w:t xml:space="preserve">③ 施工营地 </w:t>
            </w:r>
          </w:p>
          <w:p>
            <w:pPr>
              <w:spacing w:line="360" w:lineRule="auto"/>
              <w:ind w:firstLine="480" w:firstLineChars="200"/>
              <w:rPr>
                <w:rFonts w:hint="eastAsia"/>
                <w:color w:val="auto"/>
                <w:sz w:val="24"/>
                <w:u w:val="none"/>
              </w:rPr>
            </w:pPr>
            <w:r>
              <w:rPr>
                <w:rFonts w:hint="eastAsia"/>
                <w:color w:val="auto"/>
                <w:sz w:val="24"/>
                <w:u w:val="none"/>
              </w:rPr>
              <w:t xml:space="preserve">为减轻施工营地对环境的影响，本工程施工临时生活居住用房采取租用当地民房，不另行临时占地；净水厂工程场地布置工程区永久征地范围内，不再另行临时占地；引水管网工程以及配水管网工程为线型工程，开挖的土方堆置于管线沟槽两侧的施工作业带内，施工作业带宽3.0～4.0m，管线工程施工场地以及管材等临时堆料均布置在施工作业带内，不再另行临时占地。 </w:t>
            </w:r>
          </w:p>
          <w:p>
            <w:pPr>
              <w:spacing w:line="360" w:lineRule="auto"/>
              <w:ind w:firstLine="480" w:firstLineChars="200"/>
              <w:rPr>
                <w:rFonts w:hint="eastAsia"/>
                <w:color w:val="auto"/>
                <w:sz w:val="24"/>
                <w:u w:val="none"/>
              </w:rPr>
            </w:pPr>
            <w:r>
              <w:rPr>
                <w:rFonts w:hint="eastAsia"/>
                <w:color w:val="auto"/>
                <w:sz w:val="24"/>
                <w:u w:val="none"/>
              </w:rPr>
              <w:t xml:space="preserve">④ 施工便道 </w:t>
            </w:r>
          </w:p>
          <w:p>
            <w:pPr>
              <w:spacing w:line="360" w:lineRule="auto"/>
              <w:ind w:firstLine="480" w:firstLineChars="200"/>
              <w:rPr>
                <w:rFonts w:hint="eastAsia"/>
                <w:color w:val="auto"/>
                <w:sz w:val="24"/>
                <w:u w:val="none"/>
              </w:rPr>
            </w:pPr>
            <w:r>
              <w:rPr>
                <w:rFonts w:hint="eastAsia"/>
                <w:color w:val="auto"/>
                <w:sz w:val="24"/>
                <w:u w:val="none"/>
              </w:rPr>
              <w:t xml:space="preserve">工程管线主要与公路平行、沿公路一侧敷设，工程沿线现有交通条件良好，施工道路及交通通过多种途径解决，为防止施工便道对环境的影响，工程不另外设置施工临时道路。净水厂工程目前已经建成场内道路，可满足工程使用。 </w:t>
            </w:r>
          </w:p>
          <w:p>
            <w:pPr>
              <w:spacing w:line="360" w:lineRule="auto"/>
              <w:ind w:firstLine="480" w:firstLineChars="200"/>
              <w:rPr>
                <w:rFonts w:hint="eastAsia"/>
                <w:color w:val="auto"/>
                <w:sz w:val="24"/>
                <w:u w:val="none"/>
              </w:rPr>
            </w:pPr>
            <w:r>
              <w:rPr>
                <w:rFonts w:hint="eastAsia"/>
                <w:color w:val="auto"/>
                <w:sz w:val="24"/>
                <w:u w:val="none"/>
              </w:rPr>
              <w:t xml:space="preserve">⑤ 临时堆场 </w:t>
            </w:r>
          </w:p>
          <w:p>
            <w:pPr>
              <w:spacing w:line="360" w:lineRule="auto"/>
              <w:ind w:firstLine="480" w:firstLineChars="200"/>
              <w:rPr>
                <w:rFonts w:hint="eastAsia"/>
                <w:color w:val="auto"/>
                <w:sz w:val="24"/>
                <w:u w:val="none"/>
              </w:rPr>
            </w:pPr>
            <w:r>
              <w:rPr>
                <w:rFonts w:hint="eastAsia"/>
                <w:color w:val="auto"/>
                <w:sz w:val="24"/>
                <w:u w:val="none"/>
              </w:rPr>
              <w:t>项目施工土石方开挖量不大，按照“临时弃土少占地，就近回填”的原则，施工过程中开挖的土石方就近堆放于施工红线内，临时堆土应采取防水防风措施。项目不单设临时堆土场。</w:t>
            </w:r>
          </w:p>
          <w:p>
            <w:pPr>
              <w:numPr>
                <w:ilvl w:val="0"/>
                <w:numId w:val="2"/>
              </w:numPr>
              <w:spacing w:line="360" w:lineRule="auto"/>
              <w:rPr>
                <w:b/>
                <w:color w:val="auto"/>
                <w:sz w:val="24"/>
              </w:rPr>
            </w:pPr>
            <w:r>
              <w:rPr>
                <w:rFonts w:hint="eastAsia"/>
                <w:b/>
                <w:color w:val="auto"/>
                <w:sz w:val="24"/>
              </w:rPr>
              <w:t>建设周期</w:t>
            </w:r>
          </w:p>
          <w:p>
            <w:pPr>
              <w:adjustRightInd w:val="0"/>
              <w:spacing w:line="360" w:lineRule="auto"/>
              <w:ind w:firstLine="480" w:firstLineChars="200"/>
              <w:rPr>
                <w:rFonts w:hint="eastAsia"/>
                <w:color w:val="auto"/>
                <w:sz w:val="24"/>
              </w:rPr>
            </w:pPr>
            <w:r>
              <w:rPr>
                <w:rFonts w:hint="eastAsia"/>
                <w:color w:val="auto"/>
                <w:sz w:val="24"/>
              </w:rPr>
              <w:t>在2017年5月开工，于2019年12月正式通水，建设周期为3年。</w:t>
            </w:r>
          </w:p>
          <w:p>
            <w:pPr>
              <w:numPr>
                <w:ilvl w:val="0"/>
                <w:numId w:val="2"/>
              </w:numPr>
              <w:spacing w:line="360" w:lineRule="auto"/>
              <w:rPr>
                <w:b/>
                <w:color w:val="auto"/>
                <w:sz w:val="24"/>
              </w:rPr>
            </w:pPr>
            <w:r>
              <w:rPr>
                <w:rFonts w:hint="eastAsia"/>
                <w:b/>
                <w:color w:val="auto"/>
                <w:sz w:val="24"/>
              </w:rPr>
              <w:t>劳动定员</w:t>
            </w:r>
          </w:p>
          <w:p>
            <w:pPr>
              <w:adjustRightInd w:val="0"/>
              <w:spacing w:line="360" w:lineRule="auto"/>
              <w:ind w:firstLine="480" w:firstLineChars="200"/>
              <w:rPr>
                <w:rFonts w:hint="eastAsia"/>
                <w:color w:val="auto"/>
                <w:sz w:val="24"/>
              </w:rPr>
            </w:pPr>
            <w:r>
              <w:rPr>
                <w:rFonts w:hint="eastAsia"/>
                <w:color w:val="auto"/>
                <w:sz w:val="24"/>
              </w:rPr>
              <w:t>人员编制系根据《城市给水工程项目建设标准》（建标120-2009）确定。根据这一标准，本工程按建设规模类别划分应为Ⅱ类供水厂，人员配备考虑总定员55人。其中厂区25人，管网30人。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027" w:hRule="atLeast"/>
          <w:jc w:val="center"/>
        </w:trPr>
        <w:tc>
          <w:tcPr>
            <w:tcW w:w="8625" w:type="dxa"/>
            <w:gridSpan w:val="10"/>
            <w:tcBorders>
              <w:bottom w:val="single" w:color="auto" w:sz="4" w:space="0"/>
            </w:tcBorders>
            <w:vAlign w:val="top"/>
          </w:tcPr>
          <w:p>
            <w:pPr>
              <w:adjustRightInd w:val="0"/>
              <w:spacing w:line="360" w:lineRule="auto"/>
              <w:rPr>
                <w:rFonts w:hint="eastAsia"/>
                <w:color w:val="auto"/>
                <w:sz w:val="28"/>
                <w:szCs w:val="28"/>
              </w:rPr>
            </w:pPr>
            <w:r>
              <w:rPr>
                <w:color w:val="auto"/>
                <w:sz w:val="28"/>
                <w:szCs w:val="28"/>
              </w:rPr>
              <w:t>与本项目有关的原有污染源情况及主要环境问题：</w:t>
            </w:r>
          </w:p>
          <w:p>
            <w:pPr>
              <w:spacing w:line="360" w:lineRule="auto"/>
              <w:ind w:firstLine="480" w:firstLineChars="200"/>
              <w:rPr>
                <w:rFonts w:hint="eastAsia"/>
                <w:color w:val="auto"/>
                <w:sz w:val="24"/>
              </w:rPr>
            </w:pPr>
            <w:r>
              <w:rPr>
                <w:rFonts w:hint="eastAsia"/>
                <w:color w:val="auto"/>
                <w:sz w:val="24"/>
              </w:rPr>
              <w:t>本项目为供水管道建设项目，是在平江县东部供水枢纽工程的基础上进行配水工程的扩建，在该工程已批配水工程延长铺设至平江县东部的向家镇。本项目管线主要沿平江县内现有道路进行铺设，工程</w:t>
            </w:r>
            <w:r>
              <w:rPr>
                <w:rFonts w:hAnsi="宋体"/>
                <w:color w:val="auto"/>
                <w:sz w:val="24"/>
              </w:rPr>
              <w:t>建设</w:t>
            </w:r>
            <w:r>
              <w:rPr>
                <w:rFonts w:hint="eastAsia" w:hAnsi="宋体"/>
                <w:color w:val="auto"/>
                <w:sz w:val="24"/>
              </w:rPr>
              <w:t>范围</w:t>
            </w:r>
            <w:r>
              <w:rPr>
                <w:rFonts w:hAnsi="宋体"/>
                <w:color w:val="auto"/>
                <w:sz w:val="24"/>
              </w:rPr>
              <w:t>内不存在</w:t>
            </w:r>
            <w:r>
              <w:rPr>
                <w:rFonts w:hint="eastAsia" w:hAnsi="宋体"/>
                <w:color w:val="auto"/>
                <w:sz w:val="24"/>
              </w:rPr>
              <w:t>其他</w:t>
            </w:r>
            <w:r>
              <w:rPr>
                <w:rFonts w:hAnsi="宋体"/>
                <w:color w:val="auto"/>
                <w:sz w:val="24"/>
              </w:rPr>
              <w:t>与该项目相关的污染情况</w:t>
            </w:r>
            <w:r>
              <w:rPr>
                <w:rFonts w:hint="eastAsia"/>
                <w:color w:val="auto"/>
                <w:sz w:val="24"/>
              </w:rPr>
              <w:t>工程，与项目有关的污染源主要为平江县东部供水枢纽工程。具体情况如下：</w:t>
            </w:r>
          </w:p>
          <w:p>
            <w:pPr>
              <w:spacing w:line="360" w:lineRule="auto"/>
              <w:rPr>
                <w:rFonts w:hint="eastAsia"/>
                <w:b/>
                <w:color w:val="auto"/>
                <w:sz w:val="24"/>
              </w:rPr>
            </w:pPr>
            <w:r>
              <w:rPr>
                <w:rFonts w:hint="eastAsia"/>
                <w:b/>
                <w:color w:val="auto"/>
                <w:sz w:val="24"/>
              </w:rPr>
              <w:t>1、项目基本情况</w:t>
            </w:r>
          </w:p>
          <w:p>
            <w:pPr>
              <w:spacing w:line="360" w:lineRule="auto"/>
              <w:ind w:firstLine="480" w:firstLineChars="200"/>
              <w:rPr>
                <w:color w:val="auto"/>
                <w:sz w:val="24"/>
              </w:rPr>
            </w:pPr>
            <w:r>
              <w:rPr>
                <w:rFonts w:hint="eastAsia"/>
                <w:color w:val="auto"/>
                <w:sz w:val="24"/>
              </w:rPr>
              <w:t>（1）</w:t>
            </w:r>
            <w:r>
              <w:rPr>
                <w:color w:val="auto"/>
                <w:sz w:val="24"/>
              </w:rPr>
              <w:t>项目名称：</w:t>
            </w:r>
            <w:r>
              <w:rPr>
                <w:rFonts w:hint="eastAsia"/>
                <w:color w:val="auto"/>
                <w:sz w:val="24"/>
              </w:rPr>
              <w:t>平江县东部供水枢纽工程建设项目；</w:t>
            </w:r>
          </w:p>
          <w:p>
            <w:pPr>
              <w:spacing w:line="360" w:lineRule="auto"/>
              <w:ind w:firstLine="480" w:firstLineChars="200"/>
              <w:rPr>
                <w:rFonts w:hint="eastAsia"/>
                <w:color w:val="auto"/>
                <w:sz w:val="24"/>
              </w:rPr>
            </w:pPr>
            <w:r>
              <w:rPr>
                <w:rFonts w:hint="eastAsia"/>
                <w:color w:val="auto"/>
                <w:sz w:val="24"/>
              </w:rPr>
              <w:t>（2）</w:t>
            </w:r>
            <w:r>
              <w:rPr>
                <w:color w:val="auto"/>
                <w:sz w:val="24"/>
              </w:rPr>
              <w:t>建设单位：</w:t>
            </w:r>
            <w:r>
              <w:rPr>
                <w:rFonts w:hint="eastAsia"/>
                <w:color w:val="auto"/>
                <w:sz w:val="24"/>
              </w:rPr>
              <w:t>平江县自来水公司；</w:t>
            </w:r>
          </w:p>
          <w:p>
            <w:pPr>
              <w:spacing w:line="360" w:lineRule="auto"/>
              <w:ind w:firstLine="480" w:firstLineChars="200"/>
              <w:rPr>
                <w:rFonts w:hint="eastAsia"/>
                <w:color w:val="auto"/>
                <w:sz w:val="24"/>
              </w:rPr>
            </w:pPr>
            <w:r>
              <w:rPr>
                <w:rFonts w:hint="eastAsia"/>
                <w:color w:val="auto"/>
                <w:sz w:val="24"/>
              </w:rPr>
              <w:t>（3）</w:t>
            </w:r>
            <w:r>
              <w:rPr>
                <w:color w:val="auto"/>
                <w:sz w:val="24"/>
              </w:rPr>
              <w:t>项目地点：项目</w:t>
            </w:r>
            <w:r>
              <w:rPr>
                <w:rFonts w:hint="eastAsia"/>
                <w:color w:val="auto"/>
                <w:sz w:val="24"/>
              </w:rPr>
              <w:t>取水水源黄金洞水库位于黄金洞乡黄金村；净水厂位于平江县长寿镇国福村、宝枫村；引水管线主要经过黄金村、金塘村、马西村、下付村、国福村和宝枫村；配水管线主要涉及长寿镇、加义镇、安定镇、三阳乡和城关镇；</w:t>
            </w:r>
          </w:p>
          <w:p>
            <w:pPr>
              <w:spacing w:line="360" w:lineRule="auto"/>
              <w:ind w:firstLine="480" w:firstLineChars="200"/>
              <w:rPr>
                <w:rFonts w:hint="eastAsia"/>
                <w:color w:val="auto"/>
                <w:sz w:val="24"/>
              </w:rPr>
            </w:pPr>
            <w:r>
              <w:rPr>
                <w:rFonts w:hint="eastAsia"/>
                <w:color w:val="auto"/>
                <w:sz w:val="24"/>
              </w:rPr>
              <w:t>（4）建设规模</w:t>
            </w:r>
            <w:r>
              <w:rPr>
                <w:color w:val="auto"/>
                <w:sz w:val="24"/>
              </w:rPr>
              <w:t>：</w:t>
            </w:r>
            <w:r>
              <w:rPr>
                <w:rFonts w:hint="eastAsia"/>
                <w:color w:val="auto"/>
                <w:sz w:val="24"/>
              </w:rPr>
              <w:t>项目建成后供水能力达50000</w:t>
            </w:r>
            <w:r>
              <w:rPr>
                <w:rFonts w:hint="eastAsia"/>
                <w:color w:val="auto"/>
                <w:sz w:val="24"/>
                <w:lang w:eastAsia="zh-CN"/>
              </w:rPr>
              <w:t>m³</w:t>
            </w:r>
            <w:r>
              <w:rPr>
                <w:rFonts w:hint="eastAsia"/>
                <w:color w:val="auto"/>
                <w:sz w:val="24"/>
              </w:rPr>
              <w:t>/d（1825万</w:t>
            </w:r>
            <w:r>
              <w:rPr>
                <w:rFonts w:hint="eastAsia"/>
                <w:color w:val="auto"/>
                <w:sz w:val="24"/>
                <w:lang w:eastAsia="zh-CN"/>
              </w:rPr>
              <w:t>m³</w:t>
            </w:r>
            <w:r>
              <w:rPr>
                <w:rFonts w:hint="eastAsia"/>
                <w:color w:val="auto"/>
                <w:sz w:val="24"/>
              </w:rPr>
              <w:t>/a）。项目建设取水工程、引水工程（管线长14.55km）、净水厂工程（供水能力50000</w:t>
            </w:r>
            <w:r>
              <w:rPr>
                <w:rFonts w:hint="eastAsia"/>
                <w:color w:val="auto"/>
                <w:sz w:val="24"/>
                <w:lang w:eastAsia="zh-CN"/>
              </w:rPr>
              <w:t>m³</w:t>
            </w:r>
            <w:r>
              <w:rPr>
                <w:rFonts w:hint="eastAsia"/>
                <w:color w:val="auto"/>
                <w:sz w:val="24"/>
              </w:rPr>
              <w:t>/d）和配水工程（主管长47.78km、支管长3.39km）。项目引水和配水管线内的水依靠重力自流，沿途无需设置泵站等装置。</w:t>
            </w:r>
          </w:p>
          <w:p>
            <w:pPr>
              <w:spacing w:line="360" w:lineRule="auto"/>
              <w:rPr>
                <w:rFonts w:hint="eastAsia"/>
                <w:b/>
                <w:color w:val="auto"/>
                <w:sz w:val="24"/>
              </w:rPr>
            </w:pPr>
            <w:r>
              <w:rPr>
                <w:rFonts w:hint="eastAsia"/>
                <w:b/>
                <w:color w:val="auto"/>
                <w:sz w:val="24"/>
              </w:rPr>
              <w:t>2、环保手续履行情况</w:t>
            </w:r>
          </w:p>
          <w:p>
            <w:pPr>
              <w:spacing w:line="360" w:lineRule="auto"/>
              <w:ind w:firstLine="480" w:firstLineChars="200"/>
              <w:rPr>
                <w:rFonts w:hint="eastAsia"/>
                <w:color w:val="auto"/>
                <w:sz w:val="24"/>
              </w:rPr>
            </w:pPr>
            <w:r>
              <w:rPr>
                <w:rFonts w:hint="eastAsia"/>
                <w:color w:val="auto"/>
                <w:sz w:val="24"/>
              </w:rPr>
              <w:t>平江县自来水公司于2014年5月委托</w:t>
            </w:r>
            <w:r>
              <w:rPr>
                <w:rFonts w:hint="eastAsia" w:hAnsi="宋体"/>
                <w:color w:val="auto"/>
                <w:kern w:val="0"/>
                <w:sz w:val="24"/>
              </w:rPr>
              <w:t>常德市双赢环境咨询服务有限公司</w:t>
            </w:r>
            <w:r>
              <w:rPr>
                <w:rFonts w:hint="eastAsia"/>
                <w:color w:val="auto"/>
                <w:sz w:val="24"/>
              </w:rPr>
              <w:t>承担平江县东部供水枢纽工程建设项目</w:t>
            </w:r>
            <w:r>
              <w:rPr>
                <w:color w:val="auto"/>
                <w:sz w:val="24"/>
              </w:rPr>
              <w:t>环境影响评价工作</w:t>
            </w:r>
            <w:r>
              <w:rPr>
                <w:rFonts w:hint="eastAsia"/>
                <w:color w:val="auto"/>
                <w:sz w:val="24"/>
              </w:rPr>
              <w:t>；</w:t>
            </w:r>
            <w:r>
              <w:rPr>
                <w:color w:val="auto"/>
                <w:sz w:val="24"/>
              </w:rPr>
              <w:t>该公司于</w:t>
            </w:r>
            <w:r>
              <w:rPr>
                <w:rFonts w:hint="eastAsia"/>
                <w:color w:val="auto"/>
                <w:sz w:val="24"/>
              </w:rPr>
              <w:t>2014年6月</w:t>
            </w:r>
            <w:r>
              <w:rPr>
                <w:color w:val="auto"/>
                <w:sz w:val="24"/>
              </w:rPr>
              <w:t>编制完成了</w:t>
            </w:r>
            <w:r>
              <w:rPr>
                <w:rFonts w:hint="eastAsia"/>
                <w:color w:val="auto"/>
                <w:sz w:val="24"/>
              </w:rPr>
              <w:t>《平江县东部供水枢纽工程建设项目环境影响报告书》，岳阳市环境保护局于2014年6月30日以“岳环评[2014]39号”文对该项目进行了批复。目前该工程处于施工阶段，尚未投入运行，也未进行竣工环保验收。</w:t>
            </w:r>
          </w:p>
          <w:p>
            <w:pPr>
              <w:spacing w:line="360" w:lineRule="auto"/>
              <w:rPr>
                <w:rFonts w:hint="eastAsia"/>
                <w:b/>
                <w:color w:val="auto"/>
                <w:sz w:val="24"/>
              </w:rPr>
            </w:pPr>
            <w:r>
              <w:rPr>
                <w:rFonts w:hint="eastAsia"/>
                <w:b/>
                <w:color w:val="auto"/>
                <w:sz w:val="24"/>
              </w:rPr>
              <w:t>3、项目建设内容及规模</w:t>
            </w:r>
          </w:p>
          <w:p>
            <w:pPr>
              <w:spacing w:line="360" w:lineRule="auto"/>
              <w:ind w:firstLine="480" w:firstLineChars="200"/>
              <w:rPr>
                <w:rFonts w:hint="eastAsia"/>
                <w:color w:val="auto"/>
                <w:sz w:val="24"/>
              </w:rPr>
            </w:pPr>
            <w:r>
              <w:rPr>
                <w:rFonts w:hint="eastAsia"/>
                <w:color w:val="auto"/>
                <w:sz w:val="24"/>
              </w:rPr>
              <w:t>项目主要建设内容包括取水工程、引水工程、净水厂工程和配水工程四部分。具体情况见表</w:t>
            </w:r>
            <w:r>
              <w:rPr>
                <w:rFonts w:hint="eastAsia"/>
                <w:color w:val="auto"/>
                <w:sz w:val="24"/>
                <w:lang w:val="en-US" w:eastAsia="zh-CN"/>
              </w:rPr>
              <w:t>14</w:t>
            </w:r>
            <w:r>
              <w:rPr>
                <w:rFonts w:hint="eastAsia"/>
                <w:color w:val="auto"/>
                <w:sz w:val="24"/>
              </w:rPr>
              <w:t>。</w:t>
            </w:r>
          </w:p>
          <w:p>
            <w:pPr>
              <w:adjustRightInd w:val="0"/>
              <w:spacing w:line="360" w:lineRule="auto"/>
              <w:ind w:firstLine="482"/>
              <w:jc w:val="center"/>
              <w:rPr>
                <w:rFonts w:hint="eastAsia"/>
                <w:b/>
                <w:color w:val="auto"/>
                <w:szCs w:val="21"/>
              </w:rPr>
            </w:pPr>
            <w:r>
              <w:rPr>
                <w:rFonts w:hint="eastAsia"/>
                <w:b/>
                <w:color w:val="auto"/>
                <w:szCs w:val="21"/>
              </w:rPr>
              <w:t>表</w:t>
            </w:r>
            <w:r>
              <w:rPr>
                <w:rFonts w:hint="eastAsia"/>
                <w:b/>
                <w:color w:val="auto"/>
                <w:szCs w:val="21"/>
                <w:lang w:val="en-US" w:eastAsia="zh-CN"/>
              </w:rPr>
              <w:t>14</w:t>
            </w:r>
            <w:r>
              <w:rPr>
                <w:rFonts w:hint="eastAsia"/>
                <w:b/>
                <w:color w:val="auto"/>
                <w:szCs w:val="21"/>
              </w:rPr>
              <w:t xml:space="preserve">  项目主要建设内容一览表</w:t>
            </w:r>
          </w:p>
          <w:tbl>
            <w:tblPr>
              <w:tblStyle w:val="14"/>
              <w:tblW w:w="837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8"/>
              <w:gridCol w:w="1099"/>
              <w:gridCol w:w="2656"/>
              <w:gridCol w:w="38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1837" w:type="dxa"/>
                  <w:gridSpan w:val="2"/>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名称</w:t>
                  </w:r>
                </w:p>
              </w:tc>
              <w:tc>
                <w:tcPr>
                  <w:tcW w:w="2656"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位置</w:t>
                  </w:r>
                </w:p>
              </w:tc>
              <w:tc>
                <w:tcPr>
                  <w:tcW w:w="3886" w:type="dxa"/>
                  <w:tcMar>
                    <w:left w:w="17" w:type="dxa"/>
                    <w:right w:w="17" w:type="dxa"/>
                  </w:tcMar>
                  <w:vAlign w:val="top"/>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建设内容及规模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restart"/>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主体</w:t>
                  </w:r>
                </w:p>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工程</w:t>
                  </w: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取水工程</w:t>
                  </w:r>
                </w:p>
              </w:tc>
              <w:tc>
                <w:tcPr>
                  <w:tcW w:w="2656" w:type="dxa"/>
                  <w:tcMar>
                    <w:left w:w="17" w:type="dxa"/>
                    <w:right w:w="17" w:type="dxa"/>
                  </w:tcMar>
                  <w:vAlign w:val="center"/>
                </w:tcPr>
                <w:p>
                  <w:pPr>
                    <w:pStyle w:val="8"/>
                    <w:adjustRightInd/>
                    <w:snapToGrid/>
                    <w:spacing w:line="240" w:lineRule="exact"/>
                    <w:rPr>
                      <w:rFonts w:hint="eastAsia" w:eastAsia="宋体"/>
                      <w:color w:val="auto"/>
                      <w:sz w:val="21"/>
                      <w:szCs w:val="21"/>
                    </w:rPr>
                  </w:pPr>
                  <w:r>
                    <w:rPr>
                      <w:rFonts w:hint="eastAsia" w:eastAsia="宋体"/>
                      <w:color w:val="auto"/>
                      <w:sz w:val="21"/>
                      <w:szCs w:val="21"/>
                    </w:rPr>
                    <w:t>位于黄金洞水库下游（地理坐标为：</w:t>
                  </w:r>
                  <w:r>
                    <w:rPr>
                      <w:rFonts w:eastAsia="宋体"/>
                      <w:color w:val="auto"/>
                      <w:sz w:val="21"/>
                      <w:szCs w:val="21"/>
                    </w:rPr>
                    <w:t>东经11</w:t>
                  </w:r>
                  <w:r>
                    <w:rPr>
                      <w:rFonts w:hint="eastAsia" w:eastAsia="宋体"/>
                      <w:color w:val="auto"/>
                      <w:sz w:val="21"/>
                      <w:szCs w:val="21"/>
                    </w:rPr>
                    <w:t>4</w:t>
                  </w:r>
                  <w:r>
                    <w:rPr>
                      <w:rFonts w:eastAsia="宋体"/>
                      <w:color w:val="auto"/>
                      <w:sz w:val="21"/>
                      <w:szCs w:val="21"/>
                    </w:rPr>
                    <w:t>°</w:t>
                  </w:r>
                  <w:r>
                    <w:rPr>
                      <w:rFonts w:hint="eastAsia" w:eastAsia="宋体"/>
                      <w:color w:val="auto"/>
                      <w:sz w:val="21"/>
                      <w:szCs w:val="21"/>
                    </w:rPr>
                    <w:t>06</w:t>
                  </w:r>
                  <w:r>
                    <w:rPr>
                      <w:rFonts w:eastAsia="宋体"/>
                      <w:color w:val="auto"/>
                      <w:sz w:val="21"/>
                      <w:szCs w:val="21"/>
                    </w:rPr>
                    <w:t>′</w:t>
                  </w:r>
                  <w:r>
                    <w:rPr>
                      <w:rFonts w:hint="eastAsia" w:eastAsia="宋体"/>
                      <w:color w:val="auto"/>
                      <w:sz w:val="21"/>
                      <w:szCs w:val="21"/>
                    </w:rPr>
                    <w:t>31</w:t>
                  </w:r>
                  <w:r>
                    <w:rPr>
                      <w:rFonts w:ascii="Arial" w:hAnsi="Arial"/>
                      <w:color w:val="auto"/>
                      <w:sz w:val="21"/>
                      <w:szCs w:val="21"/>
                      <w:shd w:val="clear" w:color="auto" w:fill="FFFFFF"/>
                    </w:rPr>
                    <w:t>"</w:t>
                  </w:r>
                  <w:r>
                    <w:rPr>
                      <w:rFonts w:eastAsia="宋体"/>
                      <w:color w:val="auto"/>
                      <w:sz w:val="21"/>
                      <w:szCs w:val="21"/>
                    </w:rPr>
                    <w:t>北纬28°</w:t>
                  </w:r>
                  <w:r>
                    <w:rPr>
                      <w:rFonts w:hint="eastAsia" w:eastAsia="宋体"/>
                      <w:color w:val="auto"/>
                      <w:sz w:val="21"/>
                      <w:szCs w:val="21"/>
                    </w:rPr>
                    <w:t>55</w:t>
                  </w:r>
                  <w:r>
                    <w:rPr>
                      <w:rFonts w:eastAsia="宋体"/>
                      <w:color w:val="auto"/>
                      <w:sz w:val="21"/>
                      <w:szCs w:val="21"/>
                    </w:rPr>
                    <w:t>′</w:t>
                  </w:r>
                  <w:r>
                    <w:rPr>
                      <w:rFonts w:hint="eastAsia" w:eastAsia="宋体"/>
                      <w:color w:val="auto"/>
                      <w:sz w:val="21"/>
                      <w:szCs w:val="21"/>
                    </w:rPr>
                    <w:t>50</w:t>
                  </w:r>
                  <w:r>
                    <w:rPr>
                      <w:rFonts w:ascii="Arial" w:hAnsi="Arial"/>
                      <w:color w:val="auto"/>
                      <w:sz w:val="21"/>
                      <w:szCs w:val="21"/>
                      <w:shd w:val="clear" w:color="auto" w:fill="FFFFFF"/>
                    </w:rPr>
                    <w:t>"</w:t>
                  </w:r>
                  <w:r>
                    <w:rPr>
                      <w:rFonts w:hint="eastAsia" w:eastAsia="宋体"/>
                      <w:color w:val="auto"/>
                      <w:sz w:val="21"/>
                      <w:szCs w:val="21"/>
                    </w:rPr>
                    <w:t>）</w:t>
                  </w:r>
                </w:p>
              </w:tc>
              <w:tc>
                <w:tcPr>
                  <w:tcW w:w="3886" w:type="dxa"/>
                  <w:tcMar>
                    <w:left w:w="17" w:type="dxa"/>
                    <w:right w:w="17" w:type="dxa"/>
                  </w:tcMar>
                  <w:vAlign w:val="center"/>
                </w:tcPr>
                <w:p>
                  <w:pPr>
                    <w:pStyle w:val="8"/>
                    <w:adjustRightInd/>
                    <w:snapToGrid/>
                    <w:spacing w:line="240" w:lineRule="exact"/>
                    <w:rPr>
                      <w:rFonts w:hint="eastAsia" w:eastAsia="宋体"/>
                      <w:color w:val="auto"/>
                      <w:sz w:val="21"/>
                      <w:szCs w:val="21"/>
                    </w:rPr>
                  </w:pPr>
                  <w:r>
                    <w:rPr>
                      <w:rFonts w:hint="eastAsia" w:eastAsia="宋体"/>
                      <w:color w:val="auto"/>
                      <w:sz w:val="21"/>
                      <w:szCs w:val="21"/>
                    </w:rPr>
                    <w:t>主要内容为启闭塔、五层拍门及DN1000的取水管道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center"/>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引水工程</w:t>
                  </w:r>
                </w:p>
              </w:tc>
              <w:tc>
                <w:tcPr>
                  <w:tcW w:w="2656" w:type="dxa"/>
                  <w:tcMar>
                    <w:left w:w="17" w:type="dxa"/>
                    <w:right w:w="17" w:type="dxa"/>
                  </w:tcMar>
                  <w:vAlign w:val="center"/>
                </w:tcPr>
                <w:p>
                  <w:pPr>
                    <w:pStyle w:val="8"/>
                    <w:adjustRightInd/>
                    <w:snapToGrid/>
                    <w:spacing w:line="240" w:lineRule="exact"/>
                    <w:rPr>
                      <w:rFonts w:hint="eastAsia" w:eastAsia="宋体"/>
                      <w:color w:val="auto"/>
                      <w:sz w:val="21"/>
                      <w:szCs w:val="21"/>
                    </w:rPr>
                  </w:pPr>
                  <w:r>
                    <w:rPr>
                      <w:rFonts w:hint="eastAsia" w:eastAsia="宋体"/>
                      <w:color w:val="auto"/>
                      <w:sz w:val="21"/>
                      <w:szCs w:val="21"/>
                    </w:rPr>
                    <w:t>沿线主要经过黄金村、金塘村、马西村、下付村、国福村和宝枫村</w:t>
                  </w:r>
                </w:p>
              </w:tc>
              <w:tc>
                <w:tcPr>
                  <w:tcW w:w="3886" w:type="dxa"/>
                  <w:tcMar>
                    <w:left w:w="17" w:type="dxa"/>
                    <w:right w:w="17" w:type="dxa"/>
                  </w:tcMar>
                  <w:vAlign w:val="top"/>
                </w:tcPr>
                <w:p>
                  <w:pPr>
                    <w:pStyle w:val="8"/>
                    <w:adjustRightInd/>
                    <w:snapToGrid/>
                    <w:spacing w:line="240" w:lineRule="exact"/>
                    <w:rPr>
                      <w:rFonts w:hint="eastAsia" w:eastAsia="宋体"/>
                      <w:color w:val="auto"/>
                      <w:sz w:val="21"/>
                      <w:szCs w:val="21"/>
                    </w:rPr>
                  </w:pPr>
                  <w:r>
                    <w:rPr>
                      <w:rFonts w:hint="eastAsia" w:eastAsia="宋体"/>
                      <w:color w:val="auto"/>
                      <w:sz w:val="21"/>
                      <w:szCs w:val="21"/>
                    </w:rPr>
                    <w:t>工程采用压力管道将黄金洞水库水源水引至位于长寿镇国富村的净水厂。引水管线采用</w:t>
                  </w:r>
                  <w:r>
                    <w:rPr>
                      <w:rFonts w:hint="eastAsia"/>
                      <w:color w:val="auto"/>
                      <w:sz w:val="21"/>
                      <w:szCs w:val="21"/>
                    </w:rPr>
                    <w:t>DN1000</w:t>
                  </w:r>
                  <w:r>
                    <w:rPr>
                      <w:rFonts w:hint="eastAsia" w:ascii="宋体" w:hAnsi="宋体" w:eastAsia="宋体"/>
                      <w:color w:val="auto"/>
                      <w:sz w:val="21"/>
                      <w:szCs w:val="21"/>
                    </w:rPr>
                    <w:t>球墨铸铁管</w:t>
                  </w:r>
                  <w:r>
                    <w:rPr>
                      <w:rFonts w:hint="eastAsia"/>
                      <w:color w:val="auto"/>
                      <w:sz w:val="21"/>
                      <w:szCs w:val="21"/>
                    </w:rPr>
                    <w:t>，</w:t>
                  </w:r>
                  <w:r>
                    <w:rPr>
                      <w:rFonts w:hint="eastAsia" w:ascii="宋体" w:hAnsi="宋体" w:eastAsia="宋体"/>
                      <w:color w:val="auto"/>
                      <w:sz w:val="21"/>
                      <w:szCs w:val="21"/>
                    </w:rPr>
                    <w:t>管线</w:t>
                  </w:r>
                  <w:r>
                    <w:rPr>
                      <w:rFonts w:hint="eastAsia" w:eastAsia="宋体"/>
                      <w:color w:val="auto"/>
                      <w:sz w:val="21"/>
                      <w:szCs w:val="21"/>
                    </w:rPr>
                    <w:t>总长14.55km；其中过河埋管道长0.4101km，穿越隧洞管道长4.456km，架空管道长0.04km，一般埋管长9.6439km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center"/>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净水厂</w:t>
                  </w:r>
                </w:p>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工程</w:t>
                  </w:r>
                </w:p>
              </w:tc>
              <w:tc>
                <w:tcPr>
                  <w:tcW w:w="2656"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位于长寿镇国福村、宝枫村</w:t>
                  </w:r>
                </w:p>
              </w:tc>
              <w:tc>
                <w:tcPr>
                  <w:tcW w:w="3886" w:type="dxa"/>
                  <w:tcMar>
                    <w:left w:w="17" w:type="dxa"/>
                    <w:right w:w="17" w:type="dxa"/>
                  </w:tcMar>
                  <w:vAlign w:val="top"/>
                </w:tcPr>
                <w:p>
                  <w:pPr>
                    <w:spacing w:line="240" w:lineRule="exact"/>
                    <w:rPr>
                      <w:rFonts w:hint="eastAsia"/>
                      <w:color w:val="auto"/>
                      <w:szCs w:val="21"/>
                    </w:rPr>
                  </w:pPr>
                  <w:r>
                    <w:rPr>
                      <w:rFonts w:hint="eastAsia"/>
                      <w:color w:val="auto"/>
                      <w:szCs w:val="21"/>
                    </w:rPr>
                    <w:t>主要构筑物为：两组栅条絮凝池，单组絮凝池的设计规模为1050</w:t>
                  </w:r>
                  <w:r>
                    <w:rPr>
                      <w:rFonts w:hint="eastAsia"/>
                      <w:color w:val="auto"/>
                      <w:szCs w:val="21"/>
                      <w:lang w:eastAsia="zh-CN"/>
                    </w:rPr>
                    <w:t>m³</w:t>
                  </w:r>
                  <w:r>
                    <w:rPr>
                      <w:rFonts w:hint="eastAsia"/>
                      <w:color w:val="auto"/>
                      <w:szCs w:val="21"/>
                    </w:rPr>
                    <w:t>/h；两组平流沉淀池，设计规模为1050</w:t>
                  </w:r>
                  <w:r>
                    <w:rPr>
                      <w:rFonts w:hint="eastAsia"/>
                      <w:color w:val="auto"/>
                      <w:szCs w:val="21"/>
                      <w:lang w:eastAsia="zh-CN"/>
                    </w:rPr>
                    <w:t>m³</w:t>
                  </w:r>
                  <w:r>
                    <w:rPr>
                      <w:rFonts w:hint="eastAsia"/>
                      <w:color w:val="auto"/>
                      <w:szCs w:val="21"/>
                    </w:rPr>
                    <w:t>/；一组虹吸滤池，分8格；1座清水池分两格，有效容积5000</w:t>
                  </w:r>
                  <w:r>
                    <w:rPr>
                      <w:rFonts w:hint="eastAsia"/>
                      <w:color w:val="auto"/>
                      <w:szCs w:val="21"/>
                      <w:lang w:eastAsia="zh-CN"/>
                    </w:rPr>
                    <w:t>m³</w:t>
                  </w:r>
                  <w:r>
                    <w:rPr>
                      <w:rFonts w:hint="eastAsia"/>
                      <w:color w:val="auto"/>
                      <w:szCs w:val="21"/>
                    </w:rPr>
                    <w:t>；加药间内设有消毒装置、加药装置、控制柜及储药间等；以及综合楼，设置水质检验室、食堂、办公室等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center"/>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配水工程</w:t>
                  </w:r>
                </w:p>
              </w:tc>
              <w:tc>
                <w:tcPr>
                  <w:tcW w:w="2656" w:type="dxa"/>
                  <w:tcMar>
                    <w:left w:w="17" w:type="dxa"/>
                    <w:right w:w="17" w:type="dxa"/>
                  </w:tcMar>
                  <w:vAlign w:val="center"/>
                </w:tcPr>
                <w:p>
                  <w:pPr>
                    <w:pStyle w:val="8"/>
                    <w:adjustRightInd/>
                    <w:snapToGrid/>
                    <w:spacing w:line="240" w:lineRule="exact"/>
                    <w:rPr>
                      <w:rFonts w:hint="eastAsia" w:eastAsia="宋体"/>
                      <w:color w:val="auto"/>
                      <w:sz w:val="21"/>
                      <w:szCs w:val="21"/>
                    </w:rPr>
                  </w:pPr>
                  <w:r>
                    <w:rPr>
                      <w:rFonts w:hint="eastAsia" w:eastAsia="宋体"/>
                      <w:color w:val="auto"/>
                      <w:sz w:val="21"/>
                      <w:szCs w:val="21"/>
                    </w:rPr>
                    <w:t>沿线主要涉及长寿镇、加义镇、安定镇、三阳乡和城关镇</w:t>
                  </w:r>
                </w:p>
              </w:tc>
              <w:tc>
                <w:tcPr>
                  <w:tcW w:w="3886" w:type="dxa"/>
                  <w:tcMar>
                    <w:left w:w="17" w:type="dxa"/>
                    <w:right w:w="17" w:type="dxa"/>
                  </w:tcMar>
                  <w:vAlign w:val="center"/>
                </w:tcPr>
                <w:p>
                  <w:pPr>
                    <w:spacing w:line="240" w:lineRule="exact"/>
                    <w:rPr>
                      <w:rFonts w:hint="eastAsia"/>
                      <w:color w:val="auto"/>
                      <w:szCs w:val="21"/>
                    </w:rPr>
                  </w:pPr>
                  <w:r>
                    <w:rPr>
                      <w:rFonts w:hint="eastAsia"/>
                      <w:color w:val="auto"/>
                      <w:szCs w:val="21"/>
                    </w:rPr>
                    <w:t>配水管网采用树枝状布置，至县城管主线沿S308、G106公路一侧铺设DN1200球墨铸铁管49780m，支管铺设De600给水硬聚氯乙烯管3390m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restart"/>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辅助公用工程</w:t>
                  </w: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水质检验</w:t>
                  </w:r>
                </w:p>
              </w:tc>
              <w:tc>
                <w:tcPr>
                  <w:tcW w:w="2656"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位于净水厂内</w:t>
                  </w:r>
                </w:p>
              </w:tc>
              <w:tc>
                <w:tcPr>
                  <w:tcW w:w="3886" w:type="dxa"/>
                  <w:tcMar>
                    <w:left w:w="17" w:type="dxa"/>
                    <w:right w:w="17" w:type="dxa"/>
                  </w:tcMar>
                  <w:vAlign w:val="top"/>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主要负责净水厂日产生产控制分析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center"/>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供水</w:t>
                  </w:r>
                </w:p>
              </w:tc>
              <w:tc>
                <w:tcPr>
                  <w:tcW w:w="2656"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位于净水厂内</w:t>
                  </w:r>
                </w:p>
              </w:tc>
              <w:tc>
                <w:tcPr>
                  <w:tcW w:w="3886" w:type="dxa"/>
                  <w:tcMar>
                    <w:left w:w="17" w:type="dxa"/>
                    <w:right w:w="17" w:type="dxa"/>
                  </w:tcMar>
                  <w:vAlign w:val="top"/>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净水厂清水池取水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center"/>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供电</w:t>
                  </w:r>
                </w:p>
              </w:tc>
              <w:tc>
                <w:tcPr>
                  <w:tcW w:w="2656" w:type="dxa"/>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位于净水厂内</w:t>
                  </w:r>
                </w:p>
              </w:tc>
              <w:tc>
                <w:tcPr>
                  <w:tcW w:w="3886" w:type="dxa"/>
                  <w:tcMar>
                    <w:left w:w="17" w:type="dxa"/>
                    <w:right w:w="17" w:type="dxa"/>
                  </w:tcMar>
                  <w:vAlign w:val="center"/>
                </w:tcPr>
                <w:p>
                  <w:pPr>
                    <w:pStyle w:val="8"/>
                    <w:adjustRightInd/>
                    <w:snapToGrid/>
                    <w:spacing w:line="240" w:lineRule="exact"/>
                    <w:rPr>
                      <w:rFonts w:hint="eastAsia" w:eastAsia="宋体"/>
                      <w:color w:val="auto"/>
                      <w:sz w:val="21"/>
                      <w:szCs w:val="21"/>
                    </w:rPr>
                  </w:pPr>
                  <w:r>
                    <w:rPr>
                      <w:rFonts w:hint="eastAsia" w:eastAsia="宋体"/>
                      <w:color w:val="auto"/>
                      <w:sz w:val="21"/>
                      <w:szCs w:val="21"/>
                    </w:rPr>
                    <w:t>电源采用一回10KV专线引入，厂区内设100kVA箱式变电站一座，并设置一台功率为50kw的发电机作为备用电源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restart"/>
                  <w:tcMar>
                    <w:left w:w="17" w:type="dxa"/>
                    <w:right w:w="17" w:type="dxa"/>
                  </w:tcMar>
                  <w:vAlign w:val="center"/>
                </w:tcPr>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环保</w:t>
                  </w:r>
                </w:p>
                <w:p>
                  <w:pPr>
                    <w:pStyle w:val="8"/>
                    <w:adjustRightInd/>
                    <w:snapToGrid/>
                    <w:spacing w:line="240" w:lineRule="exact"/>
                    <w:jc w:val="center"/>
                    <w:rPr>
                      <w:rFonts w:hint="eastAsia" w:eastAsia="宋体"/>
                      <w:color w:val="auto"/>
                      <w:sz w:val="21"/>
                      <w:szCs w:val="21"/>
                    </w:rPr>
                  </w:pPr>
                  <w:r>
                    <w:rPr>
                      <w:rFonts w:hint="eastAsia" w:eastAsia="宋体"/>
                      <w:color w:val="auto"/>
                      <w:sz w:val="21"/>
                      <w:szCs w:val="21"/>
                    </w:rPr>
                    <w:t>工程</w:t>
                  </w:r>
                </w:p>
              </w:tc>
              <w:tc>
                <w:tcPr>
                  <w:tcW w:w="1099" w:type="dxa"/>
                  <w:tcMar>
                    <w:left w:w="17" w:type="dxa"/>
                    <w:right w:w="17" w:type="dxa"/>
                  </w:tcMar>
                  <w:vAlign w:val="center"/>
                </w:tcPr>
                <w:p>
                  <w:pPr>
                    <w:spacing w:line="240" w:lineRule="exact"/>
                    <w:jc w:val="center"/>
                    <w:rPr>
                      <w:color w:val="auto"/>
                      <w:szCs w:val="21"/>
                    </w:rPr>
                  </w:pPr>
                  <w:r>
                    <w:rPr>
                      <w:color w:val="auto"/>
                      <w:szCs w:val="21"/>
                    </w:rPr>
                    <w:t>废气治理</w:t>
                  </w:r>
                </w:p>
              </w:tc>
              <w:tc>
                <w:tcPr>
                  <w:tcW w:w="2656" w:type="dxa"/>
                  <w:tcMar>
                    <w:left w:w="17" w:type="dxa"/>
                    <w:right w:w="17" w:type="dxa"/>
                  </w:tcMar>
                  <w:vAlign w:val="center"/>
                </w:tcPr>
                <w:p>
                  <w:pPr>
                    <w:spacing w:line="240" w:lineRule="exact"/>
                    <w:rPr>
                      <w:color w:val="auto"/>
                      <w:szCs w:val="21"/>
                    </w:rPr>
                  </w:pPr>
                  <w:r>
                    <w:rPr>
                      <w:rFonts w:hint="eastAsia"/>
                      <w:color w:val="auto"/>
                      <w:szCs w:val="21"/>
                    </w:rPr>
                    <w:t>净水厂内加药间、发电机房及食堂</w:t>
                  </w:r>
                </w:p>
              </w:tc>
              <w:tc>
                <w:tcPr>
                  <w:tcW w:w="3886" w:type="dxa"/>
                  <w:tcMar>
                    <w:left w:w="17" w:type="dxa"/>
                    <w:right w:w="17" w:type="dxa"/>
                  </w:tcMar>
                  <w:vAlign w:val="center"/>
                </w:tcPr>
                <w:p>
                  <w:pPr>
                    <w:spacing w:line="240" w:lineRule="exact"/>
                    <w:rPr>
                      <w:rFonts w:hint="eastAsia"/>
                      <w:color w:val="auto"/>
                      <w:szCs w:val="21"/>
                    </w:rPr>
                  </w:pPr>
                  <w:r>
                    <w:rPr>
                      <w:rFonts w:hint="eastAsia"/>
                      <w:color w:val="auto"/>
                      <w:szCs w:val="21"/>
                    </w:rPr>
                    <w:t>无组织排放废气加强通风；发电机尾气由专用管道于楼顶排放；油烟由排气扇外排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top"/>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spacing w:line="240" w:lineRule="exact"/>
                    <w:jc w:val="center"/>
                    <w:rPr>
                      <w:color w:val="auto"/>
                      <w:szCs w:val="21"/>
                    </w:rPr>
                  </w:pPr>
                  <w:r>
                    <w:rPr>
                      <w:color w:val="auto"/>
                      <w:szCs w:val="21"/>
                    </w:rPr>
                    <w:t>废水治理</w:t>
                  </w:r>
                </w:p>
              </w:tc>
              <w:tc>
                <w:tcPr>
                  <w:tcW w:w="2656" w:type="dxa"/>
                  <w:tcMar>
                    <w:left w:w="17" w:type="dxa"/>
                    <w:right w:w="17" w:type="dxa"/>
                  </w:tcMar>
                  <w:vAlign w:val="center"/>
                </w:tcPr>
                <w:p>
                  <w:pPr>
                    <w:spacing w:line="240" w:lineRule="exact"/>
                    <w:rPr>
                      <w:rFonts w:hint="eastAsia"/>
                      <w:color w:val="auto"/>
                      <w:szCs w:val="21"/>
                    </w:rPr>
                  </w:pPr>
                  <w:r>
                    <w:rPr>
                      <w:rFonts w:hint="eastAsia"/>
                      <w:color w:val="auto"/>
                      <w:szCs w:val="21"/>
                    </w:rPr>
                    <w:t>净水厂内生产废水和生活污水</w:t>
                  </w:r>
                </w:p>
              </w:tc>
              <w:tc>
                <w:tcPr>
                  <w:tcW w:w="3886" w:type="dxa"/>
                  <w:tcMar>
                    <w:left w:w="17" w:type="dxa"/>
                    <w:right w:w="17" w:type="dxa"/>
                  </w:tcMar>
                  <w:vAlign w:val="center"/>
                </w:tcPr>
                <w:p>
                  <w:pPr>
                    <w:spacing w:line="240" w:lineRule="exact"/>
                    <w:rPr>
                      <w:rFonts w:hint="eastAsia"/>
                      <w:color w:val="auto"/>
                      <w:szCs w:val="21"/>
                    </w:rPr>
                  </w:pPr>
                  <w:r>
                    <w:rPr>
                      <w:rFonts w:hint="eastAsia"/>
                      <w:color w:val="auto"/>
                      <w:szCs w:val="21"/>
                    </w:rPr>
                    <w:t>生产废水由自建废水处理系统处理达标排放；生活污水由隔油池、化粪池处理后用于周边农肥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top"/>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spacing w:line="240" w:lineRule="exact"/>
                    <w:jc w:val="center"/>
                    <w:rPr>
                      <w:color w:val="auto"/>
                      <w:szCs w:val="21"/>
                    </w:rPr>
                  </w:pPr>
                  <w:r>
                    <w:rPr>
                      <w:color w:val="auto"/>
                      <w:szCs w:val="21"/>
                    </w:rPr>
                    <w:t>噪声治理</w:t>
                  </w:r>
                </w:p>
              </w:tc>
              <w:tc>
                <w:tcPr>
                  <w:tcW w:w="2656" w:type="dxa"/>
                  <w:tcMar>
                    <w:left w:w="17" w:type="dxa"/>
                    <w:right w:w="17" w:type="dxa"/>
                  </w:tcMar>
                  <w:vAlign w:val="center"/>
                </w:tcPr>
                <w:p>
                  <w:pPr>
                    <w:spacing w:line="240" w:lineRule="exact"/>
                    <w:jc w:val="center"/>
                    <w:rPr>
                      <w:color w:val="auto"/>
                      <w:szCs w:val="21"/>
                    </w:rPr>
                  </w:pPr>
                  <w:r>
                    <w:rPr>
                      <w:rFonts w:hint="eastAsia"/>
                      <w:color w:val="auto"/>
                      <w:szCs w:val="21"/>
                    </w:rPr>
                    <w:t>净水厂</w:t>
                  </w:r>
                </w:p>
              </w:tc>
              <w:tc>
                <w:tcPr>
                  <w:tcW w:w="3886" w:type="dxa"/>
                  <w:tcMar>
                    <w:left w:w="17" w:type="dxa"/>
                    <w:right w:w="17" w:type="dxa"/>
                  </w:tcMar>
                  <w:vAlign w:val="center"/>
                </w:tcPr>
                <w:p>
                  <w:pPr>
                    <w:spacing w:line="240" w:lineRule="exact"/>
                    <w:rPr>
                      <w:rFonts w:hint="eastAsia"/>
                      <w:color w:val="auto"/>
                      <w:szCs w:val="21"/>
                    </w:rPr>
                  </w:pPr>
                  <w:r>
                    <w:rPr>
                      <w:color w:val="auto"/>
                      <w:szCs w:val="21"/>
                    </w:rPr>
                    <w:t>配套建设减振、隔声、消声、吸声等降噪措施</w:t>
                  </w:r>
                  <w:r>
                    <w:rPr>
                      <w:rFonts w:hint="eastAsia"/>
                      <w:color w:val="auto"/>
                      <w:szCs w:val="21"/>
                    </w:rPr>
                    <w:t>及厂区绿化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top"/>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spacing w:line="240" w:lineRule="exact"/>
                    <w:jc w:val="center"/>
                    <w:rPr>
                      <w:color w:val="auto"/>
                      <w:szCs w:val="21"/>
                    </w:rPr>
                  </w:pPr>
                  <w:r>
                    <w:rPr>
                      <w:color w:val="auto"/>
                      <w:szCs w:val="21"/>
                    </w:rPr>
                    <w:t>固废治理</w:t>
                  </w:r>
                </w:p>
              </w:tc>
              <w:tc>
                <w:tcPr>
                  <w:tcW w:w="2656" w:type="dxa"/>
                  <w:tcMar>
                    <w:left w:w="17" w:type="dxa"/>
                    <w:right w:w="17" w:type="dxa"/>
                  </w:tcMar>
                  <w:vAlign w:val="center"/>
                </w:tcPr>
                <w:p>
                  <w:pPr>
                    <w:spacing w:line="240" w:lineRule="exact"/>
                    <w:jc w:val="center"/>
                    <w:rPr>
                      <w:rFonts w:hint="eastAsia"/>
                      <w:color w:val="auto"/>
                      <w:szCs w:val="21"/>
                    </w:rPr>
                  </w:pPr>
                  <w:r>
                    <w:rPr>
                      <w:rFonts w:hint="eastAsia"/>
                      <w:color w:val="auto"/>
                      <w:szCs w:val="21"/>
                    </w:rPr>
                    <w:t>净水厂内</w:t>
                  </w:r>
                </w:p>
              </w:tc>
              <w:tc>
                <w:tcPr>
                  <w:tcW w:w="3886" w:type="dxa"/>
                  <w:tcMar>
                    <w:left w:w="17" w:type="dxa"/>
                    <w:right w:w="17" w:type="dxa"/>
                  </w:tcMar>
                  <w:vAlign w:val="center"/>
                </w:tcPr>
                <w:p>
                  <w:pPr>
                    <w:spacing w:line="240" w:lineRule="exact"/>
                    <w:rPr>
                      <w:rFonts w:hint="eastAsia"/>
                      <w:color w:val="auto"/>
                      <w:szCs w:val="21"/>
                    </w:rPr>
                  </w:pPr>
                  <w:r>
                    <w:rPr>
                      <w:color w:val="auto"/>
                      <w:szCs w:val="21"/>
                    </w:rPr>
                    <w:t>生活垃圾由环卫部门收集处理，一般固废</w:t>
                  </w:r>
                  <w:r>
                    <w:rPr>
                      <w:rFonts w:hint="eastAsia"/>
                      <w:color w:val="auto"/>
                      <w:szCs w:val="21"/>
                    </w:rPr>
                    <w:t>外委处理</w:t>
                  </w:r>
                  <w:r>
                    <w:rPr>
                      <w:color w:val="auto"/>
                      <w:szCs w:val="21"/>
                    </w:rPr>
                    <w:t>，危险废物委托有危险废物处理资质的单位进行无害化处置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trPr>
              <w:tc>
                <w:tcPr>
                  <w:tcW w:w="738" w:type="dxa"/>
                  <w:vMerge w:val="continue"/>
                  <w:tcMar>
                    <w:left w:w="17" w:type="dxa"/>
                    <w:right w:w="17" w:type="dxa"/>
                  </w:tcMar>
                  <w:vAlign w:val="top"/>
                </w:tcPr>
                <w:p>
                  <w:pPr>
                    <w:pStyle w:val="8"/>
                    <w:adjustRightInd/>
                    <w:snapToGrid/>
                    <w:spacing w:line="240" w:lineRule="exact"/>
                    <w:jc w:val="center"/>
                    <w:rPr>
                      <w:rFonts w:hint="eastAsia" w:eastAsia="宋体"/>
                      <w:color w:val="auto"/>
                      <w:sz w:val="21"/>
                      <w:szCs w:val="21"/>
                    </w:rPr>
                  </w:pPr>
                </w:p>
              </w:tc>
              <w:tc>
                <w:tcPr>
                  <w:tcW w:w="1099" w:type="dxa"/>
                  <w:tcMar>
                    <w:left w:w="17" w:type="dxa"/>
                    <w:right w:w="17" w:type="dxa"/>
                  </w:tcMar>
                  <w:vAlign w:val="center"/>
                </w:tcPr>
                <w:p>
                  <w:pPr>
                    <w:spacing w:line="240" w:lineRule="exact"/>
                    <w:jc w:val="center"/>
                    <w:rPr>
                      <w:color w:val="auto"/>
                      <w:szCs w:val="21"/>
                    </w:rPr>
                  </w:pPr>
                  <w:r>
                    <w:rPr>
                      <w:color w:val="auto"/>
                      <w:szCs w:val="21"/>
                    </w:rPr>
                    <w:t>绿化</w:t>
                  </w:r>
                </w:p>
              </w:tc>
              <w:tc>
                <w:tcPr>
                  <w:tcW w:w="2656" w:type="dxa"/>
                  <w:tcMar>
                    <w:left w:w="17" w:type="dxa"/>
                    <w:right w:w="17" w:type="dxa"/>
                  </w:tcMar>
                  <w:vAlign w:val="center"/>
                </w:tcPr>
                <w:p>
                  <w:pPr>
                    <w:spacing w:line="240" w:lineRule="exact"/>
                    <w:jc w:val="center"/>
                    <w:rPr>
                      <w:rFonts w:hint="eastAsia"/>
                      <w:color w:val="auto"/>
                      <w:szCs w:val="21"/>
                    </w:rPr>
                  </w:pPr>
                  <w:r>
                    <w:rPr>
                      <w:rFonts w:hint="eastAsia"/>
                      <w:color w:val="auto"/>
                      <w:szCs w:val="21"/>
                    </w:rPr>
                    <w:t>净水厂场区范围内</w:t>
                  </w:r>
                </w:p>
              </w:tc>
              <w:tc>
                <w:tcPr>
                  <w:tcW w:w="3886" w:type="dxa"/>
                  <w:tcMar>
                    <w:left w:w="17" w:type="dxa"/>
                    <w:right w:w="17" w:type="dxa"/>
                  </w:tcMar>
                  <w:vAlign w:val="center"/>
                </w:tcPr>
                <w:p>
                  <w:pPr>
                    <w:spacing w:line="240" w:lineRule="exact"/>
                    <w:jc w:val="center"/>
                    <w:rPr>
                      <w:color w:val="auto"/>
                      <w:szCs w:val="21"/>
                    </w:rPr>
                  </w:pPr>
                  <w:r>
                    <w:rPr>
                      <w:color w:val="auto"/>
                      <w:szCs w:val="21"/>
                    </w:rPr>
                    <w:t>绿地率达</w:t>
                  </w:r>
                  <w:r>
                    <w:rPr>
                      <w:rFonts w:hint="eastAsia"/>
                      <w:color w:val="auto"/>
                      <w:szCs w:val="21"/>
                    </w:rPr>
                    <w:t>33.6%</w:t>
                  </w:r>
                </w:p>
              </w:tc>
            </w:tr>
          </w:tbl>
          <w:p>
            <w:pPr>
              <w:spacing w:line="360" w:lineRule="auto"/>
              <w:rPr>
                <w:rFonts w:hint="eastAsia"/>
                <w:b/>
                <w:color w:val="auto"/>
                <w:sz w:val="24"/>
              </w:rPr>
            </w:pPr>
            <w:r>
              <w:rPr>
                <w:rFonts w:hint="eastAsia"/>
                <w:b/>
                <w:color w:val="auto"/>
                <w:sz w:val="24"/>
              </w:rPr>
              <w:t>4、污染物产排情况</w:t>
            </w:r>
          </w:p>
          <w:p>
            <w:pPr>
              <w:spacing w:line="360" w:lineRule="auto"/>
              <w:ind w:firstLine="480" w:firstLineChars="200"/>
              <w:rPr>
                <w:rFonts w:hint="eastAsia"/>
                <w:color w:val="auto"/>
                <w:sz w:val="24"/>
              </w:rPr>
            </w:pPr>
            <w:r>
              <w:rPr>
                <w:rFonts w:hint="eastAsia"/>
                <w:color w:val="auto"/>
                <w:sz w:val="24"/>
              </w:rPr>
              <w:t>项目污染物产排情况见表</w:t>
            </w:r>
            <w:r>
              <w:rPr>
                <w:rFonts w:hint="eastAsia"/>
                <w:color w:val="auto"/>
                <w:sz w:val="24"/>
                <w:lang w:val="en-US" w:eastAsia="zh-CN"/>
              </w:rPr>
              <w:t>15</w:t>
            </w:r>
            <w:r>
              <w:rPr>
                <w:rFonts w:hint="eastAsia"/>
                <w:color w:val="auto"/>
                <w:sz w:val="24"/>
              </w:rPr>
              <w:t>。</w:t>
            </w:r>
          </w:p>
          <w:p>
            <w:pPr>
              <w:adjustRightInd w:val="0"/>
              <w:spacing w:line="360" w:lineRule="auto"/>
              <w:ind w:firstLine="482"/>
              <w:jc w:val="center"/>
              <w:rPr>
                <w:rFonts w:hint="eastAsia"/>
                <w:b/>
                <w:color w:val="auto"/>
                <w:szCs w:val="21"/>
              </w:rPr>
            </w:pPr>
            <w:r>
              <w:rPr>
                <w:rFonts w:hint="eastAsia"/>
                <w:b/>
                <w:color w:val="auto"/>
                <w:szCs w:val="21"/>
              </w:rPr>
              <w:t>表</w:t>
            </w:r>
            <w:r>
              <w:rPr>
                <w:rFonts w:hint="eastAsia"/>
                <w:b/>
                <w:color w:val="auto"/>
                <w:szCs w:val="21"/>
                <w:lang w:val="en-US" w:eastAsia="zh-CN"/>
              </w:rPr>
              <w:t>15</w:t>
            </w:r>
            <w:r>
              <w:rPr>
                <w:rFonts w:hint="eastAsia"/>
                <w:b/>
                <w:color w:val="auto"/>
                <w:szCs w:val="21"/>
              </w:rPr>
              <w:t xml:space="preserve">  项目污染物产排情况一览表</w:t>
            </w:r>
          </w:p>
          <w:tbl>
            <w:tblPr>
              <w:tblStyle w:val="14"/>
              <w:tblW w:w="8379"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62"/>
              <w:gridCol w:w="861"/>
              <w:gridCol w:w="1491"/>
              <w:gridCol w:w="1123"/>
              <w:gridCol w:w="1026"/>
              <w:gridCol w:w="2051"/>
              <w:gridCol w:w="96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862" w:type="dxa"/>
                  <w:vAlign w:val="center"/>
                </w:tcPr>
                <w:p>
                  <w:pPr>
                    <w:widowControl/>
                    <w:jc w:val="center"/>
                    <w:rPr>
                      <w:color w:val="auto"/>
                      <w:kern w:val="0"/>
                      <w:szCs w:val="21"/>
                    </w:rPr>
                  </w:pPr>
                  <w:r>
                    <w:rPr>
                      <w:color w:val="auto"/>
                      <w:kern w:val="0"/>
                      <w:szCs w:val="21"/>
                    </w:rPr>
                    <w:t>项目</w:t>
                  </w:r>
                </w:p>
              </w:tc>
              <w:tc>
                <w:tcPr>
                  <w:tcW w:w="861" w:type="dxa"/>
                  <w:vAlign w:val="center"/>
                </w:tcPr>
                <w:p>
                  <w:pPr>
                    <w:widowControl/>
                    <w:jc w:val="center"/>
                    <w:rPr>
                      <w:color w:val="auto"/>
                      <w:kern w:val="0"/>
                      <w:szCs w:val="21"/>
                    </w:rPr>
                  </w:pPr>
                  <w:r>
                    <w:rPr>
                      <w:color w:val="auto"/>
                      <w:kern w:val="0"/>
                      <w:szCs w:val="21"/>
                    </w:rPr>
                    <w:t>污染源</w:t>
                  </w:r>
                </w:p>
              </w:tc>
              <w:tc>
                <w:tcPr>
                  <w:tcW w:w="2614" w:type="dxa"/>
                  <w:gridSpan w:val="2"/>
                  <w:vAlign w:val="center"/>
                </w:tcPr>
                <w:p>
                  <w:pPr>
                    <w:widowControl/>
                    <w:jc w:val="center"/>
                    <w:rPr>
                      <w:color w:val="auto"/>
                      <w:kern w:val="0"/>
                      <w:szCs w:val="21"/>
                    </w:rPr>
                  </w:pPr>
                  <w:r>
                    <w:rPr>
                      <w:color w:val="auto"/>
                      <w:kern w:val="0"/>
                      <w:szCs w:val="21"/>
                    </w:rPr>
                    <w:t>产生量</w:t>
                  </w:r>
                </w:p>
              </w:tc>
              <w:tc>
                <w:tcPr>
                  <w:tcW w:w="1026" w:type="dxa"/>
                  <w:vAlign w:val="center"/>
                </w:tcPr>
                <w:p>
                  <w:pPr>
                    <w:widowControl/>
                    <w:jc w:val="center"/>
                    <w:rPr>
                      <w:color w:val="auto"/>
                      <w:kern w:val="0"/>
                      <w:szCs w:val="21"/>
                    </w:rPr>
                  </w:pPr>
                  <w:r>
                    <w:rPr>
                      <w:color w:val="auto"/>
                      <w:kern w:val="0"/>
                      <w:szCs w:val="21"/>
                    </w:rPr>
                    <w:t>削减量</w:t>
                  </w:r>
                </w:p>
              </w:tc>
              <w:tc>
                <w:tcPr>
                  <w:tcW w:w="2051" w:type="dxa"/>
                  <w:vAlign w:val="top"/>
                </w:tcPr>
                <w:p>
                  <w:pPr>
                    <w:widowControl/>
                    <w:jc w:val="center"/>
                    <w:rPr>
                      <w:color w:val="auto"/>
                      <w:kern w:val="0"/>
                      <w:szCs w:val="21"/>
                    </w:rPr>
                  </w:pPr>
                  <w:r>
                    <w:rPr>
                      <w:color w:val="auto"/>
                      <w:kern w:val="0"/>
                      <w:szCs w:val="21"/>
                    </w:rPr>
                    <w:t>处置处理方法</w:t>
                  </w:r>
                </w:p>
              </w:tc>
              <w:tc>
                <w:tcPr>
                  <w:tcW w:w="965" w:type="dxa"/>
                  <w:vAlign w:val="top"/>
                </w:tcPr>
                <w:p>
                  <w:pPr>
                    <w:widowControl/>
                    <w:jc w:val="center"/>
                    <w:rPr>
                      <w:color w:val="auto"/>
                      <w:kern w:val="0"/>
                      <w:szCs w:val="21"/>
                    </w:rPr>
                  </w:pPr>
                  <w:r>
                    <w:rPr>
                      <w:color w:val="auto"/>
                      <w:kern w:val="0"/>
                      <w:szCs w:val="21"/>
                    </w:rPr>
                    <w:t>排放量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62" w:hRule="atLeast"/>
                <w:jc w:val="center"/>
              </w:trPr>
              <w:tc>
                <w:tcPr>
                  <w:tcW w:w="862" w:type="dxa"/>
                  <w:vMerge w:val="restart"/>
                  <w:vAlign w:val="center"/>
                </w:tcPr>
                <w:p>
                  <w:pPr>
                    <w:widowControl/>
                    <w:jc w:val="center"/>
                    <w:rPr>
                      <w:color w:val="auto"/>
                      <w:kern w:val="0"/>
                      <w:szCs w:val="21"/>
                    </w:rPr>
                  </w:pPr>
                  <w:r>
                    <w:rPr>
                      <w:color w:val="auto"/>
                      <w:kern w:val="0"/>
                      <w:szCs w:val="21"/>
                    </w:rPr>
                    <w:t>废水</w:t>
                  </w:r>
                </w:p>
              </w:tc>
              <w:tc>
                <w:tcPr>
                  <w:tcW w:w="861" w:type="dxa"/>
                  <w:vMerge w:val="restart"/>
                  <w:vAlign w:val="center"/>
                </w:tcPr>
                <w:p>
                  <w:pPr>
                    <w:widowControl/>
                    <w:jc w:val="center"/>
                    <w:rPr>
                      <w:color w:val="auto"/>
                      <w:kern w:val="0"/>
                      <w:szCs w:val="21"/>
                    </w:rPr>
                  </w:pPr>
                  <w:r>
                    <w:rPr>
                      <w:color w:val="auto"/>
                      <w:kern w:val="0"/>
                      <w:szCs w:val="21"/>
                    </w:rPr>
                    <w:t>生活</w:t>
                  </w:r>
                </w:p>
                <w:p>
                  <w:pPr>
                    <w:widowControl/>
                    <w:jc w:val="center"/>
                    <w:rPr>
                      <w:rFonts w:hint="eastAsia"/>
                      <w:color w:val="auto"/>
                      <w:kern w:val="0"/>
                      <w:szCs w:val="21"/>
                    </w:rPr>
                  </w:pPr>
                  <w:r>
                    <w:rPr>
                      <w:color w:val="auto"/>
                      <w:kern w:val="0"/>
                      <w:szCs w:val="21"/>
                    </w:rPr>
                    <w:t>污水</w:t>
                  </w:r>
                </w:p>
                <w:p>
                  <w:pPr>
                    <w:widowControl/>
                    <w:jc w:val="center"/>
                    <w:rPr>
                      <w:rFonts w:hint="eastAsia"/>
                      <w:color w:val="auto"/>
                      <w:kern w:val="0"/>
                      <w:szCs w:val="21"/>
                    </w:rPr>
                  </w:pPr>
                  <w:r>
                    <w:rPr>
                      <w:rFonts w:hint="eastAsia"/>
                      <w:color w:val="auto"/>
                      <w:kern w:val="0"/>
                      <w:szCs w:val="21"/>
                    </w:rPr>
                    <w:t>t/a</w:t>
                  </w:r>
                </w:p>
              </w:tc>
              <w:tc>
                <w:tcPr>
                  <w:tcW w:w="1491" w:type="dxa"/>
                  <w:vAlign w:val="center"/>
                </w:tcPr>
                <w:p>
                  <w:pPr>
                    <w:widowControl/>
                    <w:jc w:val="center"/>
                    <w:rPr>
                      <w:color w:val="auto"/>
                      <w:kern w:val="0"/>
                      <w:szCs w:val="21"/>
                    </w:rPr>
                  </w:pPr>
                  <w:r>
                    <w:rPr>
                      <w:color w:val="auto"/>
                      <w:kern w:val="0"/>
                      <w:szCs w:val="21"/>
                    </w:rPr>
                    <w:t>废水量</w:t>
                  </w:r>
                </w:p>
              </w:tc>
              <w:tc>
                <w:tcPr>
                  <w:tcW w:w="5165" w:type="dxa"/>
                  <w:gridSpan w:val="4"/>
                  <w:vAlign w:val="center"/>
                </w:tcPr>
                <w:p>
                  <w:pPr>
                    <w:widowControl/>
                    <w:jc w:val="center"/>
                    <w:rPr>
                      <w:color w:val="auto"/>
                      <w:kern w:val="0"/>
                      <w:szCs w:val="21"/>
                    </w:rPr>
                  </w:pPr>
                  <w:r>
                    <w:rPr>
                      <w:rFonts w:hint="eastAsia"/>
                      <w:color w:val="auto"/>
                      <w:szCs w:val="21"/>
                    </w:rPr>
                    <w:t>408.8</w:t>
                  </w:r>
                  <w:r>
                    <w:rPr>
                      <w:rFonts w:hint="eastAsia"/>
                      <w:color w:val="auto"/>
                      <w:kern w:val="0"/>
                      <w:szCs w:val="21"/>
                      <w:lang w:eastAsia="zh-CN"/>
                    </w:rPr>
                    <w:t>m³</w:t>
                  </w:r>
                  <w:r>
                    <w:rPr>
                      <w:color w:val="auto"/>
                      <w:kern w:val="0"/>
                      <w:szCs w:val="21"/>
                    </w:rPr>
                    <w: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6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tcMar>
                    <w:top w:w="0" w:type="dxa"/>
                    <w:left w:w="0" w:type="dxa"/>
                    <w:bottom w:w="0" w:type="dxa"/>
                    <w:right w:w="0" w:type="dxa"/>
                  </w:tcMar>
                  <w:vAlign w:val="center"/>
                </w:tcPr>
                <w:p>
                  <w:pPr>
                    <w:widowControl/>
                    <w:jc w:val="center"/>
                    <w:rPr>
                      <w:color w:val="auto"/>
                      <w:kern w:val="0"/>
                      <w:szCs w:val="21"/>
                    </w:rPr>
                  </w:pPr>
                  <w:r>
                    <w:rPr>
                      <w:color w:val="auto"/>
                      <w:kern w:val="0"/>
                      <w:szCs w:val="21"/>
                    </w:rPr>
                    <w:t>COD</w:t>
                  </w:r>
                </w:p>
              </w:tc>
              <w:tc>
                <w:tcPr>
                  <w:tcW w:w="1123" w:type="dxa"/>
                  <w:vAlign w:val="center"/>
                </w:tcPr>
                <w:p>
                  <w:pPr>
                    <w:jc w:val="center"/>
                    <w:rPr>
                      <w:rFonts w:hint="eastAsia"/>
                      <w:color w:val="auto"/>
                      <w:szCs w:val="21"/>
                    </w:rPr>
                  </w:pPr>
                  <w:r>
                    <w:rPr>
                      <w:rFonts w:hint="eastAsia"/>
                      <w:color w:val="auto"/>
                      <w:szCs w:val="21"/>
                    </w:rPr>
                    <w:t>0.12264</w:t>
                  </w:r>
                </w:p>
              </w:tc>
              <w:tc>
                <w:tcPr>
                  <w:tcW w:w="1026" w:type="dxa"/>
                  <w:vAlign w:val="center"/>
                </w:tcPr>
                <w:p>
                  <w:pPr>
                    <w:widowControl/>
                    <w:jc w:val="center"/>
                    <w:rPr>
                      <w:rFonts w:hint="eastAsia"/>
                      <w:color w:val="auto"/>
                      <w:kern w:val="0"/>
                      <w:szCs w:val="21"/>
                    </w:rPr>
                  </w:pPr>
                  <w:r>
                    <w:rPr>
                      <w:rFonts w:hint="eastAsia"/>
                      <w:color w:val="auto"/>
                      <w:kern w:val="0"/>
                      <w:szCs w:val="21"/>
                    </w:rPr>
                    <w:t>0.04088</w:t>
                  </w:r>
                </w:p>
              </w:tc>
              <w:tc>
                <w:tcPr>
                  <w:tcW w:w="2051" w:type="dxa"/>
                  <w:vMerge w:val="restart"/>
                  <w:vAlign w:val="center"/>
                </w:tcPr>
                <w:p>
                  <w:pPr>
                    <w:widowControl/>
                    <w:jc w:val="center"/>
                    <w:rPr>
                      <w:rFonts w:hint="eastAsia"/>
                      <w:color w:val="auto"/>
                      <w:kern w:val="0"/>
                      <w:szCs w:val="21"/>
                    </w:rPr>
                  </w:pPr>
                  <w:r>
                    <w:rPr>
                      <w:rFonts w:hint="eastAsia"/>
                      <w:color w:val="auto"/>
                      <w:kern w:val="0"/>
                      <w:szCs w:val="21"/>
                    </w:rPr>
                    <w:t>隔油池、化粪池预处理后用于周边农肥</w:t>
                  </w:r>
                </w:p>
              </w:tc>
              <w:tc>
                <w:tcPr>
                  <w:tcW w:w="965" w:type="dxa"/>
                  <w:vAlign w:val="center"/>
                </w:tcPr>
                <w:p>
                  <w:pPr>
                    <w:widowControl/>
                    <w:jc w:val="center"/>
                    <w:rPr>
                      <w:rFonts w:hint="eastAsia"/>
                      <w:color w:val="auto"/>
                      <w:kern w:val="0"/>
                      <w:szCs w:val="21"/>
                    </w:rPr>
                  </w:pPr>
                  <w:r>
                    <w:rPr>
                      <w:rFonts w:hint="eastAsia"/>
                      <w:color w:val="auto"/>
                      <w:szCs w:val="21"/>
                    </w:rPr>
                    <w:t>0.08176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BOD</w:t>
                  </w:r>
                  <w:r>
                    <w:rPr>
                      <w:color w:val="auto"/>
                      <w:kern w:val="0"/>
                      <w:szCs w:val="21"/>
                      <w:vertAlign w:val="subscript"/>
                    </w:rPr>
                    <w:t>5</w:t>
                  </w:r>
                </w:p>
              </w:tc>
              <w:tc>
                <w:tcPr>
                  <w:tcW w:w="1123" w:type="dxa"/>
                  <w:tcMar>
                    <w:top w:w="0" w:type="dxa"/>
                    <w:left w:w="0" w:type="dxa"/>
                    <w:bottom w:w="0" w:type="dxa"/>
                    <w:right w:w="0" w:type="dxa"/>
                  </w:tcMar>
                  <w:vAlign w:val="center"/>
                </w:tcPr>
                <w:p>
                  <w:pPr>
                    <w:jc w:val="center"/>
                    <w:rPr>
                      <w:rFonts w:hint="eastAsia"/>
                      <w:color w:val="auto"/>
                      <w:szCs w:val="21"/>
                    </w:rPr>
                  </w:pPr>
                  <w:r>
                    <w:rPr>
                      <w:rFonts w:hint="eastAsia"/>
                      <w:color w:val="auto"/>
                      <w:szCs w:val="21"/>
                    </w:rPr>
                    <w:t>0.06132</w:t>
                  </w:r>
                </w:p>
              </w:tc>
              <w:tc>
                <w:tcPr>
                  <w:tcW w:w="1026" w:type="dxa"/>
                  <w:vAlign w:val="center"/>
                </w:tcPr>
                <w:p>
                  <w:pPr>
                    <w:widowControl/>
                    <w:jc w:val="center"/>
                    <w:rPr>
                      <w:rFonts w:hint="eastAsia"/>
                      <w:color w:val="auto"/>
                      <w:kern w:val="0"/>
                      <w:szCs w:val="21"/>
                    </w:rPr>
                  </w:pPr>
                  <w:r>
                    <w:rPr>
                      <w:rFonts w:hint="eastAsia"/>
                      <w:color w:val="auto"/>
                      <w:kern w:val="0"/>
                      <w:szCs w:val="21"/>
                    </w:rPr>
                    <w:t>0.02044</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0.04088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SS</w:t>
                  </w:r>
                </w:p>
              </w:tc>
              <w:tc>
                <w:tcPr>
                  <w:tcW w:w="1123" w:type="dxa"/>
                  <w:tcMar>
                    <w:top w:w="0" w:type="dxa"/>
                    <w:left w:w="0" w:type="dxa"/>
                    <w:bottom w:w="0" w:type="dxa"/>
                    <w:right w:w="0" w:type="dxa"/>
                  </w:tcMar>
                  <w:vAlign w:val="center"/>
                </w:tcPr>
                <w:p>
                  <w:pPr>
                    <w:jc w:val="center"/>
                    <w:rPr>
                      <w:color w:val="auto"/>
                      <w:szCs w:val="21"/>
                    </w:rPr>
                  </w:pPr>
                  <w:r>
                    <w:rPr>
                      <w:rFonts w:hint="eastAsia"/>
                      <w:color w:val="auto"/>
                      <w:szCs w:val="21"/>
                    </w:rPr>
                    <w:t>0.08176</w:t>
                  </w:r>
                </w:p>
              </w:tc>
              <w:tc>
                <w:tcPr>
                  <w:tcW w:w="1026" w:type="dxa"/>
                  <w:vAlign w:val="center"/>
                </w:tcPr>
                <w:p>
                  <w:pPr>
                    <w:widowControl/>
                    <w:jc w:val="center"/>
                    <w:rPr>
                      <w:rFonts w:hint="eastAsia"/>
                      <w:color w:val="auto"/>
                      <w:kern w:val="0"/>
                      <w:szCs w:val="21"/>
                    </w:rPr>
                  </w:pPr>
                  <w:r>
                    <w:rPr>
                      <w:rFonts w:hint="eastAsia"/>
                      <w:color w:val="auto"/>
                      <w:kern w:val="0"/>
                      <w:szCs w:val="21"/>
                    </w:rPr>
                    <w:t>0.04088</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0.04088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NH</w:t>
                  </w:r>
                  <w:r>
                    <w:rPr>
                      <w:color w:val="auto"/>
                      <w:kern w:val="0"/>
                      <w:szCs w:val="21"/>
                      <w:vertAlign w:val="subscript"/>
                    </w:rPr>
                    <w:t>3</w:t>
                  </w:r>
                  <w:r>
                    <w:rPr>
                      <w:color w:val="auto"/>
                      <w:kern w:val="0"/>
                      <w:szCs w:val="21"/>
                    </w:rPr>
                    <w:t>-N</w:t>
                  </w:r>
                </w:p>
              </w:tc>
              <w:tc>
                <w:tcPr>
                  <w:tcW w:w="1123" w:type="dxa"/>
                  <w:vAlign w:val="center"/>
                </w:tcPr>
                <w:p>
                  <w:pPr>
                    <w:jc w:val="center"/>
                    <w:rPr>
                      <w:color w:val="auto"/>
                      <w:szCs w:val="21"/>
                    </w:rPr>
                  </w:pPr>
                  <w:r>
                    <w:rPr>
                      <w:rFonts w:hint="eastAsia"/>
                      <w:color w:val="auto"/>
                      <w:szCs w:val="21"/>
                    </w:rPr>
                    <w:t>0.012264</w:t>
                  </w:r>
                </w:p>
              </w:tc>
              <w:tc>
                <w:tcPr>
                  <w:tcW w:w="1026" w:type="dxa"/>
                  <w:vAlign w:val="center"/>
                </w:tcPr>
                <w:p>
                  <w:pPr>
                    <w:widowControl/>
                    <w:jc w:val="center"/>
                    <w:rPr>
                      <w:rFonts w:hint="eastAsia"/>
                      <w:color w:val="auto"/>
                      <w:kern w:val="0"/>
                      <w:szCs w:val="21"/>
                    </w:rPr>
                  </w:pPr>
                  <w:r>
                    <w:rPr>
                      <w:rFonts w:hint="eastAsia"/>
                      <w:color w:val="auto"/>
                      <w:kern w:val="0"/>
                      <w:szCs w:val="21"/>
                    </w:rPr>
                    <w:t>0.002044</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0.01022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restart"/>
                  <w:vAlign w:val="center"/>
                </w:tcPr>
                <w:p>
                  <w:pPr>
                    <w:widowControl/>
                    <w:jc w:val="center"/>
                    <w:rPr>
                      <w:rFonts w:hint="eastAsia"/>
                      <w:color w:val="auto"/>
                      <w:kern w:val="0"/>
                      <w:szCs w:val="21"/>
                    </w:rPr>
                  </w:pPr>
                  <w:r>
                    <w:rPr>
                      <w:rFonts w:hint="eastAsia"/>
                      <w:color w:val="auto"/>
                      <w:kern w:val="0"/>
                      <w:szCs w:val="21"/>
                    </w:rPr>
                    <w:t>沉淀池排泥水</w:t>
                  </w:r>
                </w:p>
                <w:p>
                  <w:pPr>
                    <w:widowControl/>
                    <w:jc w:val="center"/>
                    <w:rPr>
                      <w:rFonts w:hint="eastAsia"/>
                      <w:color w:val="auto"/>
                      <w:kern w:val="0"/>
                      <w:szCs w:val="21"/>
                    </w:rPr>
                  </w:pPr>
                  <w:r>
                    <w:rPr>
                      <w:rFonts w:hint="eastAsia"/>
                      <w:color w:val="auto"/>
                      <w:kern w:val="0"/>
                      <w:szCs w:val="21"/>
                    </w:rPr>
                    <w:t>t/a</w:t>
                  </w:r>
                </w:p>
              </w:tc>
              <w:tc>
                <w:tcPr>
                  <w:tcW w:w="1491" w:type="dxa"/>
                  <w:vAlign w:val="center"/>
                </w:tcPr>
                <w:p>
                  <w:pPr>
                    <w:widowControl/>
                    <w:jc w:val="center"/>
                    <w:rPr>
                      <w:color w:val="auto"/>
                      <w:kern w:val="0"/>
                      <w:szCs w:val="21"/>
                    </w:rPr>
                  </w:pPr>
                  <w:r>
                    <w:rPr>
                      <w:color w:val="auto"/>
                      <w:kern w:val="0"/>
                      <w:szCs w:val="21"/>
                    </w:rPr>
                    <w:t>废水量</w:t>
                  </w:r>
                </w:p>
              </w:tc>
              <w:tc>
                <w:tcPr>
                  <w:tcW w:w="1123" w:type="dxa"/>
                  <w:vAlign w:val="center"/>
                </w:tcPr>
                <w:p>
                  <w:pPr>
                    <w:widowControl/>
                    <w:jc w:val="center"/>
                    <w:rPr>
                      <w:rFonts w:hint="eastAsia"/>
                      <w:color w:val="auto"/>
                      <w:kern w:val="0"/>
                      <w:szCs w:val="21"/>
                    </w:rPr>
                  </w:pPr>
                  <w:r>
                    <w:rPr>
                      <w:rFonts w:hint="eastAsia"/>
                      <w:color w:val="auto"/>
                      <w:szCs w:val="21"/>
                    </w:rPr>
                    <w:t>22812.5</w:t>
                  </w:r>
                </w:p>
              </w:tc>
              <w:tc>
                <w:tcPr>
                  <w:tcW w:w="1026" w:type="dxa"/>
                  <w:vAlign w:val="center"/>
                </w:tcPr>
                <w:p>
                  <w:pPr>
                    <w:widowControl/>
                    <w:jc w:val="center"/>
                    <w:rPr>
                      <w:rFonts w:hint="eastAsia"/>
                      <w:color w:val="auto"/>
                      <w:kern w:val="0"/>
                      <w:szCs w:val="21"/>
                    </w:rPr>
                  </w:pPr>
                  <w:r>
                    <w:rPr>
                      <w:rFonts w:hint="eastAsia"/>
                      <w:color w:val="auto"/>
                      <w:kern w:val="0"/>
                      <w:szCs w:val="21"/>
                    </w:rPr>
                    <w:t>20531.25</w:t>
                  </w:r>
                </w:p>
              </w:tc>
              <w:tc>
                <w:tcPr>
                  <w:tcW w:w="2051" w:type="dxa"/>
                  <w:vMerge w:val="restart"/>
                  <w:vAlign w:val="center"/>
                </w:tcPr>
                <w:p>
                  <w:pPr>
                    <w:jc w:val="left"/>
                    <w:rPr>
                      <w:color w:val="auto"/>
                      <w:kern w:val="0"/>
                      <w:szCs w:val="21"/>
                    </w:rPr>
                  </w:pPr>
                  <w:r>
                    <w:rPr>
                      <w:rFonts w:hint="eastAsia"/>
                      <w:color w:val="auto"/>
                      <w:szCs w:val="21"/>
                    </w:rPr>
                    <w:t>沉淀池排泥水经污泥浓缩和脱水产生的废水与反冲洗水一起排放废水沉淀池沉淀处理后90%回用于原水，10%达标排放至黄金河</w:t>
                  </w:r>
                </w:p>
              </w:tc>
              <w:tc>
                <w:tcPr>
                  <w:tcW w:w="965" w:type="dxa"/>
                  <w:vAlign w:val="center"/>
                </w:tcPr>
                <w:p>
                  <w:pPr>
                    <w:widowControl/>
                    <w:jc w:val="center"/>
                    <w:rPr>
                      <w:rFonts w:hint="eastAsia"/>
                      <w:color w:val="auto"/>
                      <w:kern w:val="0"/>
                      <w:szCs w:val="21"/>
                    </w:rPr>
                  </w:pPr>
                  <w:r>
                    <w:rPr>
                      <w:rFonts w:hint="eastAsia"/>
                      <w:color w:val="auto"/>
                      <w:szCs w:val="21"/>
                    </w:rPr>
                    <w:t>2281.25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COD</w:t>
                  </w:r>
                </w:p>
              </w:tc>
              <w:tc>
                <w:tcPr>
                  <w:tcW w:w="1123" w:type="dxa"/>
                  <w:vAlign w:val="center"/>
                </w:tcPr>
                <w:p>
                  <w:pPr>
                    <w:jc w:val="center"/>
                    <w:rPr>
                      <w:rFonts w:hint="eastAsia"/>
                      <w:color w:val="auto"/>
                      <w:szCs w:val="21"/>
                    </w:rPr>
                  </w:pPr>
                  <w:r>
                    <w:rPr>
                      <w:rFonts w:hint="eastAsia"/>
                      <w:color w:val="auto"/>
                      <w:szCs w:val="21"/>
                    </w:rPr>
                    <w:t>1.14</w:t>
                  </w:r>
                </w:p>
              </w:tc>
              <w:tc>
                <w:tcPr>
                  <w:tcW w:w="1026" w:type="dxa"/>
                  <w:vAlign w:val="center"/>
                </w:tcPr>
                <w:p>
                  <w:pPr>
                    <w:jc w:val="center"/>
                    <w:rPr>
                      <w:rFonts w:hint="eastAsia"/>
                      <w:color w:val="auto"/>
                      <w:szCs w:val="21"/>
                    </w:rPr>
                  </w:pPr>
                  <w:r>
                    <w:rPr>
                      <w:rFonts w:hint="eastAsia"/>
                      <w:color w:val="auto"/>
                      <w:szCs w:val="21"/>
                    </w:rPr>
                    <w:t>1.026</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0.114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SS</w:t>
                  </w:r>
                </w:p>
              </w:tc>
              <w:tc>
                <w:tcPr>
                  <w:tcW w:w="1123" w:type="dxa"/>
                  <w:vAlign w:val="center"/>
                </w:tcPr>
                <w:p>
                  <w:pPr>
                    <w:jc w:val="center"/>
                    <w:rPr>
                      <w:rFonts w:hint="eastAsia"/>
                      <w:color w:val="auto"/>
                      <w:szCs w:val="21"/>
                    </w:rPr>
                  </w:pPr>
                  <w:r>
                    <w:rPr>
                      <w:rFonts w:hint="eastAsia"/>
                      <w:color w:val="auto"/>
                      <w:szCs w:val="21"/>
                    </w:rPr>
                    <w:t>6.85</w:t>
                  </w:r>
                </w:p>
              </w:tc>
              <w:tc>
                <w:tcPr>
                  <w:tcW w:w="1026" w:type="dxa"/>
                  <w:vAlign w:val="center"/>
                </w:tcPr>
                <w:p>
                  <w:pPr>
                    <w:jc w:val="center"/>
                    <w:rPr>
                      <w:rFonts w:hint="eastAsia"/>
                      <w:color w:val="auto"/>
                      <w:szCs w:val="21"/>
                    </w:rPr>
                  </w:pPr>
                  <w:r>
                    <w:rPr>
                      <w:rFonts w:hint="eastAsia"/>
                      <w:color w:val="auto"/>
                      <w:szCs w:val="21"/>
                    </w:rPr>
                    <w:t>6.69</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0.16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2" w:hRule="atLeast"/>
                <w:jc w:val="center"/>
              </w:trPr>
              <w:tc>
                <w:tcPr>
                  <w:tcW w:w="862" w:type="dxa"/>
                  <w:vMerge w:val="continue"/>
                  <w:vAlign w:val="center"/>
                </w:tcPr>
                <w:p>
                  <w:pPr>
                    <w:widowControl/>
                    <w:jc w:val="left"/>
                    <w:rPr>
                      <w:color w:val="auto"/>
                      <w:kern w:val="0"/>
                      <w:szCs w:val="21"/>
                    </w:rPr>
                  </w:pPr>
                </w:p>
              </w:tc>
              <w:tc>
                <w:tcPr>
                  <w:tcW w:w="861" w:type="dxa"/>
                  <w:vMerge w:val="restart"/>
                  <w:vAlign w:val="center"/>
                </w:tcPr>
                <w:p>
                  <w:pPr>
                    <w:jc w:val="center"/>
                    <w:rPr>
                      <w:rFonts w:hint="eastAsia"/>
                      <w:color w:val="auto"/>
                      <w:szCs w:val="21"/>
                    </w:rPr>
                  </w:pPr>
                  <w:r>
                    <w:rPr>
                      <w:rFonts w:hint="eastAsia"/>
                      <w:color w:val="auto"/>
                      <w:szCs w:val="21"/>
                    </w:rPr>
                    <w:t>滤池反</w:t>
                  </w:r>
                </w:p>
                <w:p>
                  <w:pPr>
                    <w:jc w:val="center"/>
                    <w:rPr>
                      <w:rFonts w:hint="eastAsia"/>
                      <w:color w:val="auto"/>
                      <w:szCs w:val="21"/>
                    </w:rPr>
                  </w:pPr>
                  <w:r>
                    <w:rPr>
                      <w:rFonts w:hint="eastAsia"/>
                      <w:color w:val="auto"/>
                      <w:szCs w:val="21"/>
                    </w:rPr>
                    <w:t>冲洗水</w:t>
                  </w:r>
                </w:p>
                <w:p>
                  <w:pPr>
                    <w:jc w:val="center"/>
                    <w:rPr>
                      <w:rFonts w:hint="eastAsia"/>
                      <w:color w:val="auto"/>
                      <w:szCs w:val="21"/>
                    </w:rPr>
                  </w:pPr>
                  <w:r>
                    <w:rPr>
                      <w:rFonts w:hint="eastAsia"/>
                      <w:color w:val="auto"/>
                      <w:kern w:val="0"/>
                      <w:szCs w:val="21"/>
                    </w:rPr>
                    <w:t>t/a</w:t>
                  </w:r>
                </w:p>
              </w:tc>
              <w:tc>
                <w:tcPr>
                  <w:tcW w:w="1491" w:type="dxa"/>
                  <w:vAlign w:val="center"/>
                </w:tcPr>
                <w:p>
                  <w:pPr>
                    <w:widowControl/>
                    <w:jc w:val="center"/>
                    <w:rPr>
                      <w:color w:val="auto"/>
                      <w:kern w:val="0"/>
                      <w:szCs w:val="21"/>
                    </w:rPr>
                  </w:pPr>
                  <w:r>
                    <w:rPr>
                      <w:color w:val="auto"/>
                      <w:kern w:val="0"/>
                      <w:szCs w:val="21"/>
                    </w:rPr>
                    <w:t>废水量</w:t>
                  </w:r>
                </w:p>
              </w:tc>
              <w:tc>
                <w:tcPr>
                  <w:tcW w:w="1123" w:type="dxa"/>
                  <w:vAlign w:val="center"/>
                </w:tcPr>
                <w:p>
                  <w:pPr>
                    <w:widowControl/>
                    <w:jc w:val="center"/>
                    <w:rPr>
                      <w:rFonts w:hint="eastAsia"/>
                      <w:color w:val="auto"/>
                      <w:kern w:val="0"/>
                      <w:szCs w:val="21"/>
                    </w:rPr>
                  </w:pPr>
                  <w:r>
                    <w:rPr>
                      <w:rFonts w:hint="eastAsia"/>
                      <w:color w:val="auto"/>
                      <w:szCs w:val="21"/>
                    </w:rPr>
                    <w:t>643860</w:t>
                  </w:r>
                </w:p>
              </w:tc>
              <w:tc>
                <w:tcPr>
                  <w:tcW w:w="1026" w:type="dxa"/>
                  <w:vAlign w:val="center"/>
                </w:tcPr>
                <w:p>
                  <w:pPr>
                    <w:widowControl/>
                    <w:jc w:val="center"/>
                    <w:rPr>
                      <w:rFonts w:hint="eastAsia"/>
                      <w:color w:val="auto"/>
                      <w:kern w:val="0"/>
                      <w:szCs w:val="21"/>
                    </w:rPr>
                  </w:pPr>
                  <w:r>
                    <w:rPr>
                      <w:rFonts w:hint="eastAsia"/>
                      <w:color w:val="auto"/>
                      <w:kern w:val="0"/>
                      <w:szCs w:val="21"/>
                    </w:rPr>
                    <w:t>579474</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szCs w:val="21"/>
                    </w:rPr>
                    <w:t>64386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1"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COD</w:t>
                  </w:r>
                </w:p>
              </w:tc>
              <w:tc>
                <w:tcPr>
                  <w:tcW w:w="1123" w:type="dxa"/>
                  <w:vAlign w:val="center"/>
                </w:tcPr>
                <w:p>
                  <w:pPr>
                    <w:widowControl/>
                    <w:jc w:val="center"/>
                    <w:rPr>
                      <w:rFonts w:hint="eastAsia"/>
                      <w:color w:val="auto"/>
                      <w:kern w:val="0"/>
                      <w:szCs w:val="21"/>
                    </w:rPr>
                  </w:pPr>
                  <w:r>
                    <w:rPr>
                      <w:rFonts w:hint="eastAsia"/>
                      <w:color w:val="auto"/>
                      <w:szCs w:val="21"/>
                    </w:rPr>
                    <w:t>27.92</w:t>
                  </w:r>
                </w:p>
              </w:tc>
              <w:tc>
                <w:tcPr>
                  <w:tcW w:w="1026" w:type="dxa"/>
                  <w:vAlign w:val="center"/>
                </w:tcPr>
                <w:p>
                  <w:pPr>
                    <w:widowControl/>
                    <w:jc w:val="center"/>
                    <w:rPr>
                      <w:rFonts w:hint="eastAsia"/>
                      <w:color w:val="auto"/>
                      <w:kern w:val="0"/>
                      <w:szCs w:val="21"/>
                    </w:rPr>
                  </w:pPr>
                  <w:r>
                    <w:rPr>
                      <w:rFonts w:hint="eastAsia"/>
                      <w:color w:val="auto"/>
                      <w:kern w:val="0"/>
                      <w:szCs w:val="21"/>
                    </w:rPr>
                    <w:t>25.128</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2.792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75"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color w:val="auto"/>
                      <w:kern w:val="0"/>
                      <w:szCs w:val="21"/>
                    </w:rPr>
                  </w:pPr>
                  <w:r>
                    <w:rPr>
                      <w:color w:val="auto"/>
                      <w:kern w:val="0"/>
                      <w:szCs w:val="21"/>
                    </w:rPr>
                    <w:t>SS</w:t>
                  </w:r>
                </w:p>
              </w:tc>
              <w:tc>
                <w:tcPr>
                  <w:tcW w:w="1123" w:type="dxa"/>
                  <w:vAlign w:val="center"/>
                </w:tcPr>
                <w:p>
                  <w:pPr>
                    <w:widowControl/>
                    <w:jc w:val="center"/>
                    <w:rPr>
                      <w:rFonts w:hint="eastAsia"/>
                      <w:color w:val="auto"/>
                      <w:kern w:val="0"/>
                      <w:szCs w:val="21"/>
                    </w:rPr>
                  </w:pPr>
                  <w:r>
                    <w:rPr>
                      <w:rFonts w:hint="eastAsia"/>
                      <w:color w:val="auto"/>
                      <w:szCs w:val="21"/>
                    </w:rPr>
                    <w:t>166.84</w:t>
                  </w:r>
                </w:p>
              </w:tc>
              <w:tc>
                <w:tcPr>
                  <w:tcW w:w="1026" w:type="dxa"/>
                  <w:vAlign w:val="center"/>
                </w:tcPr>
                <w:p>
                  <w:pPr>
                    <w:widowControl/>
                    <w:jc w:val="center"/>
                    <w:rPr>
                      <w:rFonts w:hint="eastAsia"/>
                      <w:color w:val="auto"/>
                      <w:kern w:val="0"/>
                      <w:szCs w:val="21"/>
                    </w:rPr>
                  </w:pPr>
                  <w:r>
                    <w:rPr>
                      <w:rFonts w:hint="eastAsia"/>
                      <w:color w:val="auto"/>
                      <w:kern w:val="0"/>
                      <w:szCs w:val="21"/>
                    </w:rPr>
                    <w:t>162.33</w:t>
                  </w:r>
                </w:p>
              </w:tc>
              <w:tc>
                <w:tcPr>
                  <w:tcW w:w="2051" w:type="dxa"/>
                  <w:vMerge w:val="continue"/>
                  <w:vAlign w:val="center"/>
                </w:tcPr>
                <w:p>
                  <w:pPr>
                    <w:widowControl/>
                    <w:jc w:val="left"/>
                    <w:rPr>
                      <w:color w:val="auto"/>
                      <w:kern w:val="0"/>
                      <w:szCs w:val="21"/>
                    </w:rPr>
                  </w:pPr>
                </w:p>
              </w:tc>
              <w:tc>
                <w:tcPr>
                  <w:tcW w:w="965" w:type="dxa"/>
                  <w:vAlign w:val="center"/>
                </w:tcPr>
                <w:p>
                  <w:pPr>
                    <w:widowControl/>
                    <w:jc w:val="center"/>
                    <w:rPr>
                      <w:rFonts w:hint="eastAsia"/>
                      <w:color w:val="auto"/>
                      <w:kern w:val="0"/>
                      <w:szCs w:val="21"/>
                    </w:rPr>
                  </w:pPr>
                  <w:r>
                    <w:rPr>
                      <w:rFonts w:hint="eastAsia"/>
                      <w:color w:val="auto"/>
                      <w:kern w:val="0"/>
                      <w:szCs w:val="21"/>
                    </w:rPr>
                    <w:t>4.51</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52" w:hRule="atLeast"/>
                <w:jc w:val="center"/>
              </w:trPr>
              <w:tc>
                <w:tcPr>
                  <w:tcW w:w="862" w:type="dxa"/>
                  <w:vMerge w:val="restart"/>
                  <w:vAlign w:val="center"/>
                </w:tcPr>
                <w:p>
                  <w:pPr>
                    <w:widowControl/>
                    <w:jc w:val="center"/>
                    <w:rPr>
                      <w:color w:val="auto"/>
                      <w:kern w:val="0"/>
                      <w:szCs w:val="21"/>
                    </w:rPr>
                  </w:pPr>
                  <w:r>
                    <w:rPr>
                      <w:color w:val="auto"/>
                      <w:kern w:val="0"/>
                      <w:szCs w:val="21"/>
                    </w:rPr>
                    <w:t>废气</w:t>
                  </w:r>
                </w:p>
              </w:tc>
              <w:tc>
                <w:tcPr>
                  <w:tcW w:w="861" w:type="dxa"/>
                  <w:vAlign w:val="center"/>
                </w:tcPr>
                <w:p>
                  <w:pPr>
                    <w:widowControl/>
                    <w:jc w:val="center"/>
                    <w:rPr>
                      <w:rFonts w:hint="eastAsia"/>
                      <w:color w:val="auto"/>
                      <w:kern w:val="0"/>
                      <w:szCs w:val="21"/>
                    </w:rPr>
                  </w:pPr>
                  <w:r>
                    <w:rPr>
                      <w:rFonts w:hint="eastAsia"/>
                      <w:color w:val="auto"/>
                      <w:kern w:val="0"/>
                      <w:szCs w:val="21"/>
                    </w:rPr>
                    <w:t>加药间</w:t>
                  </w:r>
                </w:p>
              </w:tc>
              <w:tc>
                <w:tcPr>
                  <w:tcW w:w="1491" w:type="dxa"/>
                  <w:vAlign w:val="center"/>
                </w:tcPr>
                <w:p>
                  <w:pPr>
                    <w:widowControl/>
                    <w:jc w:val="center"/>
                    <w:rPr>
                      <w:color w:val="auto"/>
                      <w:kern w:val="0"/>
                      <w:szCs w:val="21"/>
                    </w:rPr>
                  </w:pPr>
                  <w:r>
                    <w:rPr>
                      <w:rFonts w:hint="eastAsia"/>
                      <w:color w:val="auto"/>
                      <w:kern w:val="0"/>
                      <w:szCs w:val="21"/>
                    </w:rPr>
                    <w:t>盐酸雾</w:t>
                  </w:r>
                </w:p>
              </w:tc>
              <w:tc>
                <w:tcPr>
                  <w:tcW w:w="1123" w:type="dxa"/>
                  <w:vAlign w:val="center"/>
                </w:tcPr>
                <w:p>
                  <w:pPr>
                    <w:widowControl/>
                    <w:jc w:val="center"/>
                    <w:rPr>
                      <w:color w:val="auto"/>
                      <w:kern w:val="0"/>
                      <w:szCs w:val="21"/>
                    </w:rPr>
                  </w:pPr>
                  <w:r>
                    <w:rPr>
                      <w:color w:val="auto"/>
                      <w:kern w:val="0"/>
                      <w:szCs w:val="21"/>
                    </w:rPr>
                    <w:t>少量</w:t>
                  </w:r>
                </w:p>
              </w:tc>
              <w:tc>
                <w:tcPr>
                  <w:tcW w:w="1026" w:type="dxa"/>
                  <w:vAlign w:val="center"/>
                </w:tcPr>
                <w:p>
                  <w:pPr>
                    <w:widowControl/>
                    <w:jc w:val="center"/>
                    <w:rPr>
                      <w:color w:val="auto"/>
                      <w:kern w:val="0"/>
                      <w:szCs w:val="21"/>
                    </w:rPr>
                  </w:pPr>
                  <w:r>
                    <w:rPr>
                      <w:color w:val="auto"/>
                      <w:kern w:val="0"/>
                      <w:szCs w:val="21"/>
                    </w:rPr>
                    <w:t>—</w:t>
                  </w:r>
                </w:p>
              </w:tc>
              <w:tc>
                <w:tcPr>
                  <w:tcW w:w="2051" w:type="dxa"/>
                  <w:vAlign w:val="center"/>
                </w:tcPr>
                <w:p>
                  <w:pPr>
                    <w:widowControl/>
                    <w:jc w:val="center"/>
                    <w:rPr>
                      <w:rFonts w:hint="eastAsia"/>
                      <w:color w:val="auto"/>
                      <w:kern w:val="0"/>
                      <w:szCs w:val="21"/>
                    </w:rPr>
                  </w:pPr>
                  <w:r>
                    <w:rPr>
                      <w:rFonts w:hint="eastAsia"/>
                      <w:color w:val="auto"/>
                      <w:kern w:val="0"/>
                      <w:szCs w:val="21"/>
                    </w:rPr>
                    <w:t>将强加药间的通风</w:t>
                  </w:r>
                </w:p>
              </w:tc>
              <w:tc>
                <w:tcPr>
                  <w:tcW w:w="965" w:type="dxa"/>
                  <w:vAlign w:val="center"/>
                </w:tcPr>
                <w:p>
                  <w:pPr>
                    <w:widowControl/>
                    <w:jc w:val="center"/>
                    <w:rPr>
                      <w:color w:val="auto"/>
                      <w:kern w:val="0"/>
                      <w:szCs w:val="21"/>
                    </w:rPr>
                  </w:pPr>
                  <w:r>
                    <w:rPr>
                      <w:color w:val="auto"/>
                      <w:kern w:val="0"/>
                      <w:szCs w:val="21"/>
                    </w:rPr>
                    <w:t>少量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2" w:hRule="atLeast"/>
                <w:jc w:val="center"/>
              </w:trPr>
              <w:tc>
                <w:tcPr>
                  <w:tcW w:w="862" w:type="dxa"/>
                  <w:vMerge w:val="continue"/>
                  <w:vAlign w:val="center"/>
                </w:tcPr>
                <w:p>
                  <w:pPr>
                    <w:widowControl/>
                    <w:jc w:val="left"/>
                    <w:rPr>
                      <w:color w:val="auto"/>
                      <w:kern w:val="0"/>
                      <w:szCs w:val="21"/>
                    </w:rPr>
                  </w:pPr>
                </w:p>
              </w:tc>
              <w:tc>
                <w:tcPr>
                  <w:tcW w:w="861" w:type="dxa"/>
                  <w:vAlign w:val="center"/>
                </w:tcPr>
                <w:p>
                  <w:pPr>
                    <w:widowControl/>
                    <w:jc w:val="center"/>
                    <w:rPr>
                      <w:rFonts w:hint="eastAsia"/>
                      <w:color w:val="auto"/>
                      <w:kern w:val="0"/>
                      <w:szCs w:val="21"/>
                    </w:rPr>
                  </w:pPr>
                  <w:r>
                    <w:rPr>
                      <w:rFonts w:hint="eastAsia"/>
                      <w:color w:val="auto"/>
                      <w:kern w:val="0"/>
                      <w:szCs w:val="21"/>
                    </w:rPr>
                    <w:t>发电机尾气kg/a</w:t>
                  </w:r>
                </w:p>
              </w:tc>
              <w:tc>
                <w:tcPr>
                  <w:tcW w:w="1491" w:type="dxa"/>
                  <w:vAlign w:val="center"/>
                </w:tcPr>
                <w:p>
                  <w:pPr>
                    <w:widowControl/>
                    <w:snapToGrid w:val="0"/>
                    <w:jc w:val="center"/>
                    <w:rPr>
                      <w:rFonts w:hint="eastAsia"/>
                      <w:color w:val="auto"/>
                      <w:kern w:val="0"/>
                      <w:szCs w:val="21"/>
                    </w:rPr>
                  </w:pPr>
                  <w:r>
                    <w:rPr>
                      <w:color w:val="auto"/>
                      <w:kern w:val="0"/>
                      <w:szCs w:val="21"/>
                    </w:rPr>
                    <w:t>SO</w:t>
                  </w:r>
                  <w:r>
                    <w:rPr>
                      <w:color w:val="auto"/>
                      <w:kern w:val="0"/>
                      <w:szCs w:val="21"/>
                      <w:vertAlign w:val="subscript"/>
                    </w:rPr>
                    <w:t>2</w:t>
                  </w:r>
                </w:p>
                <w:p>
                  <w:pPr>
                    <w:widowControl/>
                    <w:snapToGrid w:val="0"/>
                    <w:jc w:val="center"/>
                    <w:rPr>
                      <w:rFonts w:hint="eastAsia"/>
                      <w:color w:val="auto"/>
                      <w:kern w:val="0"/>
                      <w:szCs w:val="21"/>
                    </w:rPr>
                  </w:pPr>
                  <w:r>
                    <w:rPr>
                      <w:color w:val="auto"/>
                      <w:kern w:val="0"/>
                      <w:szCs w:val="21"/>
                    </w:rPr>
                    <w:t>CO</w:t>
                  </w:r>
                </w:p>
                <w:p>
                  <w:pPr>
                    <w:widowControl/>
                    <w:snapToGrid w:val="0"/>
                    <w:jc w:val="center"/>
                    <w:rPr>
                      <w:rFonts w:hint="eastAsia"/>
                      <w:color w:val="auto"/>
                      <w:kern w:val="0"/>
                      <w:szCs w:val="21"/>
                    </w:rPr>
                  </w:pPr>
                  <w:r>
                    <w:rPr>
                      <w:rFonts w:hint="eastAsia"/>
                      <w:color w:val="auto"/>
                      <w:kern w:val="0"/>
                      <w:szCs w:val="21"/>
                    </w:rPr>
                    <w:t>烟尘</w:t>
                  </w:r>
                </w:p>
                <w:p>
                  <w:pPr>
                    <w:widowControl/>
                    <w:snapToGrid w:val="0"/>
                    <w:jc w:val="center"/>
                    <w:rPr>
                      <w:color w:val="auto"/>
                      <w:kern w:val="0"/>
                      <w:szCs w:val="21"/>
                    </w:rPr>
                  </w:pPr>
                  <w:r>
                    <w:rPr>
                      <w:color w:val="auto"/>
                      <w:kern w:val="0"/>
                      <w:szCs w:val="21"/>
                    </w:rPr>
                    <w:t>NO</w:t>
                  </w:r>
                  <w:r>
                    <w:rPr>
                      <w:color w:val="auto"/>
                      <w:kern w:val="0"/>
                      <w:szCs w:val="21"/>
                      <w:vertAlign w:val="subscript"/>
                    </w:rPr>
                    <w:t>2</w:t>
                  </w:r>
                </w:p>
              </w:tc>
              <w:tc>
                <w:tcPr>
                  <w:tcW w:w="1123" w:type="dxa"/>
                  <w:vAlign w:val="center"/>
                </w:tcPr>
                <w:p>
                  <w:pPr>
                    <w:widowControl/>
                    <w:jc w:val="center"/>
                    <w:rPr>
                      <w:rFonts w:hint="eastAsia"/>
                      <w:bCs/>
                      <w:color w:val="auto"/>
                      <w:szCs w:val="21"/>
                    </w:rPr>
                  </w:pPr>
                  <w:r>
                    <w:rPr>
                      <w:rFonts w:hint="eastAsia"/>
                      <w:bCs/>
                      <w:color w:val="auto"/>
                      <w:szCs w:val="21"/>
                    </w:rPr>
                    <w:t>4.34</w:t>
                  </w:r>
                </w:p>
                <w:p>
                  <w:pPr>
                    <w:widowControl/>
                    <w:jc w:val="center"/>
                    <w:rPr>
                      <w:rFonts w:hint="eastAsia"/>
                      <w:color w:val="auto"/>
                      <w:kern w:val="0"/>
                      <w:szCs w:val="21"/>
                    </w:rPr>
                  </w:pPr>
                  <w:r>
                    <w:rPr>
                      <w:rFonts w:hint="eastAsia"/>
                      <w:color w:val="auto"/>
                      <w:kern w:val="0"/>
                      <w:szCs w:val="21"/>
                    </w:rPr>
                    <w:t>1.65</w:t>
                  </w:r>
                </w:p>
                <w:p>
                  <w:pPr>
                    <w:widowControl/>
                    <w:jc w:val="center"/>
                    <w:rPr>
                      <w:rFonts w:hint="eastAsia"/>
                      <w:bCs/>
                      <w:color w:val="auto"/>
                      <w:szCs w:val="21"/>
                    </w:rPr>
                  </w:pPr>
                  <w:r>
                    <w:rPr>
                      <w:color w:val="auto"/>
                      <w:kern w:val="0"/>
                      <w:szCs w:val="21"/>
                    </w:rPr>
                    <w:t>0.81</w:t>
                  </w:r>
                </w:p>
                <w:p>
                  <w:pPr>
                    <w:widowControl/>
                    <w:jc w:val="center"/>
                    <w:rPr>
                      <w:rFonts w:hint="eastAsia"/>
                      <w:color w:val="auto"/>
                      <w:kern w:val="0"/>
                      <w:szCs w:val="21"/>
                    </w:rPr>
                  </w:pPr>
                  <w:r>
                    <w:rPr>
                      <w:rFonts w:hint="eastAsia"/>
                      <w:color w:val="auto"/>
                      <w:kern w:val="0"/>
                      <w:szCs w:val="21"/>
                    </w:rPr>
                    <w:t>2.8</w:t>
                  </w:r>
                </w:p>
              </w:tc>
              <w:tc>
                <w:tcPr>
                  <w:tcW w:w="1026" w:type="dxa"/>
                  <w:vAlign w:val="center"/>
                </w:tcPr>
                <w:p>
                  <w:pPr>
                    <w:widowControl/>
                    <w:jc w:val="center"/>
                    <w:rPr>
                      <w:color w:val="auto"/>
                      <w:kern w:val="0"/>
                      <w:szCs w:val="21"/>
                    </w:rPr>
                  </w:pPr>
                  <w:r>
                    <w:rPr>
                      <w:color w:val="auto"/>
                      <w:kern w:val="0"/>
                      <w:szCs w:val="21"/>
                    </w:rPr>
                    <w:t>—</w:t>
                  </w:r>
                </w:p>
              </w:tc>
              <w:tc>
                <w:tcPr>
                  <w:tcW w:w="2051" w:type="dxa"/>
                  <w:vAlign w:val="center"/>
                </w:tcPr>
                <w:p>
                  <w:pPr>
                    <w:widowControl/>
                    <w:rPr>
                      <w:rFonts w:hint="eastAsia"/>
                      <w:color w:val="auto"/>
                      <w:kern w:val="0"/>
                      <w:szCs w:val="21"/>
                    </w:rPr>
                  </w:pPr>
                  <w:r>
                    <w:rPr>
                      <w:rFonts w:hint="eastAsia"/>
                      <w:color w:val="auto"/>
                      <w:kern w:val="0"/>
                      <w:szCs w:val="21"/>
                    </w:rPr>
                    <w:t>由专用管道引至所在建筑物楼顶高空排放</w:t>
                  </w:r>
                </w:p>
              </w:tc>
              <w:tc>
                <w:tcPr>
                  <w:tcW w:w="965" w:type="dxa"/>
                  <w:vAlign w:val="center"/>
                </w:tcPr>
                <w:p>
                  <w:pPr>
                    <w:widowControl/>
                    <w:jc w:val="center"/>
                    <w:rPr>
                      <w:rFonts w:hint="eastAsia"/>
                      <w:bCs/>
                      <w:color w:val="auto"/>
                      <w:szCs w:val="21"/>
                    </w:rPr>
                  </w:pPr>
                  <w:r>
                    <w:rPr>
                      <w:rFonts w:hint="eastAsia"/>
                      <w:bCs/>
                      <w:color w:val="auto"/>
                      <w:szCs w:val="21"/>
                    </w:rPr>
                    <w:t>4.34</w:t>
                  </w:r>
                </w:p>
                <w:p>
                  <w:pPr>
                    <w:widowControl/>
                    <w:jc w:val="center"/>
                    <w:rPr>
                      <w:rFonts w:hint="eastAsia"/>
                      <w:color w:val="auto"/>
                      <w:kern w:val="0"/>
                      <w:szCs w:val="21"/>
                    </w:rPr>
                  </w:pPr>
                  <w:r>
                    <w:rPr>
                      <w:rFonts w:hint="eastAsia"/>
                      <w:color w:val="auto"/>
                      <w:kern w:val="0"/>
                      <w:szCs w:val="21"/>
                    </w:rPr>
                    <w:t>1.65</w:t>
                  </w:r>
                </w:p>
                <w:p>
                  <w:pPr>
                    <w:widowControl/>
                    <w:jc w:val="center"/>
                    <w:rPr>
                      <w:rFonts w:hint="eastAsia"/>
                      <w:bCs/>
                      <w:color w:val="auto"/>
                      <w:szCs w:val="21"/>
                    </w:rPr>
                  </w:pPr>
                  <w:r>
                    <w:rPr>
                      <w:color w:val="auto"/>
                      <w:kern w:val="0"/>
                      <w:szCs w:val="21"/>
                    </w:rPr>
                    <w:t>0.81</w:t>
                  </w:r>
                </w:p>
                <w:p>
                  <w:pPr>
                    <w:widowControl/>
                    <w:jc w:val="center"/>
                    <w:rPr>
                      <w:color w:val="auto"/>
                      <w:kern w:val="0"/>
                      <w:szCs w:val="21"/>
                    </w:rPr>
                  </w:pPr>
                  <w:r>
                    <w:rPr>
                      <w:rFonts w:hint="eastAsia"/>
                      <w:color w:val="auto"/>
                      <w:kern w:val="0"/>
                      <w:szCs w:val="21"/>
                    </w:rPr>
                    <w:t>2.8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07" w:hRule="atLeast"/>
                <w:jc w:val="center"/>
              </w:trPr>
              <w:tc>
                <w:tcPr>
                  <w:tcW w:w="862" w:type="dxa"/>
                  <w:vMerge w:val="continue"/>
                  <w:vAlign w:val="center"/>
                </w:tcPr>
                <w:p>
                  <w:pPr>
                    <w:widowControl/>
                    <w:jc w:val="left"/>
                    <w:rPr>
                      <w:color w:val="auto"/>
                      <w:kern w:val="0"/>
                      <w:szCs w:val="21"/>
                    </w:rPr>
                  </w:pPr>
                </w:p>
              </w:tc>
              <w:tc>
                <w:tcPr>
                  <w:tcW w:w="861" w:type="dxa"/>
                  <w:vAlign w:val="center"/>
                </w:tcPr>
                <w:p>
                  <w:pPr>
                    <w:widowControl/>
                    <w:jc w:val="center"/>
                    <w:rPr>
                      <w:rFonts w:hint="eastAsia"/>
                      <w:color w:val="auto"/>
                      <w:kern w:val="0"/>
                      <w:szCs w:val="21"/>
                    </w:rPr>
                  </w:pPr>
                  <w:r>
                    <w:rPr>
                      <w:rFonts w:hint="eastAsia"/>
                      <w:color w:val="auto"/>
                      <w:kern w:val="0"/>
                      <w:szCs w:val="21"/>
                    </w:rPr>
                    <w:t>食堂</w:t>
                  </w:r>
                </w:p>
                <w:p>
                  <w:pPr>
                    <w:widowControl/>
                    <w:jc w:val="center"/>
                    <w:rPr>
                      <w:rFonts w:hint="eastAsia"/>
                      <w:color w:val="auto"/>
                      <w:kern w:val="0"/>
                      <w:szCs w:val="21"/>
                    </w:rPr>
                  </w:pPr>
                  <w:r>
                    <w:rPr>
                      <w:rFonts w:hint="eastAsia"/>
                      <w:color w:val="auto"/>
                      <w:kern w:val="0"/>
                      <w:szCs w:val="21"/>
                    </w:rPr>
                    <w:t>油烟</w:t>
                  </w:r>
                </w:p>
              </w:tc>
              <w:tc>
                <w:tcPr>
                  <w:tcW w:w="1491" w:type="dxa"/>
                  <w:vAlign w:val="center"/>
                </w:tcPr>
                <w:p>
                  <w:pPr>
                    <w:widowControl/>
                    <w:jc w:val="center"/>
                    <w:rPr>
                      <w:rFonts w:hint="eastAsia"/>
                      <w:color w:val="auto"/>
                      <w:kern w:val="0"/>
                      <w:szCs w:val="21"/>
                    </w:rPr>
                  </w:pPr>
                  <w:r>
                    <w:rPr>
                      <w:rFonts w:hint="eastAsia"/>
                      <w:color w:val="auto"/>
                      <w:kern w:val="0"/>
                      <w:szCs w:val="21"/>
                    </w:rPr>
                    <w:t>油烟</w:t>
                  </w:r>
                </w:p>
              </w:tc>
              <w:tc>
                <w:tcPr>
                  <w:tcW w:w="1123" w:type="dxa"/>
                  <w:vAlign w:val="center"/>
                </w:tcPr>
                <w:p>
                  <w:pPr>
                    <w:widowControl/>
                    <w:jc w:val="center"/>
                    <w:rPr>
                      <w:color w:val="auto"/>
                      <w:kern w:val="0"/>
                      <w:szCs w:val="21"/>
                    </w:rPr>
                  </w:pPr>
                  <w:r>
                    <w:rPr>
                      <w:color w:val="auto"/>
                      <w:kern w:val="0"/>
                      <w:szCs w:val="21"/>
                    </w:rPr>
                    <w:t>少量</w:t>
                  </w:r>
                </w:p>
              </w:tc>
              <w:tc>
                <w:tcPr>
                  <w:tcW w:w="1026" w:type="dxa"/>
                  <w:vAlign w:val="center"/>
                </w:tcPr>
                <w:p>
                  <w:pPr>
                    <w:widowControl/>
                    <w:jc w:val="center"/>
                    <w:rPr>
                      <w:color w:val="auto"/>
                      <w:kern w:val="0"/>
                      <w:szCs w:val="21"/>
                    </w:rPr>
                  </w:pPr>
                  <w:r>
                    <w:rPr>
                      <w:color w:val="auto"/>
                      <w:kern w:val="0"/>
                      <w:szCs w:val="21"/>
                    </w:rPr>
                    <w:t>—</w:t>
                  </w:r>
                </w:p>
              </w:tc>
              <w:tc>
                <w:tcPr>
                  <w:tcW w:w="2051" w:type="dxa"/>
                  <w:vAlign w:val="center"/>
                </w:tcPr>
                <w:p>
                  <w:pPr>
                    <w:widowControl/>
                    <w:jc w:val="center"/>
                    <w:rPr>
                      <w:rFonts w:hint="eastAsia"/>
                      <w:color w:val="auto"/>
                      <w:kern w:val="0"/>
                      <w:szCs w:val="21"/>
                    </w:rPr>
                  </w:pPr>
                  <w:r>
                    <w:rPr>
                      <w:rFonts w:hint="eastAsia"/>
                      <w:color w:val="auto"/>
                      <w:kern w:val="0"/>
                      <w:szCs w:val="21"/>
                    </w:rPr>
                    <w:t>排气扇外排</w:t>
                  </w:r>
                </w:p>
              </w:tc>
              <w:tc>
                <w:tcPr>
                  <w:tcW w:w="965" w:type="dxa"/>
                  <w:vAlign w:val="center"/>
                </w:tcPr>
                <w:p>
                  <w:pPr>
                    <w:widowControl/>
                    <w:jc w:val="center"/>
                    <w:rPr>
                      <w:color w:val="auto"/>
                      <w:kern w:val="0"/>
                      <w:szCs w:val="21"/>
                    </w:rPr>
                  </w:pPr>
                  <w:r>
                    <w:rPr>
                      <w:color w:val="auto"/>
                      <w:kern w:val="0"/>
                      <w:szCs w:val="21"/>
                    </w:rPr>
                    <w:t>少量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36" w:hRule="atLeast"/>
                <w:jc w:val="center"/>
              </w:trPr>
              <w:tc>
                <w:tcPr>
                  <w:tcW w:w="862" w:type="dxa"/>
                  <w:vMerge w:val="restart"/>
                  <w:vAlign w:val="center"/>
                </w:tcPr>
                <w:p>
                  <w:pPr>
                    <w:widowControl/>
                    <w:jc w:val="center"/>
                    <w:rPr>
                      <w:color w:val="auto"/>
                      <w:kern w:val="0"/>
                      <w:szCs w:val="21"/>
                    </w:rPr>
                  </w:pPr>
                  <w:r>
                    <w:rPr>
                      <w:color w:val="auto"/>
                      <w:kern w:val="0"/>
                      <w:szCs w:val="21"/>
                    </w:rPr>
                    <w:t>固体</w:t>
                  </w:r>
                </w:p>
                <w:p>
                  <w:pPr>
                    <w:widowControl/>
                    <w:jc w:val="center"/>
                    <w:rPr>
                      <w:color w:val="auto"/>
                      <w:kern w:val="0"/>
                      <w:szCs w:val="21"/>
                    </w:rPr>
                  </w:pPr>
                  <w:r>
                    <w:rPr>
                      <w:color w:val="auto"/>
                      <w:kern w:val="0"/>
                      <w:szCs w:val="21"/>
                    </w:rPr>
                    <w:t>废物</w:t>
                  </w:r>
                </w:p>
              </w:tc>
              <w:tc>
                <w:tcPr>
                  <w:tcW w:w="861" w:type="dxa"/>
                  <w:vMerge w:val="restart"/>
                  <w:vAlign w:val="center"/>
                </w:tcPr>
                <w:p>
                  <w:pPr>
                    <w:widowControl/>
                    <w:jc w:val="center"/>
                    <w:rPr>
                      <w:rFonts w:hint="eastAsia"/>
                      <w:color w:val="auto"/>
                      <w:kern w:val="0"/>
                      <w:szCs w:val="21"/>
                    </w:rPr>
                  </w:pPr>
                  <w:r>
                    <w:rPr>
                      <w:color w:val="auto"/>
                      <w:kern w:val="0"/>
                      <w:szCs w:val="21"/>
                    </w:rPr>
                    <w:t>固废</w:t>
                  </w:r>
                </w:p>
                <w:p>
                  <w:pPr>
                    <w:widowControl/>
                    <w:jc w:val="center"/>
                    <w:rPr>
                      <w:rFonts w:hint="eastAsia"/>
                      <w:color w:val="auto"/>
                      <w:kern w:val="0"/>
                      <w:szCs w:val="21"/>
                    </w:rPr>
                  </w:pPr>
                  <w:r>
                    <w:rPr>
                      <w:color w:val="auto"/>
                      <w:kern w:val="0"/>
                      <w:szCs w:val="21"/>
                    </w:rPr>
                    <w:t>t/a</w:t>
                  </w:r>
                </w:p>
              </w:tc>
              <w:tc>
                <w:tcPr>
                  <w:tcW w:w="1491" w:type="dxa"/>
                  <w:vAlign w:val="center"/>
                </w:tcPr>
                <w:p>
                  <w:pPr>
                    <w:widowControl/>
                    <w:jc w:val="center"/>
                    <w:rPr>
                      <w:rFonts w:hint="eastAsia"/>
                      <w:color w:val="auto"/>
                      <w:kern w:val="0"/>
                      <w:szCs w:val="21"/>
                    </w:rPr>
                  </w:pPr>
                  <w:r>
                    <w:rPr>
                      <w:color w:val="auto"/>
                      <w:kern w:val="0"/>
                      <w:szCs w:val="21"/>
                    </w:rPr>
                    <w:t>生活垃圾</w:t>
                  </w:r>
                </w:p>
              </w:tc>
              <w:tc>
                <w:tcPr>
                  <w:tcW w:w="1123" w:type="dxa"/>
                  <w:vAlign w:val="center"/>
                </w:tcPr>
                <w:p>
                  <w:pPr>
                    <w:spacing w:line="240" w:lineRule="atLeast"/>
                    <w:jc w:val="center"/>
                    <w:rPr>
                      <w:rFonts w:hint="eastAsia"/>
                      <w:color w:val="auto"/>
                      <w:szCs w:val="21"/>
                    </w:rPr>
                  </w:pPr>
                  <w:r>
                    <w:rPr>
                      <w:rFonts w:hint="eastAsia"/>
                      <w:color w:val="auto"/>
                      <w:szCs w:val="21"/>
                    </w:rPr>
                    <w:t>3.0</w:t>
                  </w:r>
                </w:p>
              </w:tc>
              <w:tc>
                <w:tcPr>
                  <w:tcW w:w="1026" w:type="dxa"/>
                  <w:vAlign w:val="center"/>
                </w:tcPr>
                <w:p>
                  <w:pPr>
                    <w:spacing w:line="240" w:lineRule="atLeast"/>
                    <w:jc w:val="center"/>
                    <w:rPr>
                      <w:rFonts w:hint="eastAsia"/>
                      <w:color w:val="auto"/>
                      <w:szCs w:val="21"/>
                    </w:rPr>
                  </w:pPr>
                  <w:r>
                    <w:rPr>
                      <w:rFonts w:hint="eastAsia"/>
                      <w:color w:val="auto"/>
                      <w:szCs w:val="21"/>
                    </w:rPr>
                    <w:t>3.0</w:t>
                  </w:r>
                </w:p>
              </w:tc>
              <w:tc>
                <w:tcPr>
                  <w:tcW w:w="2051" w:type="dxa"/>
                  <w:vAlign w:val="center"/>
                </w:tcPr>
                <w:p>
                  <w:pPr>
                    <w:spacing w:line="240" w:lineRule="atLeast"/>
                    <w:jc w:val="center"/>
                    <w:rPr>
                      <w:color w:val="auto"/>
                      <w:szCs w:val="21"/>
                    </w:rPr>
                  </w:pPr>
                  <w:r>
                    <w:rPr>
                      <w:color w:val="auto"/>
                      <w:szCs w:val="21"/>
                    </w:rPr>
                    <w:t>环卫部门</w:t>
                  </w:r>
                </w:p>
              </w:tc>
              <w:tc>
                <w:tcPr>
                  <w:tcW w:w="965" w:type="dxa"/>
                  <w:vAlign w:val="center"/>
                </w:tcPr>
                <w:p>
                  <w:pPr>
                    <w:widowControl/>
                    <w:jc w:val="center"/>
                    <w:rPr>
                      <w:color w:val="auto"/>
                      <w:kern w:val="0"/>
                      <w:szCs w:val="21"/>
                    </w:rPr>
                  </w:pPr>
                  <w:r>
                    <w:rPr>
                      <w:color w:val="auto"/>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39"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left"/>
                    <w:rPr>
                      <w:color w:val="auto"/>
                      <w:kern w:val="0"/>
                      <w:szCs w:val="21"/>
                    </w:rPr>
                  </w:pPr>
                </w:p>
              </w:tc>
              <w:tc>
                <w:tcPr>
                  <w:tcW w:w="1491" w:type="dxa"/>
                  <w:vAlign w:val="center"/>
                </w:tcPr>
                <w:p>
                  <w:pPr>
                    <w:widowControl/>
                    <w:jc w:val="center"/>
                    <w:rPr>
                      <w:rFonts w:hint="eastAsia"/>
                      <w:color w:val="auto"/>
                      <w:kern w:val="0"/>
                      <w:szCs w:val="21"/>
                    </w:rPr>
                  </w:pPr>
                  <w:r>
                    <w:rPr>
                      <w:rFonts w:hint="eastAsia"/>
                      <w:color w:val="auto"/>
                      <w:szCs w:val="21"/>
                    </w:rPr>
                    <w:t>干化污泥</w:t>
                  </w:r>
                </w:p>
              </w:tc>
              <w:tc>
                <w:tcPr>
                  <w:tcW w:w="1123" w:type="dxa"/>
                  <w:vAlign w:val="center"/>
                </w:tcPr>
                <w:p>
                  <w:pPr>
                    <w:spacing w:line="240" w:lineRule="atLeast"/>
                    <w:jc w:val="center"/>
                    <w:rPr>
                      <w:rFonts w:hint="eastAsia"/>
                      <w:color w:val="auto"/>
                      <w:szCs w:val="21"/>
                    </w:rPr>
                  </w:pPr>
                  <w:r>
                    <w:rPr>
                      <w:rFonts w:hint="eastAsia"/>
                      <w:color w:val="auto"/>
                      <w:szCs w:val="21"/>
                    </w:rPr>
                    <w:t>2555</w:t>
                  </w:r>
                </w:p>
              </w:tc>
              <w:tc>
                <w:tcPr>
                  <w:tcW w:w="1026" w:type="dxa"/>
                  <w:vAlign w:val="center"/>
                </w:tcPr>
                <w:p>
                  <w:pPr>
                    <w:spacing w:line="240" w:lineRule="atLeast"/>
                    <w:jc w:val="center"/>
                    <w:rPr>
                      <w:rFonts w:hint="eastAsia"/>
                      <w:color w:val="auto"/>
                      <w:szCs w:val="21"/>
                    </w:rPr>
                  </w:pPr>
                  <w:r>
                    <w:rPr>
                      <w:rFonts w:hint="eastAsia"/>
                      <w:color w:val="auto"/>
                      <w:szCs w:val="21"/>
                    </w:rPr>
                    <w:t>2555</w:t>
                  </w:r>
                </w:p>
              </w:tc>
              <w:tc>
                <w:tcPr>
                  <w:tcW w:w="2051" w:type="dxa"/>
                  <w:vAlign w:val="center"/>
                </w:tcPr>
                <w:p>
                  <w:pPr>
                    <w:spacing w:line="240" w:lineRule="atLeast"/>
                    <w:jc w:val="center"/>
                    <w:rPr>
                      <w:color w:val="auto"/>
                      <w:szCs w:val="21"/>
                    </w:rPr>
                  </w:pPr>
                  <w:r>
                    <w:rPr>
                      <w:rFonts w:hint="eastAsia"/>
                      <w:color w:val="auto"/>
                      <w:szCs w:val="21"/>
                    </w:rPr>
                    <w:t>送垃圾填埋场填埋</w:t>
                  </w:r>
                </w:p>
              </w:tc>
              <w:tc>
                <w:tcPr>
                  <w:tcW w:w="965" w:type="dxa"/>
                  <w:vAlign w:val="center"/>
                </w:tcPr>
                <w:p>
                  <w:pPr>
                    <w:widowControl/>
                    <w:jc w:val="center"/>
                    <w:rPr>
                      <w:color w:val="auto"/>
                      <w:kern w:val="0"/>
                      <w:szCs w:val="21"/>
                    </w:rPr>
                  </w:pPr>
                  <w:r>
                    <w:rPr>
                      <w:color w:val="auto"/>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16"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center"/>
                    <w:rPr>
                      <w:color w:val="auto"/>
                      <w:kern w:val="0"/>
                      <w:szCs w:val="21"/>
                    </w:rPr>
                  </w:pPr>
                </w:p>
              </w:tc>
              <w:tc>
                <w:tcPr>
                  <w:tcW w:w="1491" w:type="dxa"/>
                  <w:vAlign w:val="center"/>
                </w:tcPr>
                <w:p>
                  <w:pPr>
                    <w:widowControl/>
                    <w:jc w:val="center"/>
                    <w:rPr>
                      <w:color w:val="auto"/>
                      <w:kern w:val="0"/>
                      <w:szCs w:val="21"/>
                    </w:rPr>
                  </w:pPr>
                  <w:r>
                    <w:rPr>
                      <w:rFonts w:hint="eastAsia"/>
                      <w:color w:val="auto"/>
                      <w:szCs w:val="21"/>
                    </w:rPr>
                    <w:t>检验室废液</w:t>
                  </w:r>
                </w:p>
              </w:tc>
              <w:tc>
                <w:tcPr>
                  <w:tcW w:w="1123" w:type="dxa"/>
                  <w:vAlign w:val="center"/>
                </w:tcPr>
                <w:p>
                  <w:pPr>
                    <w:spacing w:line="240" w:lineRule="atLeast"/>
                    <w:jc w:val="center"/>
                    <w:rPr>
                      <w:rFonts w:hint="eastAsia"/>
                      <w:color w:val="auto"/>
                      <w:szCs w:val="21"/>
                    </w:rPr>
                  </w:pPr>
                  <w:r>
                    <w:rPr>
                      <w:rFonts w:hint="eastAsia"/>
                      <w:color w:val="auto"/>
                      <w:szCs w:val="21"/>
                    </w:rPr>
                    <w:t>3.65</w:t>
                  </w:r>
                </w:p>
              </w:tc>
              <w:tc>
                <w:tcPr>
                  <w:tcW w:w="1026" w:type="dxa"/>
                  <w:vAlign w:val="center"/>
                </w:tcPr>
                <w:p>
                  <w:pPr>
                    <w:spacing w:line="240" w:lineRule="atLeast"/>
                    <w:jc w:val="center"/>
                    <w:rPr>
                      <w:rFonts w:hint="eastAsia"/>
                      <w:color w:val="auto"/>
                      <w:szCs w:val="21"/>
                    </w:rPr>
                  </w:pPr>
                  <w:r>
                    <w:rPr>
                      <w:rFonts w:hint="eastAsia"/>
                      <w:color w:val="auto"/>
                      <w:szCs w:val="21"/>
                    </w:rPr>
                    <w:t>3.65</w:t>
                  </w:r>
                </w:p>
              </w:tc>
              <w:tc>
                <w:tcPr>
                  <w:tcW w:w="2051" w:type="dxa"/>
                  <w:vAlign w:val="center"/>
                </w:tcPr>
                <w:p>
                  <w:pPr>
                    <w:spacing w:line="240" w:lineRule="atLeast"/>
                    <w:jc w:val="center"/>
                    <w:rPr>
                      <w:rFonts w:hint="eastAsia"/>
                      <w:color w:val="auto"/>
                      <w:szCs w:val="21"/>
                    </w:rPr>
                  </w:pPr>
                  <w:r>
                    <w:rPr>
                      <w:color w:val="auto"/>
                      <w:szCs w:val="21"/>
                    </w:rPr>
                    <w:t>有资质的单位</w:t>
                  </w:r>
                  <w:r>
                    <w:rPr>
                      <w:rFonts w:hint="eastAsia"/>
                      <w:color w:val="auto"/>
                      <w:szCs w:val="21"/>
                    </w:rPr>
                    <w:t>处理</w:t>
                  </w:r>
                </w:p>
              </w:tc>
              <w:tc>
                <w:tcPr>
                  <w:tcW w:w="965" w:type="dxa"/>
                  <w:vAlign w:val="center"/>
                </w:tcPr>
                <w:p>
                  <w:pPr>
                    <w:widowControl/>
                    <w:jc w:val="center"/>
                    <w:rPr>
                      <w:rFonts w:hint="eastAsia"/>
                      <w:color w:val="auto"/>
                      <w:kern w:val="0"/>
                      <w:szCs w:val="21"/>
                    </w:rPr>
                  </w:pPr>
                  <w:r>
                    <w:rPr>
                      <w:rFonts w:hint="eastAsia"/>
                      <w:color w:val="auto"/>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52"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center"/>
                    <w:rPr>
                      <w:color w:val="auto"/>
                      <w:kern w:val="0"/>
                      <w:szCs w:val="21"/>
                    </w:rPr>
                  </w:pPr>
                </w:p>
              </w:tc>
              <w:tc>
                <w:tcPr>
                  <w:tcW w:w="1491" w:type="dxa"/>
                  <w:vAlign w:val="center"/>
                </w:tcPr>
                <w:p>
                  <w:pPr>
                    <w:widowControl/>
                    <w:jc w:val="right"/>
                    <w:rPr>
                      <w:rFonts w:hint="eastAsia"/>
                      <w:color w:val="auto"/>
                      <w:szCs w:val="21"/>
                    </w:rPr>
                  </w:pPr>
                  <w:r>
                    <w:rPr>
                      <w:rFonts w:hint="eastAsia"/>
                      <w:color w:val="auto"/>
                      <w:szCs w:val="21"/>
                    </w:rPr>
                    <w:t>废弃试剂、</w:t>
                  </w:r>
                </w:p>
                <w:p>
                  <w:pPr>
                    <w:widowControl/>
                    <w:jc w:val="center"/>
                    <w:rPr>
                      <w:color w:val="auto"/>
                      <w:kern w:val="0"/>
                      <w:szCs w:val="21"/>
                    </w:rPr>
                  </w:pPr>
                  <w:r>
                    <w:rPr>
                      <w:rFonts w:hint="eastAsia"/>
                      <w:color w:val="auto"/>
                      <w:szCs w:val="21"/>
                    </w:rPr>
                    <w:t>药品</w:t>
                  </w:r>
                </w:p>
              </w:tc>
              <w:tc>
                <w:tcPr>
                  <w:tcW w:w="1123" w:type="dxa"/>
                  <w:vAlign w:val="center"/>
                </w:tcPr>
                <w:p>
                  <w:pPr>
                    <w:spacing w:line="240" w:lineRule="atLeast"/>
                    <w:jc w:val="center"/>
                    <w:rPr>
                      <w:rFonts w:hint="eastAsia"/>
                      <w:color w:val="auto"/>
                      <w:szCs w:val="21"/>
                    </w:rPr>
                  </w:pPr>
                  <w:r>
                    <w:rPr>
                      <w:rFonts w:hint="eastAsia"/>
                      <w:color w:val="auto"/>
                      <w:szCs w:val="21"/>
                    </w:rPr>
                    <w:t>0.1</w:t>
                  </w:r>
                </w:p>
              </w:tc>
              <w:tc>
                <w:tcPr>
                  <w:tcW w:w="1026" w:type="dxa"/>
                  <w:vAlign w:val="center"/>
                </w:tcPr>
                <w:p>
                  <w:pPr>
                    <w:spacing w:line="240" w:lineRule="atLeast"/>
                    <w:jc w:val="center"/>
                    <w:rPr>
                      <w:rFonts w:hint="eastAsia"/>
                      <w:color w:val="auto"/>
                      <w:szCs w:val="21"/>
                    </w:rPr>
                  </w:pPr>
                  <w:r>
                    <w:rPr>
                      <w:rFonts w:hint="eastAsia"/>
                      <w:color w:val="auto"/>
                      <w:szCs w:val="21"/>
                    </w:rPr>
                    <w:t>0.1</w:t>
                  </w:r>
                </w:p>
              </w:tc>
              <w:tc>
                <w:tcPr>
                  <w:tcW w:w="2051" w:type="dxa"/>
                  <w:vAlign w:val="center"/>
                </w:tcPr>
                <w:p>
                  <w:pPr>
                    <w:spacing w:line="240" w:lineRule="atLeast"/>
                    <w:jc w:val="center"/>
                    <w:rPr>
                      <w:color w:val="auto"/>
                      <w:szCs w:val="21"/>
                    </w:rPr>
                  </w:pPr>
                  <w:r>
                    <w:rPr>
                      <w:color w:val="auto"/>
                      <w:szCs w:val="21"/>
                    </w:rPr>
                    <w:t>有资质的单位</w:t>
                  </w:r>
                  <w:r>
                    <w:rPr>
                      <w:rFonts w:hint="eastAsia"/>
                      <w:color w:val="auto"/>
                      <w:szCs w:val="21"/>
                    </w:rPr>
                    <w:t>处理</w:t>
                  </w:r>
                </w:p>
              </w:tc>
              <w:tc>
                <w:tcPr>
                  <w:tcW w:w="965" w:type="dxa"/>
                  <w:vAlign w:val="center"/>
                </w:tcPr>
                <w:p>
                  <w:pPr>
                    <w:widowControl/>
                    <w:jc w:val="center"/>
                    <w:rPr>
                      <w:rFonts w:hint="eastAsia"/>
                      <w:color w:val="auto"/>
                      <w:kern w:val="0"/>
                      <w:szCs w:val="21"/>
                    </w:rPr>
                  </w:pPr>
                  <w:r>
                    <w:rPr>
                      <w:rFonts w:hint="eastAsia"/>
                      <w:color w:val="auto"/>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45" w:hRule="atLeast"/>
                <w:jc w:val="center"/>
              </w:trPr>
              <w:tc>
                <w:tcPr>
                  <w:tcW w:w="862" w:type="dxa"/>
                  <w:vMerge w:val="continue"/>
                  <w:vAlign w:val="center"/>
                </w:tcPr>
                <w:p>
                  <w:pPr>
                    <w:widowControl/>
                    <w:jc w:val="left"/>
                    <w:rPr>
                      <w:color w:val="auto"/>
                      <w:kern w:val="0"/>
                      <w:szCs w:val="21"/>
                    </w:rPr>
                  </w:pPr>
                </w:p>
              </w:tc>
              <w:tc>
                <w:tcPr>
                  <w:tcW w:w="861" w:type="dxa"/>
                  <w:vMerge w:val="continue"/>
                  <w:vAlign w:val="center"/>
                </w:tcPr>
                <w:p>
                  <w:pPr>
                    <w:widowControl/>
                    <w:jc w:val="center"/>
                    <w:rPr>
                      <w:color w:val="auto"/>
                      <w:kern w:val="0"/>
                      <w:szCs w:val="21"/>
                    </w:rPr>
                  </w:pPr>
                </w:p>
              </w:tc>
              <w:tc>
                <w:tcPr>
                  <w:tcW w:w="1491" w:type="dxa"/>
                  <w:vAlign w:val="center"/>
                </w:tcPr>
                <w:p>
                  <w:pPr>
                    <w:widowControl/>
                    <w:jc w:val="center"/>
                    <w:rPr>
                      <w:color w:val="auto"/>
                      <w:kern w:val="0"/>
                      <w:szCs w:val="21"/>
                    </w:rPr>
                  </w:pPr>
                  <w:r>
                    <w:rPr>
                      <w:rFonts w:hint="eastAsia"/>
                      <w:color w:val="auto"/>
                      <w:szCs w:val="21"/>
                    </w:rPr>
                    <w:t>消毒残液</w:t>
                  </w:r>
                </w:p>
              </w:tc>
              <w:tc>
                <w:tcPr>
                  <w:tcW w:w="1123" w:type="dxa"/>
                  <w:vAlign w:val="center"/>
                </w:tcPr>
                <w:p>
                  <w:pPr>
                    <w:spacing w:line="240" w:lineRule="atLeast"/>
                    <w:jc w:val="center"/>
                    <w:rPr>
                      <w:rFonts w:hint="eastAsia"/>
                      <w:color w:val="auto"/>
                      <w:szCs w:val="21"/>
                    </w:rPr>
                  </w:pPr>
                  <w:r>
                    <w:rPr>
                      <w:rFonts w:hint="eastAsia"/>
                      <w:color w:val="auto"/>
                      <w:szCs w:val="21"/>
                    </w:rPr>
                    <w:t>16.8</w:t>
                  </w:r>
                </w:p>
              </w:tc>
              <w:tc>
                <w:tcPr>
                  <w:tcW w:w="1026" w:type="dxa"/>
                  <w:vAlign w:val="center"/>
                </w:tcPr>
                <w:p>
                  <w:pPr>
                    <w:spacing w:line="240" w:lineRule="atLeast"/>
                    <w:jc w:val="center"/>
                    <w:rPr>
                      <w:rFonts w:hint="eastAsia"/>
                      <w:color w:val="auto"/>
                      <w:szCs w:val="21"/>
                    </w:rPr>
                  </w:pPr>
                  <w:r>
                    <w:rPr>
                      <w:rFonts w:hint="eastAsia"/>
                      <w:color w:val="auto"/>
                      <w:szCs w:val="21"/>
                    </w:rPr>
                    <w:t>16.8</w:t>
                  </w:r>
                </w:p>
              </w:tc>
              <w:tc>
                <w:tcPr>
                  <w:tcW w:w="2051" w:type="dxa"/>
                  <w:vAlign w:val="center"/>
                </w:tcPr>
                <w:p>
                  <w:pPr>
                    <w:spacing w:line="240" w:lineRule="atLeast"/>
                    <w:jc w:val="center"/>
                    <w:rPr>
                      <w:color w:val="auto"/>
                      <w:szCs w:val="21"/>
                    </w:rPr>
                  </w:pPr>
                  <w:r>
                    <w:rPr>
                      <w:rFonts w:hint="eastAsia"/>
                      <w:color w:val="auto"/>
                      <w:szCs w:val="21"/>
                    </w:rPr>
                    <w:t>厂家定期回收处理</w:t>
                  </w:r>
                </w:p>
              </w:tc>
              <w:tc>
                <w:tcPr>
                  <w:tcW w:w="965" w:type="dxa"/>
                  <w:vAlign w:val="center"/>
                </w:tcPr>
                <w:p>
                  <w:pPr>
                    <w:widowControl/>
                    <w:jc w:val="center"/>
                    <w:rPr>
                      <w:rFonts w:hint="eastAsia"/>
                      <w:color w:val="auto"/>
                      <w:kern w:val="0"/>
                      <w:szCs w:val="21"/>
                    </w:rPr>
                  </w:pPr>
                  <w:r>
                    <w:rPr>
                      <w:rFonts w:hint="eastAsia"/>
                      <w:color w:val="auto"/>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97" w:hRule="atLeast"/>
                <w:jc w:val="center"/>
              </w:trPr>
              <w:tc>
                <w:tcPr>
                  <w:tcW w:w="862" w:type="dxa"/>
                  <w:vAlign w:val="center"/>
                </w:tcPr>
                <w:p>
                  <w:pPr>
                    <w:widowControl/>
                    <w:jc w:val="center"/>
                    <w:rPr>
                      <w:color w:val="auto"/>
                      <w:kern w:val="0"/>
                      <w:szCs w:val="21"/>
                    </w:rPr>
                  </w:pPr>
                  <w:r>
                    <w:rPr>
                      <w:color w:val="auto"/>
                      <w:kern w:val="0"/>
                      <w:szCs w:val="21"/>
                    </w:rPr>
                    <w:t>噪声</w:t>
                  </w:r>
                </w:p>
              </w:tc>
              <w:tc>
                <w:tcPr>
                  <w:tcW w:w="7517" w:type="dxa"/>
                  <w:gridSpan w:val="6"/>
                  <w:vAlign w:val="center"/>
                </w:tcPr>
                <w:p>
                  <w:pPr>
                    <w:widowControl/>
                    <w:jc w:val="center"/>
                    <w:rPr>
                      <w:color w:val="auto"/>
                      <w:kern w:val="0"/>
                      <w:szCs w:val="21"/>
                    </w:rPr>
                  </w:pPr>
                  <w:r>
                    <w:rPr>
                      <w:rFonts w:hint="eastAsia"/>
                      <w:color w:val="auto"/>
                      <w:kern w:val="0"/>
                      <w:szCs w:val="21"/>
                    </w:rPr>
                    <w:t>项目噪声来自机械设备和水流声</w:t>
                  </w:r>
                  <w:r>
                    <w:rPr>
                      <w:color w:val="auto"/>
                      <w:kern w:val="0"/>
                      <w:szCs w:val="21"/>
                    </w:rPr>
                    <w:t>，噪声</w:t>
                  </w:r>
                  <w:r>
                    <w:rPr>
                      <w:rFonts w:hint="eastAsia"/>
                      <w:color w:val="auto"/>
                      <w:kern w:val="0"/>
                      <w:szCs w:val="21"/>
                    </w:rPr>
                    <w:t>级在75</w:t>
                  </w:r>
                  <w:r>
                    <w:rPr>
                      <w:color w:val="auto"/>
                      <w:kern w:val="0"/>
                      <w:szCs w:val="21"/>
                    </w:rPr>
                    <w:t>~</w:t>
                  </w:r>
                  <w:r>
                    <w:rPr>
                      <w:rFonts w:hint="eastAsia"/>
                      <w:color w:val="auto"/>
                      <w:kern w:val="0"/>
                      <w:szCs w:val="21"/>
                    </w:rPr>
                    <w:t>9</w:t>
                  </w:r>
                  <w:r>
                    <w:rPr>
                      <w:color w:val="auto"/>
                      <w:kern w:val="0"/>
                      <w:szCs w:val="21"/>
                    </w:rPr>
                    <w:t>5dB(A)</w:t>
                  </w:r>
                </w:p>
              </w:tc>
            </w:tr>
          </w:tbl>
          <w:p>
            <w:pPr>
              <w:spacing w:line="360" w:lineRule="auto"/>
              <w:ind w:firstLine="480" w:firstLineChars="200"/>
              <w:rPr>
                <w:rFonts w:hint="eastAsia"/>
                <w:color w:val="auto"/>
                <w:sz w:val="24"/>
              </w:rPr>
            </w:pPr>
          </w:p>
          <w:p>
            <w:pPr>
              <w:spacing w:line="360" w:lineRule="auto"/>
              <w:ind w:firstLine="480" w:firstLineChars="200"/>
              <w:rPr>
                <w:rFonts w:hint="eastAsia" w:hAnsi="宋体"/>
                <w:color w:val="auto"/>
                <w:sz w:val="24"/>
              </w:rPr>
            </w:pPr>
          </w:p>
          <w:p>
            <w:pPr>
              <w:spacing w:line="360" w:lineRule="auto"/>
              <w:ind w:firstLine="480" w:firstLineChars="200"/>
              <w:rPr>
                <w:rFonts w:hint="eastAsia" w:hAnsi="宋体"/>
                <w:color w:val="auto"/>
                <w:sz w:val="24"/>
              </w:rPr>
            </w:pPr>
          </w:p>
        </w:tc>
      </w:tr>
    </w:tbl>
    <w:p>
      <w:pPr>
        <w:spacing w:line="360" w:lineRule="auto"/>
        <w:outlineLvl w:val="0"/>
        <w:rPr>
          <w:b/>
          <w:bCs/>
          <w:color w:val="auto"/>
          <w:sz w:val="28"/>
        </w:rPr>
      </w:pPr>
      <w:r>
        <w:rPr>
          <w:b/>
          <w:bCs/>
          <w:color w:val="auto"/>
          <w:sz w:val="28"/>
        </w:rPr>
        <w:br w:type="page"/>
      </w:r>
      <w:r>
        <w:rPr>
          <w:b/>
          <w:bCs/>
          <w:color w:val="auto"/>
          <w:sz w:val="28"/>
        </w:rPr>
        <w:t>建设项目所在地自然社会环境简况</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65"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adjustRightInd w:val="0"/>
              <w:rPr>
                <w:rFonts w:hint="eastAsia"/>
                <w:color w:val="auto"/>
                <w:sz w:val="28"/>
                <w:szCs w:val="28"/>
              </w:rPr>
            </w:pPr>
            <w:r>
              <w:rPr>
                <w:color w:val="auto"/>
                <w:sz w:val="28"/>
                <w:szCs w:val="28"/>
              </w:rPr>
              <w:t>自然环境简况</w:t>
            </w:r>
            <w:r>
              <w:rPr>
                <w:rFonts w:hint="eastAsia"/>
                <w:color w:val="auto"/>
                <w:sz w:val="28"/>
                <w:szCs w:val="28"/>
              </w:rPr>
              <w:t>（地形</w:t>
            </w:r>
            <w:r>
              <w:rPr>
                <w:color w:val="auto"/>
                <w:sz w:val="28"/>
                <w:szCs w:val="28"/>
              </w:rPr>
              <w:t>、地貌、地质、气候、气象、水文、植被、生物多样性等</w:t>
            </w:r>
            <w:r>
              <w:rPr>
                <w:rFonts w:hint="eastAsia"/>
                <w:color w:val="auto"/>
                <w:sz w:val="28"/>
                <w:szCs w:val="28"/>
              </w:rPr>
              <w:t>）：</w:t>
            </w:r>
          </w:p>
          <w:p>
            <w:pPr>
              <w:numPr>
                <w:ilvl w:val="0"/>
                <w:numId w:val="5"/>
              </w:numPr>
              <w:adjustRightInd w:val="0"/>
              <w:spacing w:line="360" w:lineRule="auto"/>
              <w:rPr>
                <w:b/>
                <w:color w:val="auto"/>
                <w:sz w:val="24"/>
              </w:rPr>
            </w:pPr>
            <w:r>
              <w:rPr>
                <w:b/>
                <w:color w:val="auto"/>
                <w:sz w:val="24"/>
              </w:rPr>
              <w:t>地理位置</w:t>
            </w:r>
          </w:p>
          <w:p>
            <w:pPr>
              <w:spacing w:line="360" w:lineRule="auto"/>
              <w:ind w:firstLine="480" w:firstLineChars="200"/>
              <w:rPr>
                <w:rFonts w:hint="eastAsia"/>
                <w:color w:val="auto"/>
                <w:sz w:val="24"/>
              </w:rPr>
            </w:pPr>
            <w:r>
              <w:rPr>
                <w:color w:val="auto"/>
                <w:sz w:val="24"/>
              </w:rPr>
              <w:t>平江县位于湖南省东北部，湘、鄂、赣三省交界地域，汨罗江上游，北毗湖北省通城县及本省岳阳县，东邻江西省修水、铜鼓县，西与汨罗市交界，南与省内长沙、浏阳接壤。地理位置为：北纬28°25′33″至29°06′28″，东经113°10′13″至114°09′06″之间，东西长98.5km，南北宽76km。县域总面积为4118.06km</w:t>
            </w:r>
            <w:r>
              <w:rPr>
                <w:color w:val="auto"/>
                <w:sz w:val="24"/>
                <w:vertAlign w:val="superscript"/>
              </w:rPr>
              <w:t>2</w:t>
            </w:r>
            <w:r>
              <w:rPr>
                <w:color w:val="auto"/>
                <w:sz w:val="24"/>
              </w:rPr>
              <w:t>，占全省总面积的2.1%，为岳阳市的四分之一。</w:t>
            </w:r>
          </w:p>
          <w:p>
            <w:pPr>
              <w:spacing w:line="360" w:lineRule="auto"/>
              <w:ind w:firstLine="480" w:firstLineChars="200"/>
              <w:rPr>
                <w:rFonts w:hint="eastAsia"/>
                <w:color w:val="auto"/>
                <w:sz w:val="24"/>
              </w:rPr>
            </w:pPr>
            <w:r>
              <w:rPr>
                <w:rFonts w:hint="eastAsia"/>
                <w:color w:val="auto"/>
                <w:sz w:val="24"/>
              </w:rPr>
              <w:t>本项目位于平江县境内，管道沿线涉及城关镇、瓮江镇、余坪镇、浯口镇、伍市镇和向家镇。其具体地理位置见附图1。</w:t>
            </w:r>
          </w:p>
          <w:p>
            <w:pPr>
              <w:numPr>
                <w:ilvl w:val="0"/>
                <w:numId w:val="5"/>
              </w:numPr>
              <w:adjustRightInd w:val="0"/>
              <w:spacing w:line="360" w:lineRule="auto"/>
              <w:rPr>
                <w:b/>
                <w:color w:val="auto"/>
                <w:sz w:val="24"/>
              </w:rPr>
            </w:pPr>
            <w:r>
              <w:rPr>
                <w:b/>
                <w:color w:val="auto"/>
                <w:sz w:val="24"/>
              </w:rPr>
              <w:t>地形</w:t>
            </w:r>
            <w:r>
              <w:rPr>
                <w:rFonts w:hint="eastAsia"/>
                <w:b/>
                <w:color w:val="auto"/>
                <w:sz w:val="24"/>
              </w:rPr>
              <w:t>、</w:t>
            </w:r>
            <w:r>
              <w:rPr>
                <w:b/>
                <w:color w:val="auto"/>
                <w:sz w:val="24"/>
              </w:rPr>
              <w:t>地貌</w:t>
            </w:r>
          </w:p>
          <w:p>
            <w:pPr>
              <w:spacing w:line="360" w:lineRule="auto"/>
              <w:ind w:firstLine="480" w:firstLineChars="200"/>
              <w:rPr>
                <w:rFonts w:hint="eastAsia"/>
                <w:color w:val="auto"/>
                <w:sz w:val="24"/>
              </w:rPr>
            </w:pPr>
            <w:r>
              <w:rPr>
                <w:snapToGrid w:val="0"/>
                <w:color w:val="auto"/>
                <w:kern w:val="0"/>
                <w:sz w:val="24"/>
              </w:rPr>
              <w:t>平江县境内地貌以山地和丘陵为主动。山地占国土总面积的28.5%</w:t>
            </w:r>
            <w:r>
              <w:rPr>
                <w:rFonts w:hint="eastAsia"/>
                <w:snapToGrid w:val="0"/>
                <w:color w:val="auto"/>
                <w:kern w:val="0"/>
                <w:sz w:val="24"/>
              </w:rPr>
              <w:t>、</w:t>
            </w:r>
            <w:r>
              <w:rPr>
                <w:snapToGrid w:val="0"/>
                <w:color w:val="auto"/>
                <w:kern w:val="0"/>
                <w:sz w:val="24"/>
              </w:rPr>
              <w:t>丘陵占55.9%</w:t>
            </w:r>
            <w:r>
              <w:rPr>
                <w:rFonts w:hint="eastAsia"/>
                <w:snapToGrid w:val="0"/>
                <w:color w:val="auto"/>
                <w:kern w:val="0"/>
                <w:sz w:val="24"/>
              </w:rPr>
              <w:t>、</w:t>
            </w:r>
            <w:r>
              <w:rPr>
                <w:snapToGrid w:val="0"/>
                <w:color w:val="auto"/>
                <w:kern w:val="0"/>
                <w:sz w:val="24"/>
              </w:rPr>
              <w:t>岗地占5.8%</w:t>
            </w:r>
            <w:r>
              <w:rPr>
                <w:rFonts w:hint="eastAsia"/>
                <w:snapToGrid w:val="0"/>
                <w:color w:val="auto"/>
                <w:kern w:val="0"/>
                <w:sz w:val="24"/>
              </w:rPr>
              <w:t>、</w:t>
            </w:r>
            <w:r>
              <w:rPr>
                <w:snapToGrid w:val="0"/>
                <w:color w:val="auto"/>
                <w:kern w:val="0"/>
                <w:sz w:val="24"/>
              </w:rPr>
              <w:t>平原占9.8%</w:t>
            </w:r>
            <w:r>
              <w:rPr>
                <w:rFonts w:hint="eastAsia"/>
                <w:snapToGrid w:val="0"/>
                <w:color w:val="auto"/>
                <w:kern w:val="0"/>
                <w:sz w:val="24"/>
              </w:rPr>
              <w:t>；</w:t>
            </w:r>
            <w:r>
              <w:rPr>
                <w:snapToGrid w:val="0"/>
                <w:color w:val="auto"/>
                <w:kern w:val="0"/>
                <w:sz w:val="24"/>
              </w:rPr>
              <w:t>地势东南部和东北部高，西南部低，相对高</w:t>
            </w:r>
            <w:r>
              <w:rPr>
                <w:rFonts w:hint="eastAsia"/>
                <w:snapToGrid w:val="0"/>
                <w:color w:val="auto"/>
                <w:kern w:val="0"/>
                <w:sz w:val="24"/>
              </w:rPr>
              <w:t>差</w:t>
            </w:r>
            <w:r>
              <w:rPr>
                <w:snapToGrid w:val="0"/>
                <w:color w:val="auto"/>
                <w:kern w:val="0"/>
                <w:sz w:val="24"/>
              </w:rPr>
              <w:t>达1500</w:t>
            </w:r>
            <w:r>
              <w:rPr>
                <w:rFonts w:hint="eastAsia"/>
                <w:snapToGrid w:val="0"/>
                <w:color w:val="auto"/>
                <w:kern w:val="0"/>
                <w:sz w:val="24"/>
              </w:rPr>
              <w:t>m</w:t>
            </w:r>
            <w:r>
              <w:rPr>
                <w:snapToGrid w:val="0"/>
                <w:color w:val="auto"/>
                <w:kern w:val="0"/>
                <w:sz w:val="24"/>
              </w:rPr>
              <w:t>。县域境内山丘分属连云山脉和幕阜山脉</w:t>
            </w:r>
            <w:r>
              <w:rPr>
                <w:rFonts w:hint="eastAsia"/>
                <w:snapToGrid w:val="0"/>
                <w:color w:val="auto"/>
                <w:kern w:val="0"/>
                <w:sz w:val="24"/>
              </w:rPr>
              <w:t>；</w:t>
            </w:r>
            <w:r>
              <w:rPr>
                <w:snapToGrid w:val="0"/>
                <w:color w:val="auto"/>
                <w:kern w:val="0"/>
                <w:sz w:val="24"/>
              </w:rPr>
              <w:t>其中连云山主峰海拔1600.3</w:t>
            </w:r>
            <w:r>
              <w:rPr>
                <w:rFonts w:hint="eastAsia"/>
                <w:snapToGrid w:val="0"/>
                <w:color w:val="auto"/>
                <w:kern w:val="0"/>
                <w:sz w:val="24"/>
              </w:rPr>
              <w:t>m</w:t>
            </w:r>
            <w:r>
              <w:rPr>
                <w:snapToGrid w:val="0"/>
                <w:color w:val="auto"/>
                <w:kern w:val="0"/>
                <w:sz w:val="24"/>
              </w:rPr>
              <w:t>，为境内最高峰</w:t>
            </w:r>
            <w:r>
              <w:rPr>
                <w:rFonts w:hint="eastAsia"/>
                <w:snapToGrid w:val="0"/>
                <w:color w:val="auto"/>
                <w:kern w:val="0"/>
                <w:sz w:val="24"/>
              </w:rPr>
              <w:t>；</w:t>
            </w:r>
            <w:r>
              <w:rPr>
                <w:snapToGrid w:val="0"/>
                <w:color w:val="auto"/>
                <w:kern w:val="0"/>
                <w:sz w:val="24"/>
              </w:rPr>
              <w:t>幕阜山主峰海拔1593.6</w:t>
            </w:r>
            <w:r>
              <w:rPr>
                <w:rFonts w:hint="eastAsia"/>
                <w:snapToGrid w:val="0"/>
                <w:color w:val="auto"/>
                <w:kern w:val="0"/>
                <w:sz w:val="24"/>
              </w:rPr>
              <w:t>m；</w:t>
            </w:r>
            <w:r>
              <w:rPr>
                <w:snapToGrid w:val="0"/>
                <w:color w:val="auto"/>
                <w:kern w:val="0"/>
                <w:sz w:val="24"/>
              </w:rPr>
              <w:t>此外东南部的十八折、黄花尖、下小尖</w:t>
            </w:r>
            <w:r>
              <w:rPr>
                <w:rFonts w:hint="eastAsia"/>
                <w:snapToGrid w:val="0"/>
                <w:color w:val="auto"/>
                <w:kern w:val="0"/>
                <w:sz w:val="24"/>
              </w:rPr>
              <w:t>，</w:t>
            </w:r>
            <w:r>
              <w:rPr>
                <w:snapToGrid w:val="0"/>
                <w:color w:val="auto"/>
                <w:kern w:val="0"/>
                <w:sz w:val="24"/>
              </w:rPr>
              <w:t>南面的轿顶山、福寿山、白水坪、甑盖山、十八盘、寒婆坳</w:t>
            </w:r>
            <w:r>
              <w:rPr>
                <w:rFonts w:hint="eastAsia"/>
                <w:snapToGrid w:val="0"/>
                <w:color w:val="auto"/>
                <w:kern w:val="0"/>
                <w:sz w:val="24"/>
              </w:rPr>
              <w:t>，</w:t>
            </w:r>
            <w:r>
              <w:rPr>
                <w:snapToGrid w:val="0"/>
                <w:color w:val="auto"/>
                <w:kern w:val="0"/>
                <w:sz w:val="24"/>
              </w:rPr>
              <w:t>东北部的一峰尖、九龙池、去腾寺、黄龙山、只角楼、秋水塘、丘池塘</w:t>
            </w:r>
            <w:r>
              <w:rPr>
                <w:rFonts w:hint="eastAsia"/>
                <w:snapToGrid w:val="0"/>
                <w:color w:val="auto"/>
                <w:kern w:val="0"/>
                <w:sz w:val="24"/>
              </w:rPr>
              <w:t>，</w:t>
            </w:r>
            <w:r>
              <w:rPr>
                <w:snapToGrid w:val="0"/>
                <w:color w:val="auto"/>
                <w:kern w:val="0"/>
                <w:sz w:val="24"/>
              </w:rPr>
              <w:t>北部的流水庵、凤凰山、凤凰翅、燕子岩、冬桃山等21座山，海拔均在1000</w:t>
            </w:r>
            <w:r>
              <w:rPr>
                <w:rFonts w:hint="eastAsia"/>
                <w:snapToGrid w:val="0"/>
                <w:color w:val="auto"/>
                <w:kern w:val="0"/>
                <w:sz w:val="24"/>
              </w:rPr>
              <w:t>m</w:t>
            </w:r>
            <w:r>
              <w:rPr>
                <w:snapToGrid w:val="0"/>
                <w:color w:val="auto"/>
                <w:kern w:val="0"/>
                <w:sz w:val="24"/>
              </w:rPr>
              <w:t>以上。</w:t>
            </w:r>
          </w:p>
          <w:p>
            <w:pPr>
              <w:numPr>
                <w:ilvl w:val="0"/>
                <w:numId w:val="5"/>
              </w:numPr>
              <w:adjustRightInd w:val="0"/>
              <w:spacing w:line="360" w:lineRule="auto"/>
              <w:rPr>
                <w:b/>
                <w:color w:val="auto"/>
                <w:sz w:val="24"/>
              </w:rPr>
            </w:pPr>
            <w:r>
              <w:rPr>
                <w:rFonts w:hint="eastAsia"/>
                <w:b/>
                <w:color w:val="auto"/>
                <w:sz w:val="24"/>
              </w:rPr>
              <w:t>地震</w:t>
            </w:r>
          </w:p>
          <w:p>
            <w:pPr>
              <w:spacing w:line="360" w:lineRule="auto"/>
              <w:ind w:firstLine="480" w:firstLineChars="200"/>
              <w:rPr>
                <w:rFonts w:hint="eastAsia"/>
                <w:color w:val="auto"/>
                <w:sz w:val="24"/>
              </w:rPr>
            </w:pPr>
            <w:r>
              <w:rPr>
                <w:rFonts w:hint="eastAsia"/>
                <w:color w:val="auto"/>
                <w:sz w:val="24"/>
              </w:rPr>
              <w:t>根据《中国地震参数区划图》，本项目所在区域在《中国地震动峰值加速度区划图》中标出的地震动峰值加速度为</w:t>
            </w:r>
            <w:r>
              <w:rPr>
                <w:color w:val="auto"/>
                <w:sz w:val="24"/>
              </w:rPr>
              <w:t>0.05g</w:t>
            </w:r>
            <w:r>
              <w:rPr>
                <w:rFonts w:hint="eastAsia"/>
                <w:color w:val="auto"/>
                <w:sz w:val="24"/>
              </w:rPr>
              <w:t>，在《中国地震反应谱特征周期区划图》中标出的地震动反应谱特征周期为</w:t>
            </w:r>
            <w:r>
              <w:rPr>
                <w:color w:val="auto"/>
                <w:sz w:val="24"/>
              </w:rPr>
              <w:t>0.35s</w:t>
            </w:r>
            <w:r>
              <w:rPr>
                <w:rFonts w:hint="eastAsia"/>
                <w:color w:val="auto"/>
                <w:sz w:val="24"/>
              </w:rPr>
              <w:t>，相对应的地震基本烈度小于Ⅵ。</w:t>
            </w:r>
          </w:p>
          <w:p>
            <w:pPr>
              <w:numPr>
                <w:ilvl w:val="0"/>
                <w:numId w:val="5"/>
              </w:numPr>
              <w:adjustRightInd w:val="0"/>
              <w:spacing w:line="360" w:lineRule="auto"/>
              <w:rPr>
                <w:b/>
                <w:color w:val="auto"/>
                <w:sz w:val="24"/>
              </w:rPr>
            </w:pPr>
            <w:r>
              <w:rPr>
                <w:rFonts w:hint="eastAsia"/>
                <w:b/>
                <w:color w:val="auto"/>
                <w:sz w:val="24"/>
              </w:rPr>
              <w:t>气候</w:t>
            </w:r>
            <w:r>
              <w:rPr>
                <w:b/>
                <w:color w:val="auto"/>
                <w:sz w:val="24"/>
              </w:rPr>
              <w:t>气象</w:t>
            </w:r>
          </w:p>
          <w:p>
            <w:pPr>
              <w:spacing w:line="360" w:lineRule="auto"/>
              <w:ind w:firstLine="480" w:firstLineChars="200"/>
              <w:rPr>
                <w:rFonts w:hint="eastAsia"/>
                <w:color w:val="auto"/>
                <w:sz w:val="24"/>
              </w:rPr>
            </w:pPr>
            <w:r>
              <w:rPr>
                <w:rFonts w:hint="eastAsia"/>
                <w:color w:val="auto"/>
                <w:sz w:val="24"/>
              </w:rPr>
              <w:t>平江县</w:t>
            </w:r>
            <w:r>
              <w:rPr>
                <w:rFonts w:hAnsi="宋体"/>
                <w:color w:val="auto"/>
                <w:sz w:val="24"/>
              </w:rPr>
              <w:t>地处湿润的大陆季风气候区，属中亚热带向北亚热带过渡的气候带</w:t>
            </w:r>
            <w:r>
              <w:rPr>
                <w:rFonts w:hint="eastAsia" w:hAnsi="宋体"/>
                <w:color w:val="auto"/>
                <w:sz w:val="24"/>
              </w:rPr>
              <w:t>。区域</w:t>
            </w:r>
            <w:r>
              <w:rPr>
                <w:rFonts w:hAnsi="宋体"/>
                <w:color w:val="auto"/>
                <w:sz w:val="24"/>
              </w:rPr>
              <w:t>全年平均气温为16.8</w:t>
            </w:r>
            <w:r>
              <w:rPr>
                <w:rFonts w:hint="eastAsia" w:hAnsi="宋体"/>
                <w:color w:val="auto"/>
                <w:sz w:val="24"/>
              </w:rPr>
              <w:t>~</w:t>
            </w:r>
            <w:r>
              <w:rPr>
                <w:rFonts w:hAnsi="宋体"/>
                <w:color w:val="auto"/>
                <w:sz w:val="24"/>
              </w:rPr>
              <w:t>16.9</w:t>
            </w:r>
            <w:r>
              <w:rPr>
                <w:rFonts w:hint="eastAsia" w:hAnsi="宋体"/>
                <w:color w:val="auto"/>
                <w:sz w:val="24"/>
              </w:rPr>
              <w:t>℃，</w:t>
            </w:r>
            <w:r>
              <w:rPr>
                <w:rFonts w:hAnsi="宋体"/>
                <w:color w:val="auto"/>
                <w:sz w:val="24"/>
              </w:rPr>
              <w:t>最热月7月份平均气温为28.6</w:t>
            </w:r>
            <w:r>
              <w:rPr>
                <w:rFonts w:hint="eastAsia" w:hAnsi="宋体"/>
                <w:color w:val="auto"/>
                <w:sz w:val="24"/>
              </w:rPr>
              <w:t>℃</w:t>
            </w:r>
            <w:r>
              <w:rPr>
                <w:rFonts w:hAnsi="宋体"/>
                <w:color w:val="auto"/>
                <w:sz w:val="24"/>
              </w:rPr>
              <w:t>，最冷月1月份平均气温为4.5</w:t>
            </w:r>
            <w:r>
              <w:rPr>
                <w:rFonts w:hint="eastAsia" w:hAnsi="宋体"/>
                <w:color w:val="auto"/>
                <w:sz w:val="24"/>
              </w:rPr>
              <w:t>℃</w:t>
            </w:r>
            <w:r>
              <w:rPr>
                <w:rFonts w:hAnsi="宋体"/>
                <w:color w:val="auto"/>
                <w:sz w:val="24"/>
              </w:rPr>
              <w:t>，</w:t>
            </w:r>
            <w:r>
              <w:rPr>
                <w:rFonts w:hint="eastAsia" w:hAnsi="宋体"/>
                <w:color w:val="auto"/>
                <w:sz w:val="24"/>
              </w:rPr>
              <w:t>极端最高气温40.3℃，极端最低气温-12.0℃，</w:t>
            </w:r>
            <w:r>
              <w:rPr>
                <w:rFonts w:hAnsi="宋体"/>
                <w:color w:val="auto"/>
                <w:sz w:val="24"/>
              </w:rPr>
              <w:t>年正积温为6150</w:t>
            </w:r>
            <w:r>
              <w:rPr>
                <w:rFonts w:hint="eastAsia" w:hAnsi="宋体"/>
                <w:color w:val="auto"/>
                <w:sz w:val="24"/>
              </w:rPr>
              <w:t>~</w:t>
            </w:r>
            <w:r>
              <w:rPr>
                <w:rFonts w:hAnsi="宋体"/>
                <w:color w:val="auto"/>
                <w:sz w:val="24"/>
              </w:rPr>
              <w:t>6180</w:t>
            </w:r>
            <w:r>
              <w:rPr>
                <w:rFonts w:hint="eastAsia" w:hAnsi="宋体"/>
                <w:color w:val="auto"/>
                <w:sz w:val="24"/>
              </w:rPr>
              <w:t>℃；</w:t>
            </w:r>
            <w:r>
              <w:rPr>
                <w:rFonts w:hAnsi="宋体"/>
                <w:color w:val="auto"/>
                <w:sz w:val="24"/>
              </w:rPr>
              <w:t>全年平均日照时数为1700</w:t>
            </w:r>
            <w:r>
              <w:rPr>
                <w:rFonts w:hint="eastAsia" w:hAnsi="宋体"/>
                <w:color w:val="auto"/>
                <w:sz w:val="24"/>
              </w:rPr>
              <w:t>~</w:t>
            </w:r>
            <w:r>
              <w:rPr>
                <w:rFonts w:hAnsi="宋体"/>
                <w:color w:val="auto"/>
                <w:sz w:val="24"/>
              </w:rPr>
              <w:t>1780</w:t>
            </w:r>
            <w:r>
              <w:rPr>
                <w:rFonts w:hint="eastAsia" w:hAnsi="宋体"/>
                <w:color w:val="auto"/>
                <w:sz w:val="24"/>
              </w:rPr>
              <w:t>h</w:t>
            </w:r>
            <w:r>
              <w:rPr>
                <w:rFonts w:hAnsi="宋体"/>
                <w:color w:val="auto"/>
                <w:sz w:val="24"/>
              </w:rPr>
              <w:t>，全年太阳辐射总量108.5kca/cm</w:t>
            </w:r>
            <w:r>
              <w:rPr>
                <w:rFonts w:hAnsi="宋体"/>
                <w:color w:val="auto"/>
                <w:sz w:val="24"/>
                <w:vertAlign w:val="superscript"/>
              </w:rPr>
              <w:t>2</w:t>
            </w:r>
            <w:r>
              <w:rPr>
                <w:rFonts w:hint="eastAsia" w:hAnsi="宋体"/>
                <w:color w:val="auto"/>
                <w:sz w:val="24"/>
              </w:rPr>
              <w:t>；</w:t>
            </w:r>
            <w:r>
              <w:rPr>
                <w:rFonts w:hAnsi="宋体"/>
                <w:color w:val="auto"/>
                <w:sz w:val="24"/>
              </w:rPr>
              <w:t>全年降水量1310</w:t>
            </w:r>
            <w:r>
              <w:rPr>
                <w:rFonts w:hint="eastAsia" w:hAnsi="宋体"/>
                <w:color w:val="auto"/>
                <w:sz w:val="24"/>
              </w:rPr>
              <w:t>~</w:t>
            </w:r>
            <w:r>
              <w:rPr>
                <w:rFonts w:hAnsi="宋体"/>
                <w:color w:val="auto"/>
                <w:sz w:val="24"/>
              </w:rPr>
              <w:t>1430mm，</w:t>
            </w:r>
            <w:r>
              <w:rPr>
                <w:rFonts w:hint="eastAsia" w:hAnsi="宋体"/>
                <w:color w:val="auto"/>
                <w:sz w:val="24"/>
              </w:rPr>
              <w:t>日最大降水量276.1mm，</w:t>
            </w:r>
            <w:r>
              <w:rPr>
                <w:rFonts w:hAnsi="宋体"/>
                <w:color w:val="auto"/>
                <w:sz w:val="24"/>
              </w:rPr>
              <w:t>全年降水日为160天左右，其中4</w:t>
            </w:r>
            <w:r>
              <w:rPr>
                <w:rFonts w:hint="eastAsia" w:hAnsi="宋体"/>
                <w:color w:val="auto"/>
                <w:sz w:val="24"/>
              </w:rPr>
              <w:t>~</w:t>
            </w:r>
            <w:r>
              <w:rPr>
                <w:rFonts w:hAnsi="宋体"/>
                <w:color w:val="auto"/>
                <w:sz w:val="24"/>
              </w:rPr>
              <w:t>9月份降雨量为880</w:t>
            </w:r>
            <w:r>
              <w:rPr>
                <w:rFonts w:hint="eastAsia" w:hAnsi="宋体"/>
                <w:color w:val="auto"/>
                <w:sz w:val="24"/>
              </w:rPr>
              <w:t>~</w:t>
            </w:r>
            <w:r>
              <w:rPr>
                <w:rFonts w:hAnsi="宋体"/>
                <w:color w:val="auto"/>
                <w:sz w:val="24"/>
              </w:rPr>
              <w:t>950mm，占全年的66.8%，易产生局部滞涝，7</w:t>
            </w:r>
            <w:r>
              <w:rPr>
                <w:rFonts w:hint="eastAsia" w:hAnsi="宋体"/>
                <w:color w:val="auto"/>
                <w:sz w:val="24"/>
              </w:rPr>
              <w:t>~</w:t>
            </w:r>
            <w:r>
              <w:rPr>
                <w:rFonts w:hAnsi="宋体"/>
                <w:color w:val="auto"/>
                <w:sz w:val="24"/>
              </w:rPr>
              <w:t>9月份雨量220</w:t>
            </w:r>
            <w:r>
              <w:rPr>
                <w:rFonts w:hint="eastAsia" w:hAnsi="宋体"/>
                <w:color w:val="auto"/>
                <w:sz w:val="24"/>
              </w:rPr>
              <w:t>~</w:t>
            </w:r>
            <w:r>
              <w:rPr>
                <w:rFonts w:hAnsi="宋体"/>
                <w:color w:val="auto"/>
                <w:sz w:val="24"/>
              </w:rPr>
              <w:t>300mm，仅占全年的19%，又容易形成旱灾；全年平均相对湿度为82</w:t>
            </w:r>
            <w:r>
              <w:rPr>
                <w:rFonts w:hint="eastAsia" w:hAnsi="宋体"/>
                <w:color w:val="auto"/>
                <w:sz w:val="24"/>
              </w:rPr>
              <w:t>%</w:t>
            </w:r>
            <w:r>
              <w:rPr>
                <w:rFonts w:hAnsi="宋体"/>
                <w:color w:val="auto"/>
                <w:sz w:val="24"/>
              </w:rPr>
              <w:t>，</w:t>
            </w:r>
            <w:r>
              <w:rPr>
                <w:rFonts w:hint="eastAsia" w:hAnsi="宋体"/>
                <w:color w:val="auto"/>
                <w:sz w:val="24"/>
              </w:rPr>
              <w:t>年蒸发量1268.7mm；</w:t>
            </w:r>
            <w:r>
              <w:rPr>
                <w:rFonts w:hAnsi="宋体"/>
                <w:color w:val="auto"/>
                <w:sz w:val="24"/>
              </w:rPr>
              <w:t>全年平均风速为2.2m/s</w:t>
            </w:r>
            <w:r>
              <w:rPr>
                <w:rFonts w:hint="eastAsia" w:hAnsi="宋体"/>
                <w:color w:val="auto"/>
                <w:sz w:val="24"/>
              </w:rPr>
              <w:t>，</w:t>
            </w:r>
            <w:r>
              <w:rPr>
                <w:rFonts w:hAnsi="宋体"/>
                <w:color w:val="auto"/>
                <w:sz w:val="24"/>
              </w:rPr>
              <w:t>主导风向为</w:t>
            </w:r>
            <w:r>
              <w:rPr>
                <w:rFonts w:hint="eastAsia" w:hAnsi="宋体"/>
                <w:color w:val="auto"/>
                <w:sz w:val="24"/>
              </w:rPr>
              <w:t>西</w:t>
            </w:r>
            <w:r>
              <w:rPr>
                <w:rFonts w:hAnsi="宋体"/>
                <w:color w:val="auto"/>
                <w:sz w:val="24"/>
              </w:rPr>
              <w:t>风，夏季多南风。</w:t>
            </w:r>
          </w:p>
          <w:p>
            <w:pPr>
              <w:numPr>
                <w:ilvl w:val="0"/>
                <w:numId w:val="5"/>
              </w:numPr>
              <w:adjustRightInd w:val="0"/>
              <w:spacing w:line="360" w:lineRule="auto"/>
              <w:rPr>
                <w:rFonts w:hint="eastAsia"/>
                <w:b/>
                <w:color w:val="auto"/>
                <w:sz w:val="24"/>
              </w:rPr>
            </w:pPr>
            <w:r>
              <w:rPr>
                <w:b/>
                <w:color w:val="auto"/>
                <w:sz w:val="24"/>
              </w:rPr>
              <w:t>水文</w:t>
            </w:r>
            <w:r>
              <w:rPr>
                <w:rFonts w:hint="eastAsia"/>
                <w:b/>
                <w:color w:val="auto"/>
                <w:sz w:val="24"/>
              </w:rPr>
              <w:t>状况</w:t>
            </w:r>
          </w:p>
          <w:p>
            <w:pPr>
              <w:spacing w:line="360" w:lineRule="auto"/>
              <w:ind w:firstLine="480" w:firstLineChars="200"/>
              <w:rPr>
                <w:rFonts w:hint="eastAsia"/>
                <w:color w:val="auto"/>
                <w:sz w:val="24"/>
              </w:rPr>
            </w:pPr>
            <w:r>
              <w:rPr>
                <w:color w:val="auto"/>
                <w:sz w:val="24"/>
              </w:rPr>
              <w:t>平江县境内河网密布，分属汩罗江和新墙河两大水系</w:t>
            </w:r>
            <w:r>
              <w:rPr>
                <w:rFonts w:hint="eastAsia"/>
                <w:color w:val="auto"/>
                <w:sz w:val="24"/>
              </w:rPr>
              <w:t>，</w:t>
            </w:r>
            <w:r>
              <w:rPr>
                <w:color w:val="auto"/>
                <w:sz w:val="24"/>
              </w:rPr>
              <w:t>其中汩罗江流域面积占96.1%</w:t>
            </w:r>
            <w:r>
              <w:rPr>
                <w:rFonts w:hint="eastAsia"/>
                <w:color w:val="auto"/>
                <w:sz w:val="24"/>
              </w:rPr>
              <w:t>，</w:t>
            </w:r>
            <w:r>
              <w:rPr>
                <w:color w:val="auto"/>
                <w:sz w:val="24"/>
              </w:rPr>
              <w:t>新墙河流域面积占3.9%。</w:t>
            </w:r>
          </w:p>
          <w:p>
            <w:pPr>
              <w:spacing w:line="360" w:lineRule="auto"/>
              <w:ind w:firstLine="480" w:firstLineChars="200"/>
              <w:rPr>
                <w:rFonts w:hint="eastAsia"/>
                <w:color w:val="auto"/>
                <w:sz w:val="24"/>
              </w:rPr>
            </w:pPr>
            <w:r>
              <w:rPr>
                <w:color w:val="auto"/>
                <w:sz w:val="24"/>
              </w:rPr>
              <w:t>汨罗江</w:t>
            </w:r>
            <w:r>
              <w:rPr>
                <w:rFonts w:hint="eastAsia"/>
                <w:color w:val="auto"/>
                <w:sz w:val="24"/>
              </w:rPr>
              <w:t>：</w:t>
            </w:r>
            <w:r>
              <w:rPr>
                <w:color w:val="auto"/>
                <w:sz w:val="24"/>
              </w:rPr>
              <w:t>汨罗江发源于黄龙山梨树埚（江西修水县境）</w:t>
            </w:r>
            <w:r>
              <w:rPr>
                <w:rFonts w:hint="eastAsia"/>
                <w:color w:val="auto"/>
                <w:sz w:val="24"/>
              </w:rPr>
              <w:t>，经修水县白石桥，于龙门流入湖南省平江县境内</w:t>
            </w:r>
            <w:r>
              <w:rPr>
                <w:color w:val="auto"/>
                <w:sz w:val="24"/>
              </w:rPr>
              <w:t>，自东向西贯穿平江全境，在平江县境内河段全长192.9km，有大小支流141条，其中一级支流50条，二级支流67条，三级支流21条，四级支流3条</w:t>
            </w:r>
            <w:r>
              <w:rPr>
                <w:rFonts w:hint="eastAsia"/>
                <w:color w:val="auto"/>
                <w:sz w:val="24"/>
              </w:rPr>
              <w:t>，</w:t>
            </w:r>
            <w:r>
              <w:rPr>
                <w:color w:val="auto"/>
                <w:sz w:val="24"/>
              </w:rPr>
              <w:t>总长2656.9</w:t>
            </w:r>
            <w:r>
              <w:rPr>
                <w:rFonts w:hint="eastAsia"/>
                <w:color w:val="auto"/>
                <w:sz w:val="24"/>
              </w:rPr>
              <w:t>km</w:t>
            </w:r>
            <w:r>
              <w:rPr>
                <w:color w:val="auto"/>
                <w:sz w:val="24"/>
              </w:rPr>
              <w:t>，集雨面积达300</w:t>
            </w:r>
            <w:r>
              <w:rPr>
                <w:rFonts w:hint="eastAsia"/>
                <w:color w:val="auto"/>
                <w:sz w:val="24"/>
              </w:rPr>
              <w:t>km</w:t>
            </w:r>
            <w:r>
              <w:rPr>
                <w:rFonts w:hint="eastAsia"/>
                <w:color w:val="auto"/>
                <w:sz w:val="24"/>
                <w:vertAlign w:val="superscript"/>
              </w:rPr>
              <w:t>2</w:t>
            </w:r>
            <w:r>
              <w:rPr>
                <w:color w:val="auto"/>
                <w:sz w:val="24"/>
              </w:rPr>
              <w:t>以上的5条，200~300</w:t>
            </w:r>
            <w:r>
              <w:rPr>
                <w:rFonts w:hint="eastAsia"/>
                <w:color w:val="auto"/>
                <w:sz w:val="24"/>
              </w:rPr>
              <w:t>km</w:t>
            </w:r>
            <w:r>
              <w:rPr>
                <w:rFonts w:hint="eastAsia"/>
                <w:color w:val="auto"/>
                <w:sz w:val="24"/>
                <w:vertAlign w:val="superscript"/>
              </w:rPr>
              <w:t>2</w:t>
            </w:r>
            <w:r>
              <w:rPr>
                <w:color w:val="auto"/>
                <w:sz w:val="24"/>
              </w:rPr>
              <w:t>的1条，100~200</w:t>
            </w:r>
            <w:r>
              <w:rPr>
                <w:rFonts w:hint="eastAsia"/>
                <w:color w:val="auto"/>
                <w:sz w:val="24"/>
              </w:rPr>
              <w:t>km</w:t>
            </w:r>
            <w:r>
              <w:rPr>
                <w:rFonts w:hint="eastAsia"/>
                <w:color w:val="auto"/>
                <w:sz w:val="24"/>
                <w:vertAlign w:val="superscript"/>
              </w:rPr>
              <w:t>2</w:t>
            </w:r>
            <w:r>
              <w:rPr>
                <w:color w:val="auto"/>
                <w:sz w:val="24"/>
              </w:rPr>
              <w:t>的6条，50~100</w:t>
            </w:r>
            <w:r>
              <w:rPr>
                <w:rFonts w:hint="eastAsia"/>
                <w:color w:val="auto"/>
                <w:sz w:val="24"/>
              </w:rPr>
              <w:t>km</w:t>
            </w:r>
            <w:r>
              <w:rPr>
                <w:rFonts w:hint="eastAsia"/>
                <w:color w:val="auto"/>
                <w:sz w:val="24"/>
                <w:vertAlign w:val="superscript"/>
              </w:rPr>
              <w:t>2</w:t>
            </w:r>
            <w:r>
              <w:rPr>
                <w:color w:val="auto"/>
                <w:sz w:val="24"/>
              </w:rPr>
              <w:t>的13条</w:t>
            </w:r>
            <w:r>
              <w:rPr>
                <w:rFonts w:hint="eastAsia"/>
                <w:color w:val="auto"/>
                <w:sz w:val="24"/>
              </w:rPr>
              <w:t>，</w:t>
            </w:r>
            <w:r>
              <w:rPr>
                <w:color w:val="auto"/>
                <w:sz w:val="24"/>
              </w:rPr>
              <w:t>20~50</w:t>
            </w:r>
            <w:r>
              <w:rPr>
                <w:rFonts w:hint="eastAsia"/>
                <w:color w:val="auto"/>
                <w:sz w:val="24"/>
              </w:rPr>
              <w:t>km</w:t>
            </w:r>
            <w:r>
              <w:rPr>
                <w:rFonts w:hint="eastAsia"/>
                <w:color w:val="auto"/>
                <w:sz w:val="24"/>
                <w:vertAlign w:val="superscript"/>
              </w:rPr>
              <w:t>2</w:t>
            </w:r>
            <w:r>
              <w:rPr>
                <w:color w:val="auto"/>
                <w:sz w:val="24"/>
              </w:rPr>
              <w:t>的29条</w:t>
            </w:r>
            <w:r>
              <w:rPr>
                <w:rFonts w:hint="eastAsia"/>
                <w:color w:val="auto"/>
                <w:sz w:val="24"/>
              </w:rPr>
              <w:t>，</w:t>
            </w:r>
            <w:r>
              <w:rPr>
                <w:color w:val="auto"/>
                <w:sz w:val="24"/>
              </w:rPr>
              <w:t>5~20</w:t>
            </w:r>
            <w:r>
              <w:rPr>
                <w:rFonts w:hint="eastAsia"/>
                <w:color w:val="auto"/>
                <w:sz w:val="24"/>
              </w:rPr>
              <w:t>km</w:t>
            </w:r>
            <w:r>
              <w:rPr>
                <w:rFonts w:hint="eastAsia"/>
                <w:color w:val="auto"/>
                <w:sz w:val="24"/>
                <w:vertAlign w:val="superscript"/>
              </w:rPr>
              <w:t>2</w:t>
            </w:r>
            <w:r>
              <w:rPr>
                <w:color w:val="auto"/>
                <w:sz w:val="24"/>
              </w:rPr>
              <w:t>的87条</w:t>
            </w:r>
            <w:r>
              <w:rPr>
                <w:rFonts w:hint="eastAsia"/>
                <w:color w:val="auto"/>
                <w:sz w:val="24"/>
              </w:rPr>
              <w:t>；</w:t>
            </w:r>
            <w:r>
              <w:rPr>
                <w:color w:val="auto"/>
                <w:sz w:val="24"/>
              </w:rPr>
              <w:t>河网密度0.64</w:t>
            </w:r>
            <w:r>
              <w:rPr>
                <w:rFonts w:hint="eastAsia"/>
                <w:color w:val="auto"/>
                <w:sz w:val="24"/>
              </w:rPr>
              <w:t>km</w:t>
            </w:r>
            <w:r>
              <w:rPr>
                <w:color w:val="auto"/>
                <w:sz w:val="24"/>
              </w:rPr>
              <w:t>/</w:t>
            </w:r>
            <w:r>
              <w:rPr>
                <w:rFonts w:hint="eastAsia"/>
                <w:color w:val="auto"/>
                <w:sz w:val="24"/>
              </w:rPr>
              <w:t>km</w:t>
            </w:r>
            <w:r>
              <w:rPr>
                <w:rFonts w:hint="eastAsia"/>
                <w:color w:val="auto"/>
                <w:sz w:val="24"/>
                <w:vertAlign w:val="superscript"/>
              </w:rPr>
              <w:t>2</w:t>
            </w:r>
            <w:r>
              <w:rPr>
                <w:rFonts w:hint="eastAsia"/>
                <w:color w:val="auto"/>
                <w:sz w:val="24"/>
              </w:rPr>
              <w:t>，</w:t>
            </w:r>
            <w:r>
              <w:rPr>
                <w:color w:val="auto"/>
                <w:sz w:val="24"/>
              </w:rPr>
              <w:t>径流总量32.56亿</w:t>
            </w:r>
            <w:r>
              <w:rPr>
                <w:rFonts w:hint="eastAsia"/>
                <w:color w:val="auto"/>
                <w:sz w:val="24"/>
                <w:lang w:eastAsia="zh-CN"/>
              </w:rPr>
              <w:t>m³</w:t>
            </w:r>
            <w:r>
              <w:rPr>
                <w:rFonts w:hint="eastAsia"/>
                <w:color w:val="auto"/>
                <w:sz w:val="24"/>
              </w:rPr>
              <w:t>，</w:t>
            </w:r>
            <w:r>
              <w:rPr>
                <w:color w:val="auto"/>
                <w:sz w:val="24"/>
              </w:rPr>
              <w:t>流域面积4053.3</w:t>
            </w:r>
            <w:r>
              <w:rPr>
                <w:rFonts w:hint="eastAsia"/>
                <w:color w:val="auto"/>
                <w:sz w:val="24"/>
              </w:rPr>
              <w:t>km</w:t>
            </w:r>
            <w:r>
              <w:rPr>
                <w:rFonts w:hint="eastAsia"/>
                <w:color w:val="auto"/>
                <w:sz w:val="24"/>
                <w:vertAlign w:val="superscript"/>
              </w:rPr>
              <w:t>2</w:t>
            </w:r>
            <w:r>
              <w:rPr>
                <w:color w:val="auto"/>
                <w:sz w:val="24"/>
              </w:rPr>
              <w:t>，落差107.5</w:t>
            </w:r>
            <w:r>
              <w:rPr>
                <w:rFonts w:hint="eastAsia"/>
                <w:color w:val="auto"/>
                <w:sz w:val="24"/>
              </w:rPr>
              <w:t>m</w:t>
            </w:r>
            <w:r>
              <w:rPr>
                <w:color w:val="auto"/>
                <w:sz w:val="24"/>
              </w:rPr>
              <w:t>，平均坡降4‰</w:t>
            </w:r>
            <w:r>
              <w:rPr>
                <w:rFonts w:hint="eastAsia"/>
                <w:color w:val="auto"/>
                <w:sz w:val="24"/>
              </w:rPr>
              <w:t>；丰水期水位76.8m，流量2700</w:t>
            </w:r>
            <w:r>
              <w:rPr>
                <w:rFonts w:hint="eastAsia"/>
                <w:color w:val="auto"/>
                <w:sz w:val="24"/>
                <w:lang w:eastAsia="zh-CN"/>
              </w:rPr>
              <w:t>m³</w:t>
            </w:r>
            <w:r>
              <w:rPr>
                <w:rFonts w:hint="eastAsia"/>
                <w:color w:val="auto"/>
                <w:sz w:val="24"/>
              </w:rPr>
              <w:t>/s，枯水期水位75.9m，流量10</w:t>
            </w:r>
            <w:r>
              <w:rPr>
                <w:rFonts w:hint="eastAsia"/>
                <w:color w:val="auto"/>
                <w:sz w:val="24"/>
                <w:lang w:eastAsia="zh-CN"/>
              </w:rPr>
              <w:t>m³</w:t>
            </w:r>
            <w:r>
              <w:rPr>
                <w:rFonts w:hint="eastAsia"/>
                <w:color w:val="auto"/>
                <w:sz w:val="24"/>
              </w:rPr>
              <w:t>/s。</w:t>
            </w:r>
          </w:p>
          <w:p>
            <w:pPr>
              <w:spacing w:line="360" w:lineRule="auto"/>
              <w:ind w:firstLine="480" w:firstLineChars="200"/>
              <w:rPr>
                <w:rFonts w:hint="eastAsia"/>
                <w:color w:val="auto"/>
                <w:sz w:val="24"/>
              </w:rPr>
            </w:pPr>
            <w:r>
              <w:rPr>
                <w:color w:val="auto"/>
                <w:sz w:val="24"/>
              </w:rPr>
              <w:t>新墙河</w:t>
            </w:r>
            <w:r>
              <w:rPr>
                <w:rFonts w:hint="eastAsia"/>
                <w:color w:val="auto"/>
                <w:sz w:val="24"/>
              </w:rPr>
              <w:t>：新墙河为洞庭湖一级支流，沙港、游港为新墙河两大支流，其中沙港河发源于平江县团山宝贝岭，主要流经板江、月田、铁山口、公田、扬林街，于筻口镇的三港咀汇合游港后流入新墙河主流，流域面积</w:t>
            </w:r>
            <w:r>
              <w:rPr>
                <w:color w:val="auto"/>
                <w:sz w:val="24"/>
              </w:rPr>
              <w:t>974.69km</w:t>
            </w:r>
            <w:r>
              <w:rPr>
                <w:color w:val="auto"/>
                <w:sz w:val="24"/>
                <w:vertAlign w:val="superscript"/>
              </w:rPr>
              <w:t>2</w:t>
            </w:r>
            <w:r>
              <w:rPr>
                <w:rFonts w:hint="eastAsia"/>
                <w:color w:val="auto"/>
                <w:sz w:val="24"/>
              </w:rPr>
              <w:t>；游港河发源于临湘市龙窖山，由西塘入岳阳县境，经筻口至三港嘴汇入新墙河主流，流域面积</w:t>
            </w:r>
            <w:r>
              <w:rPr>
                <w:color w:val="auto"/>
                <w:sz w:val="24"/>
              </w:rPr>
              <w:t>973km</w:t>
            </w:r>
            <w:r>
              <w:rPr>
                <w:color w:val="auto"/>
                <w:sz w:val="24"/>
                <w:vertAlign w:val="superscript"/>
              </w:rPr>
              <w:t>2</w:t>
            </w:r>
            <w:r>
              <w:rPr>
                <w:rFonts w:hint="eastAsia"/>
                <w:color w:val="auto"/>
                <w:sz w:val="24"/>
              </w:rPr>
              <w:t>。沙港、游港河自三港嘴汇流后经新墙、荣家湾从破岚口入东洞庭湖，三港嘴至破岚口区间长</w:t>
            </w:r>
            <w:r>
              <w:rPr>
                <w:color w:val="auto"/>
                <w:sz w:val="24"/>
              </w:rPr>
              <w:t>26.80km</w:t>
            </w:r>
            <w:r>
              <w:rPr>
                <w:rFonts w:hint="eastAsia"/>
                <w:color w:val="auto"/>
                <w:sz w:val="24"/>
              </w:rPr>
              <w:t>，区间流域面积</w:t>
            </w:r>
            <w:r>
              <w:rPr>
                <w:color w:val="auto"/>
                <w:sz w:val="24"/>
              </w:rPr>
              <w:t>418km</w:t>
            </w:r>
            <w:r>
              <w:rPr>
                <w:color w:val="auto"/>
                <w:sz w:val="24"/>
                <w:vertAlign w:val="superscript"/>
              </w:rPr>
              <w:t>2</w:t>
            </w:r>
            <w:r>
              <w:rPr>
                <w:rFonts w:hint="eastAsia"/>
                <w:color w:val="auto"/>
                <w:sz w:val="24"/>
              </w:rPr>
              <w:t>，平均坡降</w:t>
            </w:r>
            <w:r>
              <w:rPr>
                <w:color w:val="auto"/>
                <w:sz w:val="24"/>
              </w:rPr>
              <w:t>0.75‰</w:t>
            </w:r>
            <w:r>
              <w:rPr>
                <w:rFonts w:hint="eastAsia"/>
                <w:color w:val="auto"/>
                <w:sz w:val="24"/>
              </w:rPr>
              <w:t>。</w:t>
            </w:r>
          </w:p>
          <w:p>
            <w:pPr>
              <w:spacing w:line="360" w:lineRule="auto"/>
              <w:ind w:firstLine="480" w:firstLineChars="200"/>
              <w:rPr>
                <w:rFonts w:hint="eastAsia"/>
                <w:color w:val="auto"/>
                <w:sz w:val="24"/>
              </w:rPr>
            </w:pPr>
            <w:r>
              <w:rPr>
                <w:rFonts w:hint="eastAsia"/>
                <w:color w:val="auto"/>
                <w:sz w:val="24"/>
              </w:rPr>
              <w:t>本项目所在区域地表水系情况见附图2。</w:t>
            </w:r>
          </w:p>
          <w:p>
            <w:pPr>
              <w:numPr>
                <w:ilvl w:val="0"/>
                <w:numId w:val="5"/>
              </w:numPr>
              <w:adjustRightInd w:val="0"/>
              <w:spacing w:line="360" w:lineRule="auto"/>
              <w:rPr>
                <w:b/>
                <w:color w:val="auto"/>
                <w:sz w:val="24"/>
              </w:rPr>
            </w:pPr>
            <w:r>
              <w:rPr>
                <w:b/>
                <w:color w:val="auto"/>
                <w:sz w:val="24"/>
              </w:rPr>
              <w:t>土壤</w:t>
            </w:r>
          </w:p>
          <w:p>
            <w:pPr>
              <w:spacing w:line="360" w:lineRule="auto"/>
              <w:ind w:firstLine="480" w:firstLineChars="200"/>
              <w:rPr>
                <w:rFonts w:hint="eastAsia"/>
                <w:color w:val="auto"/>
                <w:sz w:val="24"/>
              </w:rPr>
            </w:pPr>
            <w:r>
              <w:rPr>
                <w:color w:val="auto"/>
                <w:sz w:val="24"/>
              </w:rPr>
              <w:t>平江县成土母岩质主要有变质岩类、花岗岩类、第三纪红岩类、第四纪红土类等，全县土壤分7个大类，13个亚类，43个土属，66个土种。其中由变质岩类发育而成的土壤面积占全县的55.6%，由花岗岩、第三纪红岩类、砾岩类、第四纪红土类，河流冲积物发育而成的土壤面积分别占全境的18.4%、15.1%、1.1%、9.8%。山地土壤主要有山地红壤、山地黄壤及山地黄棕壤。</w:t>
            </w:r>
          </w:p>
          <w:p>
            <w:pPr>
              <w:numPr>
                <w:ilvl w:val="0"/>
                <w:numId w:val="5"/>
              </w:numPr>
              <w:adjustRightInd w:val="0"/>
              <w:spacing w:line="360" w:lineRule="auto"/>
              <w:rPr>
                <w:b/>
                <w:color w:val="auto"/>
                <w:sz w:val="24"/>
              </w:rPr>
            </w:pPr>
            <w:r>
              <w:rPr>
                <w:rFonts w:hint="eastAsia"/>
                <w:b/>
                <w:color w:val="auto"/>
                <w:sz w:val="24"/>
              </w:rPr>
              <w:t>生态环境</w:t>
            </w:r>
          </w:p>
          <w:p>
            <w:pPr>
              <w:adjustRightInd w:val="0"/>
              <w:spacing w:line="360" w:lineRule="auto"/>
              <w:ind w:firstLine="480" w:firstLineChars="200"/>
              <w:rPr>
                <w:color w:val="auto"/>
                <w:sz w:val="24"/>
              </w:rPr>
            </w:pPr>
            <w:r>
              <w:rPr>
                <w:color w:val="auto"/>
                <w:sz w:val="24"/>
              </w:rPr>
              <w:t>平江县自然植被属亚热带常绿阔叶林带，森林植被分为人工植被和自然植被两个部分，林种成份以樟科、山毛榉科、山茶科、松科、杉科为主。由于历年的砍伐，区域自然植被以次生阔叶森林植被和疏林地为主，其分布的海拔较高。人工植被主要包括人工杉木林群落、竹林群落、人工阔叶林群落、油茶林果木林群落、马尾松杜鹃及灌丛群落等。</w:t>
            </w:r>
          </w:p>
          <w:p>
            <w:pPr>
              <w:numPr>
                <w:ilvl w:val="0"/>
                <w:numId w:val="5"/>
              </w:numPr>
              <w:adjustRightInd w:val="0"/>
              <w:spacing w:line="360" w:lineRule="auto"/>
              <w:rPr>
                <w:rFonts w:hint="eastAsia"/>
                <w:b/>
                <w:color w:val="auto"/>
                <w:sz w:val="24"/>
                <w:lang w:val="en-US" w:eastAsia="zh-CN"/>
              </w:rPr>
            </w:pPr>
            <w:r>
              <w:rPr>
                <w:rFonts w:hint="eastAsia"/>
                <w:b/>
                <w:color w:val="auto"/>
                <w:sz w:val="24"/>
                <w:lang w:val="en-US" w:eastAsia="zh-CN"/>
              </w:rPr>
              <w:t>福寿山—汨罗江风景名胜区</w:t>
            </w:r>
          </w:p>
          <w:p>
            <w:pPr>
              <w:adjustRightInd w:val="0"/>
              <w:spacing w:line="360" w:lineRule="auto"/>
              <w:ind w:firstLine="480" w:firstLineChars="200"/>
              <w:rPr>
                <w:rFonts w:hint="eastAsia"/>
                <w:color w:val="auto"/>
                <w:sz w:val="24"/>
                <w:lang w:val="en-US" w:eastAsia="zh-CN"/>
              </w:rPr>
            </w:pPr>
            <w:r>
              <w:rPr>
                <w:rFonts w:hint="eastAsia"/>
                <w:color w:val="auto"/>
                <w:sz w:val="24"/>
                <w:lang w:val="en-US" w:eastAsia="zh-CN"/>
              </w:rPr>
              <w:t>福寿山—汨罗江风景名胜区于2006年4月29日被国务院批准单列为国家级风景名胜区。2007年7月岳阳市编委正式批准设立性质为行政支持类的事业单位：平江福寿山—汨罗江国家风景名胜区管委会，管委会下设行政事务办、规划建设股、经营管理财务股。同月，为更直接有效加强对风景区领导，县委、县政府成立了中共平江县福寿山—汨罗江国家风景名胜区工委。</w:t>
            </w:r>
          </w:p>
          <w:p>
            <w:pPr>
              <w:adjustRightInd w:val="0"/>
              <w:spacing w:line="360" w:lineRule="auto"/>
              <w:ind w:firstLine="480" w:firstLineChars="200"/>
              <w:rPr>
                <w:rFonts w:hint="eastAsia"/>
                <w:color w:val="auto"/>
                <w:sz w:val="24"/>
                <w:lang w:val="en-US" w:eastAsia="zh-CN"/>
              </w:rPr>
            </w:pPr>
            <w:r>
              <w:rPr>
                <w:rFonts w:hint="eastAsia"/>
                <w:color w:val="auto"/>
                <w:sz w:val="24"/>
                <w:lang w:val="en-US" w:eastAsia="zh-CN"/>
              </w:rPr>
              <w:t>福寿山—汨罗江风景名胜区位于湖南省平江县境内，紧邻长沙市及“长株潭”1小时经济圈，距长沙市区80公里、黄花机场60公里，有G106等多条高等级公路与景区相通。景区面积160平方公里，由福寿山、汨罗江两大景域和平江起义旧址、湘鄂赣革命纪念馆、杜甫墓祠三大景点组成。景区内自然景观丰富奇特、人文景观厚重深远，具有较高的文化、科考、游览价值。</w:t>
            </w:r>
          </w:p>
          <w:p>
            <w:pPr>
              <w:adjustRightInd w:val="0"/>
              <w:spacing w:line="360" w:lineRule="auto"/>
              <w:rPr>
                <w:rFonts w:hint="eastAsia"/>
                <w:color w:val="auto"/>
                <w:sz w:val="24"/>
                <w:lang w:val="en-US" w:eastAsia="zh-CN"/>
              </w:rPr>
            </w:pPr>
            <w:r>
              <w:rPr>
                <w:rFonts w:hint="eastAsia"/>
                <w:color w:val="auto"/>
                <w:sz w:val="24"/>
                <w:lang w:val="en-US" w:eastAsia="zh-CN"/>
              </w:rPr>
              <w:t>　　福寿山森林覆盖率达96%，最高峰海拔近1600米，这里山高林茂，具有典型的山地森林景观和气候。高山、林海、奇峰、古庙各具特色，春花、夏瀑、秋云、冬雪引人入胜；自然山水与悠久文化古迹相伴，宜人气候与良好生态环境共生。境内有全国罕见的千年寿藤、摇钱树；有落差达700米而形成的长达10公里的瀑布群，其中多个瀑布一泻百米，蔚为壮观；有长达3公里的地下河；有世间珍品碳酸泉；景区内保存了10多尊明代石佛、200多座自唐代始的舍利塔及石香炉，另有白莲教大本营的地下通道尚待揭开神秘面纱。景区动植物种类繁多，有木本植物达89科710种，古树名木繁多，其中珍稀植物有银杏、红豆杉、南方红豆杉等；有脊椎类动物22目51科144种，其中国家一级保护动物有云豹、黄腹角雉，金雕等。</w:t>
            </w:r>
          </w:p>
          <w:p>
            <w:pPr>
              <w:adjustRightInd w:val="0"/>
              <w:spacing w:line="360" w:lineRule="auto"/>
              <w:rPr>
                <w:rFonts w:hint="eastAsia"/>
                <w:color w:val="auto"/>
                <w:sz w:val="24"/>
                <w:lang w:val="en-US" w:eastAsia="zh-CN"/>
              </w:rPr>
            </w:pPr>
            <w:r>
              <w:rPr>
                <w:rFonts w:hint="eastAsia"/>
                <w:color w:val="auto"/>
                <w:sz w:val="24"/>
                <w:lang w:val="en-US" w:eastAsia="zh-CN"/>
              </w:rPr>
              <w:t>　　汨罗江发源于平江与江西省交界处的幕阜山，全长193公里，两岸青山掩映，宛如一幅壮丽的山水画卷；其中以盘石洲最具特色，此洲三面临水，四周山林苍翠，古树参天，与碧绿的水面倒影相映，形似天外飘来的“绿色飞碟”。汨罗江流域人文历史独特，因承载着诗祖屈原和诗圣杜甫这两位诗人的傲骨忠魂而闻名中外，台湾著名学者余光中先生叹咏“蓝墨水的上游是汨罗江”。汨罗江景域内还有五星龙山文化遗址、新石器遗址、东山古寺等古迹。</w:t>
            </w:r>
          </w:p>
          <w:p>
            <w:pPr>
              <w:adjustRightInd w:val="0"/>
              <w:spacing w:line="360" w:lineRule="auto"/>
              <w:rPr>
                <w:rFonts w:hint="eastAsia"/>
                <w:color w:val="auto"/>
                <w:sz w:val="24"/>
                <w:lang w:val="en-US" w:eastAsia="zh-CN"/>
              </w:rPr>
            </w:pPr>
            <w:r>
              <w:rPr>
                <w:rFonts w:hint="eastAsia"/>
                <w:color w:val="auto"/>
                <w:sz w:val="24"/>
                <w:lang w:val="en-US" w:eastAsia="zh-CN"/>
              </w:rPr>
              <w:t>　　奔流不息的汨罗江回荡着屈子行吟的千古绝唱，松柏环抱的杜甫墓祠牵动着莘莘游子的思古幽情。杜甫墓祠就座落在福寿山脚下、汨罗江中游的安定镇小田村，是文人的朝圣之地。</w:t>
            </w:r>
          </w:p>
          <w:p>
            <w:pPr>
              <w:adjustRightInd w:val="0"/>
              <w:spacing w:line="360" w:lineRule="auto"/>
              <w:rPr>
                <w:rFonts w:hint="eastAsia"/>
                <w:color w:val="auto"/>
                <w:sz w:val="24"/>
                <w:lang w:val="en-US" w:eastAsia="zh-CN"/>
              </w:rPr>
            </w:pPr>
            <w:r>
              <w:rPr>
                <w:rFonts w:hint="eastAsia"/>
                <w:color w:val="auto"/>
                <w:sz w:val="24"/>
                <w:lang w:val="en-US" w:eastAsia="zh-CN"/>
              </w:rPr>
              <w:t>　　革命战争时期，福寿山是湘鄂赣革命根据地的重要组成部分。彭德怀元帅领导的平江起义军曾驻扎在此，开国将军傅秋涛、钟期光、赖毅和老红军吴实等一批革命志士从这里走出。保存下来的平江起义军营地、红军兵工厂等许多革命遗址，与全国红色旅游经典区——平江起义旧址，互为一体，相得益彰。</w:t>
            </w:r>
          </w:p>
          <w:p>
            <w:pPr>
              <w:adjustRightInd w:val="0"/>
              <w:spacing w:line="360" w:lineRule="auto"/>
              <w:rPr>
                <w:rFonts w:hint="eastAsia"/>
                <w:color w:val="auto"/>
                <w:sz w:val="24"/>
                <w:lang w:val="en-US" w:eastAsia="zh-CN"/>
              </w:rPr>
            </w:pPr>
            <w:r>
              <w:rPr>
                <w:rFonts w:hint="eastAsia"/>
                <w:color w:val="auto"/>
                <w:sz w:val="24"/>
                <w:lang w:val="en-US" w:eastAsia="zh-CN"/>
              </w:rPr>
              <w:t>　　福寿山-汨罗江风景名胜区集山秀、水美、林幽、石奇于一体，富含人文景观、自然景观和众多的革命纪念地，是国内生态旅游、休闲度假、避暑疗养、寻幽探险的综合型旅游胜地。</w:t>
            </w:r>
          </w:p>
          <w:p>
            <w:pPr>
              <w:adjustRightInd w:val="0"/>
              <w:spacing w:line="360" w:lineRule="auto"/>
              <w:ind w:firstLine="480" w:firstLineChars="200"/>
              <w:rPr>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rPr>
                <w:rFonts w:hint="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91"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spacing w:line="360" w:lineRule="auto"/>
              <w:rPr>
                <w:color w:val="auto"/>
                <w:sz w:val="28"/>
              </w:rPr>
            </w:pPr>
            <w:r>
              <w:rPr>
                <w:color w:val="auto"/>
                <w:sz w:val="28"/>
              </w:rPr>
              <w:t>社会环境简况</w:t>
            </w:r>
            <w:r>
              <w:rPr>
                <w:rFonts w:hint="eastAsia"/>
                <w:color w:val="auto"/>
                <w:sz w:val="28"/>
              </w:rPr>
              <w:t>（</w:t>
            </w:r>
            <w:r>
              <w:rPr>
                <w:color w:val="auto"/>
                <w:sz w:val="28"/>
              </w:rPr>
              <w:t>社会经济结构、教育、文化、文物保护等</w:t>
            </w:r>
            <w:r>
              <w:rPr>
                <w:rFonts w:hint="eastAsia"/>
                <w:color w:val="auto"/>
                <w:sz w:val="28"/>
              </w:rPr>
              <w:t>）</w:t>
            </w:r>
            <w:r>
              <w:rPr>
                <w:color w:val="auto"/>
                <w:sz w:val="28"/>
              </w:rPr>
              <w:t>：</w:t>
            </w:r>
          </w:p>
          <w:p>
            <w:pPr>
              <w:numPr>
                <w:ilvl w:val="0"/>
                <w:numId w:val="6"/>
              </w:numPr>
              <w:adjustRightInd w:val="0"/>
              <w:spacing w:line="360" w:lineRule="auto"/>
              <w:rPr>
                <w:b/>
                <w:color w:val="auto"/>
                <w:sz w:val="24"/>
              </w:rPr>
            </w:pPr>
            <w:r>
              <w:rPr>
                <w:rFonts w:hint="eastAsia"/>
                <w:b/>
                <w:color w:val="auto"/>
                <w:sz w:val="24"/>
              </w:rPr>
              <w:t>平江县行政区划及人口</w:t>
            </w:r>
          </w:p>
          <w:p>
            <w:pPr>
              <w:adjustRightInd w:val="0"/>
              <w:spacing w:line="360" w:lineRule="auto"/>
              <w:ind w:firstLine="480" w:firstLineChars="200"/>
              <w:rPr>
                <w:rFonts w:hint="eastAsia"/>
                <w:color w:val="auto"/>
                <w:sz w:val="24"/>
              </w:rPr>
            </w:pPr>
            <w:r>
              <w:rPr>
                <w:rFonts w:hint="eastAsia"/>
                <w:color w:val="auto"/>
                <w:sz w:val="24"/>
              </w:rPr>
              <w:t>2014年，平江县下辖18个镇（</w:t>
            </w:r>
            <w:r>
              <w:rPr>
                <w:color w:val="auto"/>
                <w:sz w:val="24"/>
              </w:rPr>
              <w:t>三市、长寿、汉昌、嘉义、龙门、安定、伍市、向家、瓮江、虹桥、南江、浯口、梅仙、岑川、童市、福寿山、上塔市、石牛寨</w:t>
            </w:r>
            <w:r>
              <w:rPr>
                <w:rFonts w:hint="eastAsia"/>
                <w:color w:val="auto"/>
                <w:sz w:val="24"/>
              </w:rPr>
              <w:t>）、9乡（</w:t>
            </w:r>
            <w:r>
              <w:rPr>
                <w:color w:val="auto"/>
                <w:sz w:val="24"/>
              </w:rPr>
              <w:t>三阳、三墩、大洲、木金、咏生、余坪、板江、南桥、黄金洞</w:t>
            </w:r>
            <w:r>
              <w:rPr>
                <w:rFonts w:hint="eastAsia"/>
                <w:color w:val="auto"/>
                <w:sz w:val="24"/>
              </w:rPr>
              <w:t>）；国土总面积4125km</w:t>
            </w:r>
            <w:r>
              <w:rPr>
                <w:rFonts w:hint="eastAsia"/>
                <w:color w:val="auto"/>
                <w:sz w:val="24"/>
                <w:vertAlign w:val="superscript"/>
              </w:rPr>
              <w:t>2</w:t>
            </w:r>
            <w:r>
              <w:rPr>
                <w:rFonts w:hint="eastAsia"/>
                <w:color w:val="auto"/>
                <w:sz w:val="24"/>
              </w:rPr>
              <w:t>；全县2014年末常住总人口97.18万人，总户数26.96万户。</w:t>
            </w:r>
          </w:p>
          <w:p>
            <w:pPr>
              <w:adjustRightInd w:val="0"/>
              <w:spacing w:line="360" w:lineRule="auto"/>
              <w:ind w:firstLine="480" w:firstLineChars="200"/>
              <w:rPr>
                <w:rFonts w:hint="eastAsia"/>
                <w:color w:val="auto"/>
                <w:sz w:val="24"/>
              </w:rPr>
            </w:pPr>
            <w:r>
              <w:rPr>
                <w:color w:val="auto"/>
                <w:sz w:val="24"/>
              </w:rPr>
              <w:t>2015年，根据平江县乡镇区划调整方案，调整后下辖5乡19镇</w:t>
            </w:r>
            <w:r>
              <w:rPr>
                <w:rFonts w:hint="eastAsia"/>
                <w:color w:val="auto"/>
                <w:sz w:val="24"/>
              </w:rPr>
              <w:t>，其中将</w:t>
            </w:r>
            <w:r>
              <w:rPr>
                <w:color w:val="auto"/>
                <w:sz w:val="24"/>
              </w:rPr>
              <w:t>南桥乡、黄金洞乡、长寿镇合并设立长寿镇</w:t>
            </w:r>
            <w:r>
              <w:rPr>
                <w:rFonts w:hint="eastAsia"/>
                <w:color w:val="auto"/>
                <w:sz w:val="24"/>
              </w:rPr>
              <w:t>，将</w:t>
            </w:r>
            <w:r>
              <w:rPr>
                <w:color w:val="auto"/>
                <w:sz w:val="24"/>
              </w:rPr>
              <w:t>咏生乡、加义镇成建制合并设立加义镇。在本轮乡镇行政区划调整后，平江县现下辖三阳、板江、大洲、木金、三墩5个乡，汉昌、三市、安定、福寿山、加义、长寿、龙门、石牛寨、虹桥、上塔市、南江、梅仙、余坪、岑川、瓮江、浯口、伍市、向家、童市19个镇。</w:t>
            </w:r>
          </w:p>
          <w:p>
            <w:pPr>
              <w:numPr>
                <w:ilvl w:val="0"/>
                <w:numId w:val="6"/>
              </w:numPr>
              <w:adjustRightInd w:val="0"/>
              <w:spacing w:line="360" w:lineRule="auto"/>
              <w:rPr>
                <w:b/>
                <w:color w:val="auto"/>
                <w:sz w:val="24"/>
              </w:rPr>
            </w:pPr>
            <w:r>
              <w:rPr>
                <w:rFonts w:hint="eastAsia"/>
                <w:b/>
                <w:color w:val="auto"/>
                <w:sz w:val="24"/>
              </w:rPr>
              <w:t>平江县国民经济情况</w:t>
            </w:r>
          </w:p>
          <w:p>
            <w:pPr>
              <w:adjustRightInd w:val="0"/>
              <w:spacing w:line="360" w:lineRule="auto"/>
              <w:ind w:firstLine="480" w:firstLineChars="200"/>
              <w:rPr>
                <w:rFonts w:hint="eastAsia"/>
                <w:color w:val="auto"/>
                <w:sz w:val="24"/>
              </w:rPr>
            </w:pPr>
            <w:r>
              <w:rPr>
                <w:color w:val="auto"/>
                <w:sz w:val="24"/>
              </w:rPr>
              <w:t>2014年，</w:t>
            </w:r>
            <w:r>
              <w:rPr>
                <w:rFonts w:hint="eastAsia"/>
                <w:color w:val="auto"/>
                <w:sz w:val="24"/>
              </w:rPr>
              <w:t>平江县</w:t>
            </w:r>
            <w:r>
              <w:rPr>
                <w:color w:val="auto"/>
                <w:sz w:val="24"/>
              </w:rPr>
              <w:t>全县经济总量达到199.4亿元，</w:t>
            </w:r>
            <w:r>
              <w:rPr>
                <w:rFonts w:hint="eastAsia"/>
                <w:color w:val="auto"/>
                <w:sz w:val="24"/>
              </w:rPr>
              <w:t>其中第一产业完成38.61亿元，同比增长4.7%，对GDP的贡献率11.3%，拉动GDP增长0.86个百分点；第二产业完成92.44亿元，同比增长5.9%，对GDP的贡献率37.7%，拉动GDP增长2.85个百分点；第三产业完成68.39亿元，同比增长11.6%，对GDP的贡献率51%，拉动GDP增长3.86个百分点。产业结构由上年同期的19.2:47.6:33.2调整为19.5:45.8:34.7，第二产业占比下降了1.8个百分点，第一、第三产业占比分别提高了0.3、1.5个百分点。</w:t>
            </w:r>
            <w:r>
              <w:rPr>
                <w:color w:val="auto"/>
                <w:sz w:val="24"/>
              </w:rPr>
              <w:t>2014年</w:t>
            </w:r>
            <w:r>
              <w:rPr>
                <w:rFonts w:hint="eastAsia"/>
                <w:color w:val="auto"/>
                <w:sz w:val="24"/>
              </w:rPr>
              <w:t>，平江</w:t>
            </w:r>
            <w:r>
              <w:rPr>
                <w:color w:val="auto"/>
                <w:sz w:val="24"/>
              </w:rPr>
              <w:t>全县城市居民人均可支配收入</w:t>
            </w:r>
            <w:r>
              <w:rPr>
                <w:rFonts w:hint="eastAsia"/>
                <w:color w:val="auto"/>
                <w:sz w:val="24"/>
              </w:rPr>
              <w:t>达到</w:t>
            </w:r>
            <w:r>
              <w:rPr>
                <w:color w:val="auto"/>
                <w:sz w:val="24"/>
              </w:rPr>
              <w:t>17036元，前四年年均增长12.1%；农民人均纯收入</w:t>
            </w:r>
            <w:r>
              <w:rPr>
                <w:rFonts w:hint="eastAsia"/>
                <w:color w:val="auto"/>
                <w:sz w:val="24"/>
              </w:rPr>
              <w:t>达到</w:t>
            </w:r>
            <w:r>
              <w:rPr>
                <w:color w:val="auto"/>
                <w:sz w:val="24"/>
              </w:rPr>
              <w:t>6828元，前四年年均增长26.5%</w:t>
            </w:r>
            <w:r>
              <w:rPr>
                <w:rFonts w:hint="eastAsia"/>
                <w:color w:val="auto"/>
                <w:sz w:val="24"/>
              </w:rPr>
              <w:t>。</w:t>
            </w:r>
            <w:r>
              <w:rPr>
                <w:color w:val="auto"/>
                <w:sz w:val="24"/>
              </w:rPr>
              <w:t>城乡居民收入增长进入快车道，城乡居民实现收入同步增长。</w:t>
            </w:r>
          </w:p>
          <w:p>
            <w:pPr>
              <w:adjustRightInd w:val="0"/>
              <w:spacing w:line="360" w:lineRule="auto"/>
              <w:ind w:firstLine="480" w:firstLineChars="200"/>
              <w:rPr>
                <w:rFonts w:hint="eastAsia"/>
                <w:color w:val="auto"/>
                <w:sz w:val="24"/>
              </w:rPr>
            </w:pPr>
            <w:r>
              <w:rPr>
                <w:rFonts w:hint="eastAsia"/>
                <w:color w:val="auto"/>
                <w:sz w:val="24"/>
              </w:rPr>
              <w:t>2014年，平江县</w:t>
            </w:r>
            <w:r>
              <w:rPr>
                <w:color w:val="auto"/>
                <w:sz w:val="24"/>
              </w:rPr>
              <w:t>全县</w:t>
            </w:r>
            <w:r>
              <w:rPr>
                <w:rFonts w:hint="eastAsia"/>
                <w:color w:val="auto"/>
                <w:sz w:val="24"/>
              </w:rPr>
              <w:t>农作物总播种面积141.24千公顷，同比增长1.16%。其中粮食播种面积82.56千公顷，同比增长1.16%，粮食总产量48.56万吨；早稻30.8千公顷，产量16.17万吨；中稻9.68千公顷，产量7.0万吨；晚稻33.1千公顷，产量21.10万吨。经济作物油菜播种面积16.57千公顷，产量2.31万吨；棉花播种面积1.32千公顷，产量1643.4吨；花生播种面积1.8千公顷，产量8640吨；蔬菜播种面积13.68千公顷，产量39.43万吨；瓜果产量4.14万吨。</w:t>
            </w:r>
          </w:p>
          <w:p>
            <w:pPr>
              <w:adjustRightInd w:val="0"/>
              <w:spacing w:line="360" w:lineRule="auto"/>
              <w:ind w:firstLine="480" w:firstLineChars="200"/>
              <w:rPr>
                <w:rFonts w:hint="eastAsia"/>
                <w:color w:val="auto"/>
                <w:sz w:val="24"/>
              </w:rPr>
            </w:pPr>
            <w:r>
              <w:rPr>
                <w:rFonts w:hint="eastAsia"/>
                <w:color w:val="auto"/>
                <w:sz w:val="24"/>
              </w:rPr>
              <w:t>近年来平江县</w:t>
            </w:r>
            <w:r>
              <w:rPr>
                <w:color w:val="auto"/>
                <w:sz w:val="24"/>
              </w:rPr>
              <w:t>教育教学质量全面提升，各类教育协调发展，2014年，小学入学率、巩固率和初中入学率均达100%，高中教育普及率达到90%，学前一年教育率和三年毛入园率分别达97%和76%，全县每年培养职高毕业生1500余人，培训农村劳动力5000余人次，中职毕业生就业率稳定在96%以上，基本实现了均衡发展和全面发展。到2014年，被认定为国家高新技术企业超过10家，企业科技研发投入占规模工业销售收入的比重提高到2.4%，在</w:t>
            </w:r>
            <w:r>
              <w:rPr>
                <w:rFonts w:hint="eastAsia"/>
                <w:color w:val="auto"/>
                <w:sz w:val="24"/>
              </w:rPr>
              <w:t>岳阳</w:t>
            </w:r>
            <w:r>
              <w:rPr>
                <w:color w:val="auto"/>
                <w:sz w:val="24"/>
              </w:rPr>
              <w:t>市考核中连续名列前茅，专利申请量和授权量每年以20%速度递增。</w:t>
            </w:r>
          </w:p>
          <w:p>
            <w:pPr>
              <w:adjustRightInd w:val="0"/>
              <w:spacing w:line="360" w:lineRule="auto"/>
              <w:ind w:firstLine="480" w:firstLineChars="200"/>
              <w:rPr>
                <w:rFonts w:hint="eastAsia"/>
                <w:color w:val="auto"/>
                <w:sz w:val="24"/>
              </w:rPr>
            </w:pPr>
            <w:r>
              <w:rPr>
                <w:color w:val="auto"/>
                <w:sz w:val="24"/>
              </w:rPr>
              <w:t>卫生服务能力明显增强</w:t>
            </w:r>
            <w:r>
              <w:rPr>
                <w:rFonts w:hint="eastAsia"/>
                <w:color w:val="auto"/>
                <w:sz w:val="24"/>
              </w:rPr>
              <w:t>，“</w:t>
            </w:r>
            <w:r>
              <w:rPr>
                <w:color w:val="auto"/>
                <w:sz w:val="24"/>
              </w:rPr>
              <w:t>十二五</w:t>
            </w:r>
            <w:r>
              <w:rPr>
                <w:rFonts w:hint="eastAsia"/>
                <w:color w:val="auto"/>
                <w:sz w:val="24"/>
              </w:rPr>
              <w:t>”</w:t>
            </w:r>
            <w:r>
              <w:rPr>
                <w:color w:val="auto"/>
                <w:sz w:val="24"/>
              </w:rPr>
              <w:t>期间</w:t>
            </w:r>
            <w:r>
              <w:rPr>
                <w:rFonts w:hint="eastAsia"/>
                <w:color w:val="auto"/>
                <w:sz w:val="24"/>
              </w:rPr>
              <w:t>平江</w:t>
            </w:r>
            <w:r>
              <w:rPr>
                <w:color w:val="auto"/>
                <w:sz w:val="24"/>
              </w:rPr>
              <w:t>全县卫生系统建设投资达到6.3亿元，千人病床数达到3.2张，每千人口平均有卫技人员2.4人，人民群众住院次均费用比2011年降低1/3，门诊次均费用比2010年降低33.9%，村卫生室参合农民次诊费用下降了36.4%，有效解决了人民群众看病贵的难题。</w:t>
            </w:r>
          </w:p>
          <w:p>
            <w:pPr>
              <w:numPr>
                <w:ilvl w:val="0"/>
                <w:numId w:val="6"/>
              </w:numPr>
              <w:adjustRightInd w:val="0"/>
              <w:spacing w:line="360" w:lineRule="auto"/>
              <w:rPr>
                <w:b/>
                <w:color w:val="auto"/>
                <w:sz w:val="24"/>
              </w:rPr>
            </w:pPr>
            <w:r>
              <w:rPr>
                <w:rFonts w:hint="eastAsia"/>
                <w:b/>
                <w:color w:val="auto"/>
                <w:sz w:val="24"/>
              </w:rPr>
              <w:t>项目涉及乡镇概况</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城关镇</w:t>
            </w:r>
          </w:p>
          <w:p>
            <w:pPr>
              <w:spacing w:line="360" w:lineRule="auto"/>
              <w:ind w:firstLine="480" w:firstLineChars="200"/>
              <w:rPr>
                <w:rFonts w:hint="eastAsia"/>
                <w:color w:val="auto"/>
                <w:sz w:val="24"/>
              </w:rPr>
            </w:pPr>
            <w:r>
              <w:rPr>
                <w:color w:val="auto"/>
                <w:sz w:val="24"/>
              </w:rPr>
              <w:t>城关镇位于汨水北岸，仙江河、三望冲水于此汇注汨水。旧城中心原名鹤岭，处县境中部略靠西南。唐元和四年（809），原昌江县治由中县坪迁此。县域建制，1935年名汉昌镇，1950年12月改名城关镇，后改为汉昌镇。今县城范围东至三阳乡，西南抵瓮江镇，北连梅仙镇。地理坐标为东经113°35′，北纬28°42′。西南距长沙112</w:t>
            </w:r>
            <w:r>
              <w:rPr>
                <w:rFonts w:hint="eastAsia"/>
                <w:color w:val="auto"/>
                <w:sz w:val="24"/>
              </w:rPr>
              <w:t>km</w:t>
            </w:r>
            <w:r>
              <w:rPr>
                <w:color w:val="auto"/>
                <w:sz w:val="24"/>
              </w:rPr>
              <w:t>，西北距岳阳市区140</w:t>
            </w:r>
            <w:r>
              <w:rPr>
                <w:rFonts w:hint="eastAsia"/>
                <w:color w:val="auto"/>
                <w:sz w:val="24"/>
              </w:rPr>
              <w:t>km</w:t>
            </w:r>
            <w:r>
              <w:rPr>
                <w:color w:val="auto"/>
                <w:sz w:val="24"/>
              </w:rPr>
              <w:t>。2000年城区规划面积54</w:t>
            </w:r>
            <w:r>
              <w:rPr>
                <w:rFonts w:hint="eastAsia"/>
                <w:color w:val="auto"/>
                <w:sz w:val="24"/>
              </w:rPr>
              <w:t>km</w:t>
            </w:r>
            <w:r>
              <w:rPr>
                <w:rFonts w:hint="eastAsia"/>
                <w:color w:val="auto"/>
                <w:sz w:val="24"/>
                <w:vertAlign w:val="superscript"/>
              </w:rPr>
              <w:t>2</w:t>
            </w:r>
            <w:r>
              <w:rPr>
                <w:color w:val="auto"/>
                <w:sz w:val="24"/>
              </w:rPr>
              <w:t>，建成区面积12.6</w:t>
            </w:r>
            <w:r>
              <w:rPr>
                <w:rFonts w:hint="eastAsia"/>
                <w:color w:val="auto"/>
                <w:sz w:val="24"/>
              </w:rPr>
              <w:t>km</w:t>
            </w:r>
            <w:r>
              <w:rPr>
                <w:rFonts w:hint="eastAsia"/>
                <w:color w:val="auto"/>
                <w:sz w:val="24"/>
                <w:vertAlign w:val="superscript"/>
              </w:rPr>
              <w:t>2</w:t>
            </w:r>
            <w:r>
              <w:rPr>
                <w:color w:val="auto"/>
                <w:sz w:val="24"/>
              </w:rPr>
              <w:t>，常住人口7.2万人。</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瓮江镇</w:t>
            </w:r>
          </w:p>
          <w:p>
            <w:pPr>
              <w:spacing w:line="360" w:lineRule="auto"/>
              <w:ind w:firstLine="480" w:firstLineChars="200"/>
              <w:rPr>
                <w:rFonts w:hint="eastAsia"/>
                <w:color w:val="auto"/>
                <w:sz w:val="24"/>
              </w:rPr>
            </w:pPr>
            <w:r>
              <w:rPr>
                <w:color w:val="auto"/>
                <w:sz w:val="24"/>
              </w:rPr>
              <w:t>瓮江镇位于平江县境西南</w:t>
            </w:r>
            <w:r>
              <w:rPr>
                <w:rFonts w:hint="eastAsia"/>
                <w:color w:val="auto"/>
                <w:sz w:val="24"/>
              </w:rPr>
              <w:t>部，东邻三阳乡，南倚靠长沙金井镇，西望浯口镇，北接余坪镇。辖</w:t>
            </w:r>
            <w:r>
              <w:rPr>
                <w:color w:val="auto"/>
                <w:sz w:val="24"/>
              </w:rPr>
              <w:t>47个村、1个居委会，</w:t>
            </w:r>
            <w:r>
              <w:rPr>
                <w:rFonts w:hint="eastAsia"/>
                <w:color w:val="auto"/>
                <w:sz w:val="24"/>
              </w:rPr>
              <w:t>556个村（居）民小组，总人口5.6万人</w:t>
            </w:r>
            <w:r>
              <w:rPr>
                <w:color w:val="auto"/>
                <w:sz w:val="24"/>
              </w:rPr>
              <w:t>。</w:t>
            </w:r>
            <w:r>
              <w:rPr>
                <w:rFonts w:hint="eastAsia"/>
                <w:color w:val="auto"/>
                <w:sz w:val="24"/>
              </w:rPr>
              <w:t>总面积248.8km</w:t>
            </w:r>
            <w:r>
              <w:rPr>
                <w:rFonts w:hint="eastAsia"/>
                <w:color w:val="auto"/>
                <w:sz w:val="24"/>
                <w:vertAlign w:val="superscript"/>
              </w:rPr>
              <w:t>2</w:t>
            </w:r>
            <w:r>
              <w:rPr>
                <w:rFonts w:hint="eastAsia"/>
                <w:color w:val="auto"/>
                <w:sz w:val="24"/>
              </w:rPr>
              <w:t>，耕地面积41517亩，其中水田25097亩，旱地16420亩，山林总面积27万亩。全镇交通便利，形成以“三路两江”为主体的水陆交通网络，三路即平伍公路、平汨公路、平长公路，两江即汨罗江、昌江。境内有张岳龄故居、向恺然故居，腾云山、将军山、盘石寨、九龙湾等人文自然景点；出产黄金、石英、钨等矿产资源</w:t>
            </w:r>
            <w:r>
              <w:rPr>
                <w:color w:val="auto"/>
                <w:sz w:val="24"/>
              </w:rPr>
              <w:t>。</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余坪镇</w:t>
            </w:r>
          </w:p>
          <w:p>
            <w:pPr>
              <w:spacing w:line="360" w:lineRule="auto"/>
              <w:ind w:firstLine="480" w:firstLineChars="200"/>
              <w:rPr>
                <w:rFonts w:hint="eastAsia"/>
                <w:color w:val="auto"/>
                <w:sz w:val="24"/>
              </w:rPr>
            </w:pPr>
            <w:r>
              <w:rPr>
                <w:rFonts w:hint="eastAsia"/>
                <w:color w:val="auto"/>
                <w:sz w:val="24"/>
              </w:rPr>
              <w:t>余坪镇（原</w:t>
            </w:r>
            <w:r>
              <w:rPr>
                <w:color w:val="auto"/>
                <w:sz w:val="24"/>
              </w:rPr>
              <w:t>余坪乡</w:t>
            </w:r>
            <w:r>
              <w:rPr>
                <w:rFonts w:hint="eastAsia"/>
                <w:color w:val="auto"/>
                <w:sz w:val="24"/>
              </w:rPr>
              <w:t>）位于平江西北部，东抵梅仙、大洲，西连浯口，南塔瓮江，北接岑川、张谷英，总面积181km</w:t>
            </w:r>
            <w:r>
              <w:rPr>
                <w:rFonts w:hint="eastAsia"/>
                <w:color w:val="auto"/>
                <w:sz w:val="24"/>
                <w:vertAlign w:val="superscript"/>
              </w:rPr>
              <w:t>2</w:t>
            </w:r>
            <w:r>
              <w:rPr>
                <w:rFonts w:hint="eastAsia"/>
                <w:color w:val="auto"/>
                <w:sz w:val="24"/>
              </w:rPr>
              <w:t>。辖28个行政村，395个村民小组，总人口4.1万人</w:t>
            </w:r>
            <w:r>
              <w:rPr>
                <w:color w:val="auto"/>
                <w:sz w:val="24"/>
              </w:rPr>
              <w:t>。</w:t>
            </w:r>
            <w:r>
              <w:rPr>
                <w:rFonts w:hint="eastAsia"/>
                <w:color w:val="auto"/>
                <w:sz w:val="24"/>
              </w:rPr>
              <w:t>耕地面积21292亩，山林面积20.8万亩，汨罗江、昌江越境而过，山清水秀、环境优美、生态宜居。</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浯口镇</w:t>
            </w:r>
          </w:p>
          <w:p>
            <w:pPr>
              <w:spacing w:line="360" w:lineRule="auto"/>
              <w:ind w:firstLine="480" w:firstLineChars="200"/>
              <w:rPr>
                <w:rFonts w:hint="eastAsia"/>
                <w:color w:val="auto"/>
                <w:sz w:val="24"/>
              </w:rPr>
            </w:pPr>
            <w:r>
              <w:rPr>
                <w:color w:val="auto"/>
                <w:sz w:val="24"/>
              </w:rPr>
              <w:t>浯口镇位于平江县西部，距县城41</w:t>
            </w:r>
            <w:r>
              <w:rPr>
                <w:rFonts w:hint="eastAsia"/>
                <w:color w:val="auto"/>
                <w:sz w:val="24"/>
              </w:rPr>
              <w:t>km</w:t>
            </w:r>
            <w:r>
              <w:rPr>
                <w:color w:val="auto"/>
                <w:sz w:val="24"/>
              </w:rPr>
              <w:t>，东接瓮江镇，南与长沙县交界，北界汨罗市，西靠伍市镇。</w:t>
            </w:r>
            <w:r>
              <w:rPr>
                <w:rFonts w:hint="eastAsia"/>
                <w:color w:val="auto"/>
                <w:sz w:val="24"/>
              </w:rPr>
              <w:t>辖</w:t>
            </w:r>
            <w:r>
              <w:rPr>
                <w:color w:val="auto"/>
                <w:sz w:val="24"/>
              </w:rPr>
              <w:t>34个村，1个居委会，</w:t>
            </w:r>
            <w:r>
              <w:rPr>
                <w:rFonts w:hint="eastAsia"/>
                <w:color w:val="auto"/>
                <w:sz w:val="24"/>
              </w:rPr>
              <w:t>总人口4.2万人，镇域面积198km</w:t>
            </w:r>
            <w:r>
              <w:rPr>
                <w:rFonts w:hint="eastAsia"/>
                <w:color w:val="auto"/>
                <w:sz w:val="24"/>
                <w:vertAlign w:val="superscript"/>
              </w:rPr>
              <w:t>2</w:t>
            </w:r>
            <w:r>
              <w:rPr>
                <w:rFonts w:hint="eastAsia"/>
                <w:color w:val="auto"/>
                <w:sz w:val="24"/>
              </w:rPr>
              <w:t>，有2.7万亩耕地，山林面积22万亩。</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伍市镇</w:t>
            </w:r>
          </w:p>
          <w:p>
            <w:pPr>
              <w:spacing w:line="360" w:lineRule="auto"/>
              <w:ind w:firstLine="480" w:firstLineChars="200"/>
              <w:rPr>
                <w:rFonts w:hint="eastAsia"/>
                <w:color w:val="auto"/>
                <w:sz w:val="24"/>
              </w:rPr>
            </w:pPr>
            <w:r>
              <w:rPr>
                <w:color w:val="auto"/>
                <w:sz w:val="24"/>
              </w:rPr>
              <w:t>伍市镇位于县境西部，与汨罗市新市镇接壤。辖4</w:t>
            </w:r>
            <w:r>
              <w:rPr>
                <w:rFonts w:hint="eastAsia"/>
                <w:color w:val="auto"/>
                <w:sz w:val="24"/>
              </w:rPr>
              <w:t>6</w:t>
            </w:r>
            <w:r>
              <w:rPr>
                <w:color w:val="auto"/>
                <w:sz w:val="24"/>
              </w:rPr>
              <w:t>个行政村</w:t>
            </w:r>
            <w:r>
              <w:rPr>
                <w:rFonts w:hint="eastAsia"/>
                <w:color w:val="auto"/>
                <w:sz w:val="24"/>
              </w:rPr>
              <w:t>、</w:t>
            </w:r>
            <w:r>
              <w:rPr>
                <w:color w:val="auto"/>
                <w:sz w:val="24"/>
              </w:rPr>
              <w:t>1个居委会</w:t>
            </w:r>
            <w:r>
              <w:rPr>
                <w:rFonts w:hint="eastAsia"/>
                <w:color w:val="auto"/>
                <w:sz w:val="24"/>
              </w:rPr>
              <w:t>、总人口8.1万人，镇域面积225km</w:t>
            </w:r>
            <w:r>
              <w:rPr>
                <w:rFonts w:hint="eastAsia"/>
                <w:color w:val="auto"/>
                <w:sz w:val="24"/>
                <w:vertAlign w:val="superscript"/>
              </w:rPr>
              <w:t>2</w:t>
            </w:r>
            <w:r>
              <w:rPr>
                <w:rFonts w:hint="eastAsia"/>
                <w:color w:val="auto"/>
                <w:sz w:val="24"/>
              </w:rPr>
              <w:t>，耕地面积6.2万亩、山林面积16.2万亩。地处长沙、岳阳一小时经济圈内，位于“3+5”城市群的边缘和长株潭两型示范区和武汉城市圈之间，紧邻武广高铁、107国道，京珠高速、S308线和汨罗江在镇区交汇，是全县的农业大镇、工业重镇、文化厚镇。</w:t>
            </w:r>
          </w:p>
          <w:p>
            <w:pPr>
              <w:numPr>
                <w:ilvl w:val="1"/>
                <w:numId w:val="6"/>
              </w:numPr>
              <w:tabs>
                <w:tab w:val="left" w:pos="1080"/>
                <w:tab w:val="clear" w:pos="0"/>
              </w:tabs>
              <w:spacing w:line="360" w:lineRule="auto"/>
              <w:ind w:left="0" w:firstLine="480" w:firstLineChars="200"/>
              <w:rPr>
                <w:rFonts w:hint="eastAsia"/>
                <w:color w:val="auto"/>
                <w:sz w:val="24"/>
              </w:rPr>
            </w:pPr>
            <w:r>
              <w:rPr>
                <w:rFonts w:hint="eastAsia"/>
                <w:color w:val="auto"/>
                <w:sz w:val="24"/>
              </w:rPr>
              <w:t>向家镇</w:t>
            </w:r>
          </w:p>
          <w:p>
            <w:pPr>
              <w:spacing w:line="360" w:lineRule="auto"/>
              <w:ind w:firstLine="480" w:firstLineChars="200"/>
              <w:rPr>
                <w:rFonts w:hint="eastAsia"/>
                <w:color w:val="auto"/>
                <w:sz w:val="24"/>
              </w:rPr>
            </w:pPr>
            <w:r>
              <w:rPr>
                <w:color w:val="auto"/>
                <w:sz w:val="24"/>
              </w:rPr>
              <w:t>向家镇</w:t>
            </w:r>
            <w:r>
              <w:rPr>
                <w:rFonts w:hint="eastAsia"/>
                <w:color w:val="auto"/>
                <w:sz w:val="24"/>
              </w:rPr>
              <w:t>位于平江县西南部，地处平江、汨罗、长沙三县交界处、长株潭经济圈与环洞庭湖区的交汇点，素有“鸡叫三县”的美誉，京珠高速穿镜而过，交通便利，是平江县的“边贸重镇”，辐射周边三县九镇一乡近30万人口。总面积41.4km</w:t>
            </w:r>
            <w:r>
              <w:rPr>
                <w:rFonts w:hint="eastAsia"/>
                <w:color w:val="auto"/>
                <w:sz w:val="24"/>
                <w:vertAlign w:val="superscript"/>
              </w:rPr>
              <w:t>2</w:t>
            </w:r>
            <w:r>
              <w:rPr>
                <w:rFonts w:hint="eastAsia"/>
                <w:color w:val="auto"/>
                <w:sz w:val="24"/>
              </w:rPr>
              <w:t>，总人口2.1万余人，是湖南省文明村镇、湖南省环境优美乡镇、湖南省安全示范乡镇、岳阳市社会治安综合治理先进乡镇、岳阳市信访“三无”乡镇。</w:t>
            </w:r>
          </w:p>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tc>
      </w:tr>
    </w:tbl>
    <w:p>
      <w:pPr>
        <w:spacing w:line="360" w:lineRule="auto"/>
        <w:outlineLvl w:val="0"/>
        <w:rPr>
          <w:b/>
          <w:bCs/>
          <w:color w:val="auto"/>
          <w:sz w:val="28"/>
        </w:rPr>
      </w:pPr>
      <w:r>
        <w:rPr>
          <w:b/>
          <w:bCs/>
          <w:color w:val="auto"/>
          <w:sz w:val="28"/>
        </w:rPr>
        <w:t>环境质量状况</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spacing w:line="360" w:lineRule="auto"/>
              <w:rPr>
                <w:color w:val="auto"/>
                <w:sz w:val="28"/>
                <w:szCs w:val="28"/>
              </w:rPr>
            </w:pPr>
            <w:r>
              <w:rPr>
                <w:color w:val="auto"/>
                <w:sz w:val="28"/>
                <w:szCs w:val="28"/>
              </w:rPr>
              <w:t>建设项目所在地区域环境质量现状及主要环境问题</w:t>
            </w:r>
            <w:r>
              <w:rPr>
                <w:rFonts w:hint="eastAsia"/>
                <w:color w:val="auto"/>
                <w:sz w:val="28"/>
                <w:szCs w:val="28"/>
              </w:rPr>
              <w:t>（</w:t>
            </w:r>
            <w:r>
              <w:rPr>
                <w:color w:val="auto"/>
                <w:sz w:val="28"/>
                <w:szCs w:val="28"/>
              </w:rPr>
              <w:t>环境空气、地面水、地下水、声环境、生态环境等</w:t>
            </w:r>
            <w:r>
              <w:rPr>
                <w:rFonts w:hint="eastAsia"/>
                <w:color w:val="auto"/>
                <w:sz w:val="28"/>
                <w:szCs w:val="28"/>
              </w:rPr>
              <w:t>）</w:t>
            </w:r>
            <w:r>
              <w:rPr>
                <w:color w:val="auto"/>
                <w:sz w:val="28"/>
                <w:szCs w:val="28"/>
              </w:rPr>
              <w:t>：</w:t>
            </w:r>
          </w:p>
          <w:p>
            <w:pPr>
              <w:numPr>
                <w:ilvl w:val="0"/>
                <w:numId w:val="7"/>
              </w:numPr>
              <w:adjustRightInd w:val="0"/>
              <w:spacing w:line="360" w:lineRule="auto"/>
              <w:rPr>
                <w:rFonts w:hint="eastAsia"/>
                <w:b/>
                <w:color w:val="auto"/>
                <w:sz w:val="24"/>
              </w:rPr>
            </w:pPr>
            <w:r>
              <w:rPr>
                <w:rFonts w:hint="eastAsia"/>
                <w:b/>
                <w:color w:val="auto"/>
                <w:sz w:val="24"/>
              </w:rPr>
              <w:t>环境空气质量现状</w:t>
            </w:r>
          </w:p>
          <w:p>
            <w:pPr>
              <w:adjustRightInd w:val="0"/>
              <w:spacing w:line="360" w:lineRule="auto"/>
              <w:ind w:firstLine="480" w:firstLineChars="200"/>
              <w:rPr>
                <w:rFonts w:hint="eastAsia"/>
                <w:color w:val="auto"/>
                <w:sz w:val="24"/>
              </w:rPr>
            </w:pPr>
            <w:r>
              <w:rPr>
                <w:rFonts w:hint="eastAsia"/>
                <w:bCs/>
                <w:color w:val="auto"/>
                <w:sz w:val="24"/>
              </w:rPr>
              <w:t>为了解本项目配水管道沿线区域的环境空气质量现状情况，评价收集了项目沿线区域的相关历史监测数据，具体情况如下：</w:t>
            </w:r>
          </w:p>
          <w:p>
            <w:pPr>
              <w:adjustRightInd w:val="0"/>
              <w:spacing w:line="360" w:lineRule="auto"/>
              <w:ind w:firstLine="480" w:firstLineChars="200"/>
              <w:rPr>
                <w:rFonts w:hint="eastAsia"/>
                <w:color w:val="auto"/>
                <w:sz w:val="24"/>
              </w:rPr>
            </w:pPr>
            <w:r>
              <w:rPr>
                <w:rFonts w:hint="eastAsia"/>
                <w:color w:val="auto"/>
                <w:sz w:val="24"/>
              </w:rPr>
              <w:t>（1）监测布点及监测项目</w:t>
            </w:r>
          </w:p>
          <w:p>
            <w:pPr>
              <w:adjustRightInd w:val="0"/>
              <w:spacing w:line="360" w:lineRule="auto"/>
              <w:ind w:firstLine="480" w:firstLineChars="200"/>
              <w:rPr>
                <w:rFonts w:hint="eastAsia"/>
                <w:color w:val="auto"/>
                <w:sz w:val="24"/>
              </w:rPr>
            </w:pPr>
            <w:r>
              <w:rPr>
                <w:rFonts w:hAnsi="宋体"/>
                <w:color w:val="auto"/>
                <w:sz w:val="24"/>
              </w:rPr>
              <w:t>根据</w:t>
            </w:r>
            <w:r>
              <w:rPr>
                <w:rFonts w:hint="eastAsia" w:hAnsi="宋体"/>
                <w:color w:val="auto"/>
                <w:sz w:val="24"/>
              </w:rPr>
              <w:t>项目配水管线的布置情况，共收集了项目沿线区域环境空气质量现状历史监测数据，具体情况见表</w:t>
            </w:r>
            <w:r>
              <w:rPr>
                <w:color w:val="auto"/>
                <w:sz w:val="24"/>
              </w:rPr>
              <w:t>表</w:t>
            </w:r>
            <w:r>
              <w:rPr>
                <w:rFonts w:hint="eastAsia"/>
                <w:color w:val="auto"/>
                <w:sz w:val="24"/>
                <w:lang w:val="en-US" w:eastAsia="zh-CN"/>
              </w:rPr>
              <w:t>16</w:t>
            </w:r>
            <w:r>
              <w:rPr>
                <w:color w:val="auto"/>
                <w:sz w:val="24"/>
              </w:rPr>
              <w:t>。</w:t>
            </w:r>
          </w:p>
          <w:p>
            <w:pPr>
              <w:pStyle w:val="16"/>
              <w:adjustRightInd/>
              <w:snapToGrid/>
              <w:jc w:val="center"/>
              <w:rPr>
                <w:rFonts w:hint="eastAsia"/>
                <w:bCs/>
                <w:color w:val="auto"/>
                <w:sz w:val="21"/>
                <w:szCs w:val="21"/>
              </w:rPr>
            </w:pPr>
            <w:r>
              <w:rPr>
                <w:bCs/>
                <w:color w:val="auto"/>
                <w:sz w:val="21"/>
                <w:szCs w:val="21"/>
              </w:rPr>
              <w:t>表</w:t>
            </w:r>
            <w:r>
              <w:rPr>
                <w:rFonts w:hint="eastAsia"/>
                <w:bCs/>
                <w:color w:val="auto"/>
                <w:sz w:val="21"/>
                <w:szCs w:val="21"/>
                <w:lang w:val="en-US" w:eastAsia="zh-CN"/>
              </w:rPr>
              <w:t>16</w:t>
            </w:r>
            <w:r>
              <w:rPr>
                <w:bCs/>
                <w:color w:val="auto"/>
                <w:sz w:val="21"/>
                <w:szCs w:val="21"/>
              </w:rPr>
              <w:t xml:space="preserve">  </w:t>
            </w:r>
            <w:r>
              <w:rPr>
                <w:rFonts w:hint="eastAsia"/>
                <w:bCs/>
                <w:color w:val="auto"/>
                <w:sz w:val="21"/>
                <w:szCs w:val="21"/>
              </w:rPr>
              <w:t>环境</w:t>
            </w:r>
            <w:r>
              <w:rPr>
                <w:bCs/>
                <w:color w:val="auto"/>
                <w:sz w:val="21"/>
                <w:szCs w:val="21"/>
              </w:rPr>
              <w:t>空气监测点布置情况表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1"/>
              <w:gridCol w:w="1169"/>
              <w:gridCol w:w="2049"/>
              <w:gridCol w:w="415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11"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编号</w:t>
                  </w:r>
                </w:p>
              </w:tc>
              <w:tc>
                <w:tcPr>
                  <w:tcW w:w="1169"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监测点</w:t>
                  </w:r>
                </w:p>
              </w:tc>
              <w:tc>
                <w:tcPr>
                  <w:tcW w:w="2049" w:type="dxa"/>
                  <w:tcMar>
                    <w:left w:w="17" w:type="dxa"/>
                    <w:right w:w="17" w:type="dxa"/>
                  </w:tcMar>
                  <w:vAlign w:val="center"/>
                </w:tcPr>
                <w:p>
                  <w:pPr>
                    <w:tabs>
                      <w:tab w:val="left" w:pos="8100"/>
                    </w:tabs>
                    <w:spacing w:line="240" w:lineRule="exact"/>
                    <w:jc w:val="center"/>
                    <w:rPr>
                      <w:color w:val="auto"/>
                      <w:szCs w:val="21"/>
                    </w:rPr>
                  </w:pPr>
                  <w:r>
                    <w:rPr>
                      <w:color w:val="auto"/>
                      <w:szCs w:val="21"/>
                    </w:rPr>
                    <w:t>监测因子</w:t>
                  </w:r>
                </w:p>
              </w:tc>
              <w:tc>
                <w:tcPr>
                  <w:tcW w:w="4153" w:type="dxa"/>
                  <w:tcMar>
                    <w:left w:w="17" w:type="dxa"/>
                    <w:right w:w="17" w:type="dxa"/>
                  </w:tcMar>
                  <w:vAlign w:val="center"/>
                </w:tcPr>
                <w:p>
                  <w:pPr>
                    <w:tabs>
                      <w:tab w:val="left" w:pos="8100"/>
                    </w:tabs>
                    <w:spacing w:line="240" w:lineRule="exact"/>
                    <w:jc w:val="center"/>
                    <w:rPr>
                      <w:rFonts w:hint="eastAsia"/>
                      <w:color w:val="auto"/>
                      <w:szCs w:val="21"/>
                    </w:rPr>
                  </w:pPr>
                  <w:r>
                    <w:rPr>
                      <w:rFonts w:hint="eastAsia"/>
                      <w:color w:val="auto"/>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11" w:type="dxa"/>
                  <w:shd w:val="clear" w:color="auto" w:fill="auto"/>
                  <w:tcMar>
                    <w:left w:w="17" w:type="dxa"/>
                    <w:right w:w="17" w:type="dxa"/>
                  </w:tcMar>
                  <w:vAlign w:val="center"/>
                </w:tcPr>
                <w:p>
                  <w:pPr>
                    <w:tabs>
                      <w:tab w:val="left" w:pos="8100"/>
                    </w:tabs>
                    <w:spacing w:line="240" w:lineRule="exact"/>
                    <w:jc w:val="center"/>
                    <w:rPr>
                      <w:color w:val="auto"/>
                      <w:szCs w:val="21"/>
                    </w:rPr>
                  </w:pPr>
                  <w:r>
                    <w:rPr>
                      <w:bCs/>
                      <w:color w:val="auto"/>
                      <w:kern w:val="0"/>
                      <w:szCs w:val="21"/>
                      <w:lang w:eastAsia="en-US" w:bidi="en-US"/>
                    </w:rPr>
                    <w:t>G1</w:t>
                  </w:r>
                </w:p>
              </w:tc>
              <w:tc>
                <w:tcPr>
                  <w:tcW w:w="1169"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城关镇</w:t>
                  </w:r>
                </w:p>
              </w:tc>
              <w:tc>
                <w:tcPr>
                  <w:tcW w:w="2049" w:type="dxa"/>
                  <w:tcMar>
                    <w:left w:w="17" w:type="dxa"/>
                    <w:right w:w="17" w:type="dxa"/>
                  </w:tcMar>
                  <w:vAlign w:val="center"/>
                </w:tcPr>
                <w:p>
                  <w:pPr>
                    <w:tabs>
                      <w:tab w:val="left" w:pos="8100"/>
                    </w:tabs>
                    <w:spacing w:line="240" w:lineRule="exact"/>
                    <w:jc w:val="center"/>
                    <w:rPr>
                      <w:color w:val="auto"/>
                      <w:szCs w:val="21"/>
                    </w:rPr>
                  </w:pPr>
                  <w:r>
                    <w:rPr>
                      <w:color w:val="auto"/>
                      <w:szCs w:val="21"/>
                    </w:rPr>
                    <w:t>SO</w:t>
                  </w:r>
                  <w:r>
                    <w:rPr>
                      <w:color w:val="auto"/>
                      <w:szCs w:val="21"/>
                      <w:vertAlign w:val="subscript"/>
                    </w:rPr>
                    <w:t>2</w:t>
                  </w:r>
                  <w:r>
                    <w:rPr>
                      <w:color w:val="auto"/>
                      <w:szCs w:val="21"/>
                    </w:rPr>
                    <w:t>、</w:t>
                  </w:r>
                  <w:r>
                    <w:rPr>
                      <w:bCs/>
                      <w:color w:val="auto"/>
                      <w:szCs w:val="21"/>
                    </w:rPr>
                    <w:t>NO</w:t>
                  </w:r>
                  <w:r>
                    <w:rPr>
                      <w:bCs/>
                      <w:color w:val="auto"/>
                      <w:szCs w:val="21"/>
                      <w:vertAlign w:val="subscript"/>
                    </w:rPr>
                    <w:t>2</w:t>
                  </w:r>
                  <w:r>
                    <w:rPr>
                      <w:rFonts w:hint="eastAsia"/>
                      <w:bCs/>
                      <w:color w:val="auto"/>
                      <w:szCs w:val="21"/>
                    </w:rPr>
                    <w:t>、TSP</w:t>
                  </w:r>
                </w:p>
              </w:tc>
              <w:tc>
                <w:tcPr>
                  <w:tcW w:w="4153" w:type="dxa"/>
                  <w:tcMar>
                    <w:left w:w="17" w:type="dxa"/>
                    <w:right w:w="17" w:type="dxa"/>
                  </w:tcMar>
                  <w:vAlign w:val="center"/>
                </w:tcPr>
                <w:p>
                  <w:pPr>
                    <w:tabs>
                      <w:tab w:val="left" w:pos="8100"/>
                    </w:tabs>
                    <w:spacing w:line="240" w:lineRule="exact"/>
                    <w:rPr>
                      <w:rFonts w:hint="eastAsia"/>
                      <w:color w:val="auto"/>
                      <w:szCs w:val="21"/>
                    </w:rPr>
                  </w:pPr>
                  <w:r>
                    <w:rPr>
                      <w:rFonts w:hint="eastAsia"/>
                      <w:color w:val="auto"/>
                      <w:szCs w:val="21"/>
                    </w:rPr>
                    <w:t>引用至</w:t>
                  </w:r>
                  <w:r>
                    <w:rPr>
                      <w:color w:val="auto"/>
                      <w:szCs w:val="21"/>
                    </w:rPr>
                    <w:t>《</w:t>
                  </w:r>
                  <w:r>
                    <w:rPr>
                      <w:rFonts w:hint="eastAsia"/>
                      <w:color w:val="auto"/>
                      <w:szCs w:val="21"/>
                    </w:rPr>
                    <w:t>平江天岳工业区区域环评项目环境影响报告书</w:t>
                  </w:r>
                  <w:r>
                    <w:rPr>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11" w:type="dxa"/>
                  <w:shd w:val="clear" w:color="auto" w:fill="auto"/>
                  <w:tcMar>
                    <w:left w:w="17" w:type="dxa"/>
                    <w:right w:w="17" w:type="dxa"/>
                  </w:tcMar>
                  <w:vAlign w:val="center"/>
                </w:tcPr>
                <w:p>
                  <w:pPr>
                    <w:tabs>
                      <w:tab w:val="left" w:pos="8100"/>
                    </w:tabs>
                    <w:spacing w:line="240" w:lineRule="exact"/>
                    <w:jc w:val="center"/>
                    <w:rPr>
                      <w:bCs/>
                      <w:color w:val="auto"/>
                      <w:kern w:val="0"/>
                      <w:szCs w:val="21"/>
                      <w:lang w:eastAsia="en-US" w:bidi="en-US"/>
                    </w:rPr>
                  </w:pPr>
                  <w:r>
                    <w:rPr>
                      <w:rFonts w:hint="eastAsia"/>
                      <w:color w:val="auto"/>
                      <w:szCs w:val="21"/>
                    </w:rPr>
                    <w:t>G2</w:t>
                  </w:r>
                </w:p>
              </w:tc>
              <w:tc>
                <w:tcPr>
                  <w:tcW w:w="1169" w:type="dxa"/>
                  <w:shd w:val="clear" w:color="auto" w:fill="auto"/>
                  <w:tcMar>
                    <w:left w:w="17" w:type="dxa"/>
                    <w:right w:w="17" w:type="dxa"/>
                  </w:tcMar>
                  <w:vAlign w:val="center"/>
                </w:tcPr>
                <w:p>
                  <w:pPr>
                    <w:tabs>
                      <w:tab w:val="left" w:pos="8100"/>
                    </w:tabs>
                    <w:spacing w:line="240" w:lineRule="exact"/>
                    <w:jc w:val="center"/>
                    <w:rPr>
                      <w:color w:val="auto"/>
                      <w:szCs w:val="21"/>
                    </w:rPr>
                  </w:pPr>
                  <w:r>
                    <w:rPr>
                      <w:rFonts w:hint="eastAsia"/>
                      <w:color w:val="auto"/>
                      <w:szCs w:val="21"/>
                    </w:rPr>
                    <w:t>伍市镇</w:t>
                  </w:r>
                </w:p>
              </w:tc>
              <w:tc>
                <w:tcPr>
                  <w:tcW w:w="2049" w:type="dxa"/>
                  <w:tcMar>
                    <w:left w:w="17" w:type="dxa"/>
                    <w:right w:w="17" w:type="dxa"/>
                  </w:tcMar>
                  <w:vAlign w:val="center"/>
                </w:tcPr>
                <w:p>
                  <w:pPr>
                    <w:tabs>
                      <w:tab w:val="left" w:pos="8100"/>
                    </w:tabs>
                    <w:spacing w:line="240" w:lineRule="exact"/>
                    <w:jc w:val="center"/>
                    <w:rPr>
                      <w:color w:val="auto"/>
                      <w:szCs w:val="21"/>
                    </w:rPr>
                  </w:pPr>
                  <w:r>
                    <w:rPr>
                      <w:color w:val="auto"/>
                      <w:szCs w:val="21"/>
                    </w:rPr>
                    <w:t>SO</w:t>
                  </w:r>
                  <w:r>
                    <w:rPr>
                      <w:color w:val="auto"/>
                      <w:szCs w:val="21"/>
                      <w:vertAlign w:val="subscript"/>
                    </w:rPr>
                    <w:t>2</w:t>
                  </w:r>
                  <w:r>
                    <w:rPr>
                      <w:color w:val="auto"/>
                      <w:szCs w:val="21"/>
                    </w:rPr>
                    <w:t>、NO</w:t>
                  </w:r>
                  <w:r>
                    <w:rPr>
                      <w:color w:val="auto"/>
                      <w:szCs w:val="21"/>
                      <w:vertAlign w:val="subscript"/>
                    </w:rPr>
                    <w:t>2</w:t>
                  </w:r>
                  <w:r>
                    <w:rPr>
                      <w:color w:val="auto"/>
                      <w:szCs w:val="21"/>
                    </w:rPr>
                    <w:t>、PM</w:t>
                  </w:r>
                  <w:r>
                    <w:rPr>
                      <w:color w:val="auto"/>
                      <w:szCs w:val="21"/>
                      <w:vertAlign w:val="subscript"/>
                    </w:rPr>
                    <w:t>10</w:t>
                  </w:r>
                </w:p>
              </w:tc>
              <w:tc>
                <w:tcPr>
                  <w:tcW w:w="4153" w:type="dxa"/>
                  <w:tcMar>
                    <w:left w:w="17" w:type="dxa"/>
                    <w:right w:w="17" w:type="dxa"/>
                  </w:tcMar>
                  <w:vAlign w:val="center"/>
                </w:tcPr>
                <w:p>
                  <w:pPr>
                    <w:tabs>
                      <w:tab w:val="left" w:pos="8100"/>
                    </w:tabs>
                    <w:spacing w:line="240" w:lineRule="exact"/>
                    <w:rPr>
                      <w:rFonts w:hint="eastAsia"/>
                      <w:color w:val="auto"/>
                      <w:szCs w:val="21"/>
                    </w:rPr>
                  </w:pPr>
                  <w:r>
                    <w:rPr>
                      <w:color w:val="auto"/>
                      <w:szCs w:val="21"/>
                    </w:rPr>
                    <w:t>引用至</w:t>
                  </w:r>
                  <w:r>
                    <w:rPr>
                      <w:rFonts w:hint="eastAsia"/>
                      <w:color w:val="auto"/>
                      <w:szCs w:val="21"/>
                    </w:rPr>
                    <w:t>《平江县华文食品有限公司年产18000吨鱼制品生产加工建设项目环境影响报告表》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11" w:type="dxa"/>
                  <w:shd w:val="clear" w:color="auto" w:fill="auto"/>
                  <w:tcMar>
                    <w:left w:w="17" w:type="dxa"/>
                    <w:right w:w="17" w:type="dxa"/>
                  </w:tcMar>
                  <w:vAlign w:val="center"/>
                </w:tcPr>
                <w:p>
                  <w:pPr>
                    <w:tabs>
                      <w:tab w:val="left" w:pos="8100"/>
                    </w:tabs>
                    <w:spacing w:line="240" w:lineRule="exact"/>
                    <w:jc w:val="center"/>
                    <w:rPr>
                      <w:rFonts w:hint="eastAsia"/>
                      <w:color w:val="auto"/>
                      <w:szCs w:val="21"/>
                    </w:rPr>
                  </w:pPr>
                  <w:r>
                    <w:rPr>
                      <w:rFonts w:hint="eastAsia"/>
                      <w:color w:val="auto"/>
                      <w:szCs w:val="21"/>
                    </w:rPr>
                    <w:t>G3</w:t>
                  </w:r>
                </w:p>
              </w:tc>
              <w:tc>
                <w:tcPr>
                  <w:tcW w:w="1169" w:type="dxa"/>
                  <w:shd w:val="clear" w:color="auto" w:fill="auto"/>
                  <w:tcMar>
                    <w:left w:w="17" w:type="dxa"/>
                    <w:right w:w="17" w:type="dxa"/>
                  </w:tcMar>
                  <w:vAlign w:val="center"/>
                </w:tcPr>
                <w:p>
                  <w:pPr>
                    <w:tabs>
                      <w:tab w:val="left" w:pos="8100"/>
                    </w:tabs>
                    <w:spacing w:line="240" w:lineRule="exact"/>
                    <w:jc w:val="center"/>
                    <w:rPr>
                      <w:color w:val="auto"/>
                      <w:szCs w:val="21"/>
                    </w:rPr>
                  </w:pPr>
                  <w:r>
                    <w:rPr>
                      <w:rFonts w:hint="eastAsia"/>
                      <w:color w:val="auto"/>
                      <w:szCs w:val="21"/>
                    </w:rPr>
                    <w:t>向家镇</w:t>
                  </w:r>
                </w:p>
              </w:tc>
              <w:tc>
                <w:tcPr>
                  <w:tcW w:w="2049" w:type="dxa"/>
                  <w:tcMar>
                    <w:left w:w="17" w:type="dxa"/>
                    <w:right w:w="17" w:type="dxa"/>
                  </w:tcMar>
                  <w:vAlign w:val="center"/>
                </w:tcPr>
                <w:p>
                  <w:pPr>
                    <w:tabs>
                      <w:tab w:val="left" w:pos="8100"/>
                    </w:tabs>
                    <w:spacing w:line="240" w:lineRule="exact"/>
                    <w:jc w:val="center"/>
                    <w:rPr>
                      <w:color w:val="auto"/>
                      <w:szCs w:val="21"/>
                      <w:lang w:val="de-DE"/>
                    </w:rPr>
                  </w:pPr>
                  <w:r>
                    <w:rPr>
                      <w:bCs/>
                      <w:color w:val="auto"/>
                      <w:kern w:val="0"/>
                      <w:szCs w:val="21"/>
                      <w:lang w:val="de-DE" w:bidi="en-US"/>
                    </w:rPr>
                    <w:t>SO</w:t>
                  </w:r>
                  <w:r>
                    <w:rPr>
                      <w:bCs/>
                      <w:color w:val="auto"/>
                      <w:kern w:val="0"/>
                      <w:szCs w:val="21"/>
                      <w:vertAlign w:val="subscript"/>
                      <w:lang w:val="de-DE" w:bidi="en-US"/>
                    </w:rPr>
                    <w:t>2</w:t>
                  </w:r>
                  <w:r>
                    <w:rPr>
                      <w:bCs/>
                      <w:color w:val="auto"/>
                      <w:kern w:val="0"/>
                      <w:szCs w:val="21"/>
                      <w:lang w:bidi="en-US"/>
                    </w:rPr>
                    <w:t>、</w:t>
                  </w:r>
                  <w:r>
                    <w:rPr>
                      <w:bCs/>
                      <w:color w:val="auto"/>
                      <w:kern w:val="0"/>
                      <w:szCs w:val="21"/>
                      <w:lang w:val="de-DE" w:bidi="en-US"/>
                    </w:rPr>
                    <w:t>NO</w:t>
                  </w:r>
                  <w:r>
                    <w:rPr>
                      <w:bCs/>
                      <w:color w:val="auto"/>
                      <w:kern w:val="0"/>
                      <w:szCs w:val="21"/>
                      <w:vertAlign w:val="subscript"/>
                      <w:lang w:val="de-DE" w:bidi="en-US"/>
                    </w:rPr>
                    <w:t>2</w:t>
                  </w:r>
                  <w:r>
                    <w:rPr>
                      <w:rFonts w:hint="eastAsia"/>
                      <w:bCs/>
                      <w:color w:val="auto"/>
                      <w:szCs w:val="21"/>
                    </w:rPr>
                    <w:t>、</w:t>
                  </w:r>
                  <w:r>
                    <w:rPr>
                      <w:rFonts w:hint="eastAsia"/>
                      <w:bCs/>
                      <w:color w:val="auto"/>
                      <w:szCs w:val="21"/>
                      <w:lang w:val="de-DE"/>
                    </w:rPr>
                    <w:t>TSP</w:t>
                  </w:r>
                  <w:r>
                    <w:rPr>
                      <w:bCs/>
                      <w:color w:val="auto"/>
                      <w:kern w:val="0"/>
                      <w:szCs w:val="21"/>
                      <w:lang w:bidi="en-US"/>
                    </w:rPr>
                    <w:t>、</w:t>
                  </w:r>
                  <w:r>
                    <w:rPr>
                      <w:bCs/>
                      <w:color w:val="auto"/>
                      <w:kern w:val="0"/>
                      <w:szCs w:val="21"/>
                      <w:lang w:val="de-DE" w:bidi="en-US"/>
                    </w:rPr>
                    <w:t>PM</w:t>
                  </w:r>
                  <w:r>
                    <w:rPr>
                      <w:bCs/>
                      <w:color w:val="auto"/>
                      <w:kern w:val="0"/>
                      <w:szCs w:val="21"/>
                      <w:vertAlign w:val="subscript"/>
                      <w:lang w:val="de-DE" w:bidi="en-US"/>
                    </w:rPr>
                    <w:t>10</w:t>
                  </w:r>
                </w:p>
              </w:tc>
              <w:tc>
                <w:tcPr>
                  <w:tcW w:w="4153" w:type="dxa"/>
                  <w:tcMar>
                    <w:left w:w="17" w:type="dxa"/>
                    <w:right w:w="17" w:type="dxa"/>
                  </w:tcMar>
                  <w:vAlign w:val="center"/>
                </w:tcPr>
                <w:p>
                  <w:pPr>
                    <w:tabs>
                      <w:tab w:val="left" w:pos="8100"/>
                    </w:tabs>
                    <w:spacing w:line="240" w:lineRule="exact"/>
                    <w:rPr>
                      <w:rFonts w:hint="eastAsia"/>
                      <w:color w:val="auto"/>
                      <w:szCs w:val="21"/>
                      <w:lang w:val="de-DE"/>
                    </w:rPr>
                  </w:pPr>
                  <w:r>
                    <w:rPr>
                      <w:rFonts w:hint="eastAsia"/>
                      <w:color w:val="auto"/>
                      <w:szCs w:val="21"/>
                      <w:lang w:val="de-DE"/>
                    </w:rPr>
                    <w:t>引用至《</w:t>
                  </w:r>
                  <w:r>
                    <w:rPr>
                      <w:color w:val="auto"/>
                      <w:szCs w:val="21"/>
                    </w:rPr>
                    <w:t>平江县北街新型环保页岩砖厂年产6000万块环保页岩（标）砖建设项目</w:t>
                  </w:r>
                  <w:r>
                    <w:rPr>
                      <w:rFonts w:hint="eastAsia"/>
                      <w:color w:val="auto"/>
                      <w:szCs w:val="21"/>
                      <w:lang w:val="de-DE"/>
                    </w:rPr>
                    <w:t>》</w:t>
                  </w:r>
                </w:p>
              </w:tc>
            </w:tr>
          </w:tbl>
          <w:p>
            <w:pPr>
              <w:adjustRightInd w:val="0"/>
              <w:spacing w:line="360" w:lineRule="auto"/>
              <w:ind w:firstLine="480" w:firstLineChars="200"/>
              <w:rPr>
                <w:rFonts w:hint="eastAsia"/>
                <w:color w:val="auto"/>
                <w:sz w:val="24"/>
              </w:rPr>
            </w:pPr>
            <w:r>
              <w:rPr>
                <w:rFonts w:hint="eastAsia"/>
                <w:color w:val="auto"/>
                <w:sz w:val="24"/>
              </w:rPr>
              <w:t>（2）监测时间与监测单位</w:t>
            </w:r>
          </w:p>
          <w:p>
            <w:pPr>
              <w:adjustRightInd w:val="0"/>
              <w:spacing w:line="360" w:lineRule="auto"/>
              <w:ind w:firstLine="480" w:firstLineChars="200"/>
              <w:rPr>
                <w:rFonts w:hint="eastAsia"/>
                <w:color w:val="auto"/>
                <w:sz w:val="24"/>
                <w:lang w:bidi="en-US"/>
              </w:rPr>
            </w:pPr>
            <w:r>
              <w:rPr>
                <w:rFonts w:hint="eastAsia"/>
                <w:color w:val="auto"/>
                <w:sz w:val="24"/>
                <w:lang w:bidi="en-US"/>
              </w:rPr>
              <w:t>各监测点的监测时间和频率见</w:t>
            </w:r>
            <w:r>
              <w:rPr>
                <w:color w:val="auto"/>
                <w:sz w:val="24"/>
              </w:rPr>
              <w:t>表</w:t>
            </w:r>
            <w:r>
              <w:rPr>
                <w:rFonts w:hint="eastAsia"/>
                <w:color w:val="auto"/>
                <w:sz w:val="24"/>
                <w:lang w:val="en-US" w:eastAsia="zh-CN"/>
              </w:rPr>
              <w:t>17</w:t>
            </w:r>
            <w:r>
              <w:rPr>
                <w:color w:val="auto"/>
                <w:sz w:val="24"/>
              </w:rPr>
              <w:t>。</w:t>
            </w:r>
          </w:p>
          <w:p>
            <w:pPr>
              <w:pStyle w:val="16"/>
              <w:adjustRightInd/>
              <w:snapToGrid/>
              <w:jc w:val="center"/>
              <w:rPr>
                <w:rFonts w:hint="eastAsia"/>
                <w:bCs/>
                <w:color w:val="auto"/>
                <w:sz w:val="21"/>
                <w:szCs w:val="21"/>
              </w:rPr>
            </w:pPr>
            <w:r>
              <w:rPr>
                <w:rFonts w:hint="eastAsia"/>
                <w:bCs/>
                <w:color w:val="auto"/>
                <w:sz w:val="21"/>
                <w:szCs w:val="21"/>
              </w:rPr>
              <w:t>表</w:t>
            </w:r>
            <w:r>
              <w:rPr>
                <w:rFonts w:hint="eastAsia"/>
                <w:bCs/>
                <w:color w:val="auto"/>
                <w:sz w:val="21"/>
                <w:szCs w:val="21"/>
                <w:lang w:val="en-US" w:eastAsia="zh-CN"/>
              </w:rPr>
              <w:t>17</w:t>
            </w:r>
            <w:r>
              <w:rPr>
                <w:rFonts w:hint="eastAsia"/>
                <w:bCs/>
                <w:color w:val="auto"/>
                <w:sz w:val="21"/>
                <w:szCs w:val="21"/>
              </w:rPr>
              <w:t xml:space="preserve">  监测时间及监测频率一览表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6"/>
              <w:gridCol w:w="1241"/>
              <w:gridCol w:w="2640"/>
              <w:gridCol w:w="34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66"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编号</w:t>
                  </w:r>
                </w:p>
              </w:tc>
              <w:tc>
                <w:tcPr>
                  <w:tcW w:w="1241"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监测点</w:t>
                  </w:r>
                </w:p>
              </w:tc>
              <w:tc>
                <w:tcPr>
                  <w:tcW w:w="2640" w:type="dxa"/>
                  <w:tcMar>
                    <w:left w:w="17" w:type="dxa"/>
                    <w:right w:w="17" w:type="dxa"/>
                  </w:tcMar>
                  <w:vAlign w:val="center"/>
                </w:tcPr>
                <w:p>
                  <w:pPr>
                    <w:tabs>
                      <w:tab w:val="left" w:pos="8100"/>
                    </w:tabs>
                    <w:spacing w:line="240" w:lineRule="exact"/>
                    <w:jc w:val="center"/>
                    <w:rPr>
                      <w:color w:val="auto"/>
                      <w:szCs w:val="21"/>
                    </w:rPr>
                  </w:pPr>
                  <w:r>
                    <w:rPr>
                      <w:color w:val="auto"/>
                      <w:szCs w:val="21"/>
                    </w:rPr>
                    <w:t>监测</w:t>
                  </w:r>
                  <w:r>
                    <w:rPr>
                      <w:rFonts w:hint="eastAsia"/>
                      <w:color w:val="auto"/>
                      <w:szCs w:val="21"/>
                    </w:rPr>
                    <w:t>时间</w:t>
                  </w:r>
                </w:p>
              </w:tc>
              <w:tc>
                <w:tcPr>
                  <w:tcW w:w="3435" w:type="dxa"/>
                  <w:tcMar>
                    <w:left w:w="17" w:type="dxa"/>
                    <w:right w:w="17" w:type="dxa"/>
                  </w:tcMar>
                  <w:vAlign w:val="center"/>
                </w:tcPr>
                <w:p>
                  <w:pPr>
                    <w:tabs>
                      <w:tab w:val="left" w:pos="8100"/>
                    </w:tabs>
                    <w:spacing w:line="240" w:lineRule="exact"/>
                    <w:jc w:val="center"/>
                    <w:rPr>
                      <w:rFonts w:hint="eastAsia"/>
                      <w:color w:val="auto"/>
                      <w:szCs w:val="21"/>
                    </w:rPr>
                  </w:pPr>
                  <w:r>
                    <w:rPr>
                      <w:rFonts w:hint="eastAsia"/>
                      <w:color w:val="auto"/>
                      <w:szCs w:val="21"/>
                    </w:rPr>
                    <w:t>监测单位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66" w:type="dxa"/>
                  <w:shd w:val="clear" w:color="auto" w:fill="auto"/>
                  <w:tcMar>
                    <w:left w:w="17" w:type="dxa"/>
                    <w:right w:w="17" w:type="dxa"/>
                  </w:tcMar>
                  <w:vAlign w:val="center"/>
                </w:tcPr>
                <w:p>
                  <w:pPr>
                    <w:tabs>
                      <w:tab w:val="left" w:pos="8100"/>
                    </w:tabs>
                    <w:spacing w:line="240" w:lineRule="exact"/>
                    <w:jc w:val="center"/>
                    <w:rPr>
                      <w:color w:val="auto"/>
                      <w:szCs w:val="21"/>
                    </w:rPr>
                  </w:pPr>
                  <w:r>
                    <w:rPr>
                      <w:bCs/>
                      <w:color w:val="auto"/>
                      <w:kern w:val="0"/>
                      <w:szCs w:val="21"/>
                      <w:lang w:eastAsia="en-US" w:bidi="en-US"/>
                    </w:rPr>
                    <w:t>G1</w:t>
                  </w:r>
                </w:p>
              </w:tc>
              <w:tc>
                <w:tcPr>
                  <w:tcW w:w="1241" w:type="dxa"/>
                  <w:shd w:val="clear" w:color="auto" w:fill="auto"/>
                  <w:tcMar>
                    <w:left w:w="17" w:type="dxa"/>
                    <w:right w:w="17" w:type="dxa"/>
                  </w:tcMar>
                  <w:vAlign w:val="center"/>
                </w:tcPr>
                <w:p>
                  <w:pPr>
                    <w:tabs>
                      <w:tab w:val="left" w:pos="8100"/>
                    </w:tabs>
                    <w:spacing w:line="240" w:lineRule="exact"/>
                    <w:jc w:val="center"/>
                    <w:rPr>
                      <w:color w:val="auto"/>
                      <w:szCs w:val="21"/>
                    </w:rPr>
                  </w:pPr>
                  <w:r>
                    <w:rPr>
                      <w:color w:val="auto"/>
                      <w:szCs w:val="21"/>
                    </w:rPr>
                    <w:t>城关镇</w:t>
                  </w:r>
                </w:p>
              </w:tc>
              <w:tc>
                <w:tcPr>
                  <w:tcW w:w="2640" w:type="dxa"/>
                  <w:tcMar>
                    <w:left w:w="17" w:type="dxa"/>
                    <w:right w:w="17" w:type="dxa"/>
                  </w:tcMar>
                  <w:vAlign w:val="center"/>
                </w:tcPr>
                <w:p>
                  <w:pPr>
                    <w:tabs>
                      <w:tab w:val="left" w:pos="8100"/>
                    </w:tabs>
                    <w:spacing w:line="240" w:lineRule="exact"/>
                    <w:jc w:val="center"/>
                    <w:rPr>
                      <w:color w:val="auto"/>
                      <w:szCs w:val="21"/>
                    </w:rPr>
                  </w:pPr>
                  <w:r>
                    <w:rPr>
                      <w:rFonts w:hint="eastAsia"/>
                      <w:color w:val="auto"/>
                      <w:szCs w:val="21"/>
                    </w:rPr>
                    <w:t>2014年1月16日-22日</w:t>
                  </w:r>
                </w:p>
              </w:tc>
              <w:tc>
                <w:tcPr>
                  <w:tcW w:w="3435" w:type="dxa"/>
                  <w:tcMar>
                    <w:left w:w="17" w:type="dxa"/>
                    <w:right w:w="17" w:type="dxa"/>
                  </w:tcMar>
                  <w:vAlign w:val="center"/>
                </w:tcPr>
                <w:p>
                  <w:pPr>
                    <w:tabs>
                      <w:tab w:val="left" w:pos="8100"/>
                    </w:tabs>
                    <w:spacing w:line="240" w:lineRule="exact"/>
                    <w:jc w:val="center"/>
                    <w:rPr>
                      <w:rFonts w:hint="eastAsia"/>
                      <w:color w:val="auto"/>
                      <w:szCs w:val="21"/>
                    </w:rPr>
                  </w:pPr>
                  <w:r>
                    <w:rPr>
                      <w:color w:val="auto"/>
                      <w:szCs w:val="21"/>
                    </w:rPr>
                    <w:t>湖南永蓝检测技术有限公司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66" w:type="dxa"/>
                  <w:shd w:val="clear" w:color="auto" w:fill="auto"/>
                  <w:tcMar>
                    <w:left w:w="17" w:type="dxa"/>
                    <w:right w:w="17" w:type="dxa"/>
                  </w:tcMar>
                  <w:vAlign w:val="center"/>
                </w:tcPr>
                <w:p>
                  <w:pPr>
                    <w:tabs>
                      <w:tab w:val="left" w:pos="8100"/>
                    </w:tabs>
                    <w:spacing w:line="240" w:lineRule="exact"/>
                    <w:jc w:val="center"/>
                    <w:rPr>
                      <w:bCs/>
                      <w:color w:val="auto"/>
                      <w:kern w:val="0"/>
                      <w:szCs w:val="21"/>
                      <w:lang w:eastAsia="en-US" w:bidi="en-US"/>
                    </w:rPr>
                  </w:pPr>
                  <w:r>
                    <w:rPr>
                      <w:rFonts w:hint="eastAsia"/>
                      <w:color w:val="auto"/>
                      <w:szCs w:val="21"/>
                    </w:rPr>
                    <w:t>G2</w:t>
                  </w:r>
                </w:p>
              </w:tc>
              <w:tc>
                <w:tcPr>
                  <w:tcW w:w="1241" w:type="dxa"/>
                  <w:shd w:val="clear" w:color="auto" w:fill="auto"/>
                  <w:tcMar>
                    <w:left w:w="17" w:type="dxa"/>
                    <w:right w:w="17" w:type="dxa"/>
                  </w:tcMar>
                  <w:vAlign w:val="center"/>
                </w:tcPr>
                <w:p>
                  <w:pPr>
                    <w:tabs>
                      <w:tab w:val="left" w:pos="8100"/>
                    </w:tabs>
                    <w:spacing w:line="240" w:lineRule="exact"/>
                    <w:jc w:val="center"/>
                    <w:rPr>
                      <w:color w:val="auto"/>
                      <w:szCs w:val="21"/>
                    </w:rPr>
                  </w:pPr>
                  <w:r>
                    <w:rPr>
                      <w:rFonts w:hint="eastAsia"/>
                      <w:color w:val="auto"/>
                      <w:szCs w:val="21"/>
                    </w:rPr>
                    <w:t>伍市镇</w:t>
                  </w:r>
                </w:p>
              </w:tc>
              <w:tc>
                <w:tcPr>
                  <w:tcW w:w="2640" w:type="dxa"/>
                  <w:tcMar>
                    <w:left w:w="17" w:type="dxa"/>
                    <w:right w:w="17" w:type="dxa"/>
                  </w:tcMar>
                  <w:vAlign w:val="center"/>
                </w:tcPr>
                <w:p>
                  <w:pPr>
                    <w:tabs>
                      <w:tab w:val="left" w:pos="8100"/>
                    </w:tabs>
                    <w:spacing w:line="240" w:lineRule="exact"/>
                    <w:jc w:val="center"/>
                    <w:rPr>
                      <w:color w:val="auto"/>
                      <w:szCs w:val="21"/>
                    </w:rPr>
                  </w:pPr>
                  <w:r>
                    <w:rPr>
                      <w:color w:val="auto"/>
                      <w:szCs w:val="21"/>
                    </w:rPr>
                    <w:t>2015年8月21日</w:t>
                  </w:r>
                  <w:r>
                    <w:rPr>
                      <w:rFonts w:hint="eastAsia"/>
                      <w:color w:val="auto"/>
                      <w:szCs w:val="21"/>
                    </w:rPr>
                    <w:t>~</w:t>
                  </w:r>
                  <w:r>
                    <w:rPr>
                      <w:color w:val="auto"/>
                      <w:szCs w:val="21"/>
                    </w:rPr>
                    <w:t>23日</w:t>
                  </w:r>
                </w:p>
              </w:tc>
              <w:tc>
                <w:tcPr>
                  <w:tcW w:w="3435" w:type="dxa"/>
                  <w:tcMar>
                    <w:left w:w="17" w:type="dxa"/>
                    <w:right w:w="17" w:type="dxa"/>
                  </w:tcMar>
                  <w:vAlign w:val="center"/>
                </w:tcPr>
                <w:p>
                  <w:pPr>
                    <w:tabs>
                      <w:tab w:val="left" w:pos="8100"/>
                    </w:tabs>
                    <w:spacing w:line="240" w:lineRule="exact"/>
                    <w:jc w:val="center"/>
                    <w:rPr>
                      <w:rFonts w:hint="eastAsia"/>
                      <w:color w:val="auto"/>
                      <w:szCs w:val="21"/>
                    </w:rPr>
                  </w:pPr>
                  <w:r>
                    <w:rPr>
                      <w:rFonts w:hint="eastAsia"/>
                      <w:color w:val="auto"/>
                      <w:szCs w:val="21"/>
                    </w:rPr>
                    <w:t>长沙华泽检测环境有限公司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966" w:type="dxa"/>
                  <w:shd w:val="clear" w:color="auto" w:fill="auto"/>
                  <w:tcMar>
                    <w:left w:w="17" w:type="dxa"/>
                    <w:right w:w="17" w:type="dxa"/>
                  </w:tcMar>
                  <w:vAlign w:val="center"/>
                </w:tcPr>
                <w:p>
                  <w:pPr>
                    <w:tabs>
                      <w:tab w:val="left" w:pos="8100"/>
                    </w:tabs>
                    <w:spacing w:line="240" w:lineRule="exact"/>
                    <w:jc w:val="center"/>
                    <w:rPr>
                      <w:rFonts w:hint="eastAsia"/>
                      <w:color w:val="auto"/>
                      <w:szCs w:val="21"/>
                    </w:rPr>
                  </w:pPr>
                  <w:r>
                    <w:rPr>
                      <w:rFonts w:hint="eastAsia"/>
                      <w:color w:val="auto"/>
                      <w:szCs w:val="21"/>
                    </w:rPr>
                    <w:t>G3</w:t>
                  </w:r>
                </w:p>
              </w:tc>
              <w:tc>
                <w:tcPr>
                  <w:tcW w:w="1241" w:type="dxa"/>
                  <w:shd w:val="clear" w:color="auto" w:fill="auto"/>
                  <w:tcMar>
                    <w:left w:w="17" w:type="dxa"/>
                    <w:right w:w="17" w:type="dxa"/>
                  </w:tcMar>
                  <w:vAlign w:val="center"/>
                </w:tcPr>
                <w:p>
                  <w:pPr>
                    <w:tabs>
                      <w:tab w:val="left" w:pos="8100"/>
                    </w:tabs>
                    <w:spacing w:line="240" w:lineRule="exact"/>
                    <w:jc w:val="center"/>
                    <w:rPr>
                      <w:color w:val="auto"/>
                      <w:szCs w:val="21"/>
                    </w:rPr>
                  </w:pPr>
                  <w:r>
                    <w:rPr>
                      <w:rFonts w:hint="eastAsia"/>
                      <w:color w:val="auto"/>
                      <w:szCs w:val="21"/>
                    </w:rPr>
                    <w:t>向家镇</w:t>
                  </w:r>
                </w:p>
              </w:tc>
              <w:tc>
                <w:tcPr>
                  <w:tcW w:w="2640" w:type="dxa"/>
                  <w:tcMar>
                    <w:left w:w="17" w:type="dxa"/>
                    <w:right w:w="17" w:type="dxa"/>
                  </w:tcMar>
                  <w:vAlign w:val="center"/>
                </w:tcPr>
                <w:p>
                  <w:pPr>
                    <w:tabs>
                      <w:tab w:val="left" w:pos="8100"/>
                    </w:tabs>
                    <w:spacing w:line="240" w:lineRule="exact"/>
                    <w:jc w:val="center"/>
                    <w:rPr>
                      <w:color w:val="auto"/>
                      <w:szCs w:val="21"/>
                    </w:rPr>
                  </w:pPr>
                  <w:r>
                    <w:rPr>
                      <w:color w:val="auto"/>
                      <w:szCs w:val="21"/>
                    </w:rPr>
                    <w:t>2014年12月4</w:t>
                  </w:r>
                  <w:r>
                    <w:rPr>
                      <w:rFonts w:hint="eastAsia"/>
                      <w:color w:val="auto"/>
                      <w:szCs w:val="21"/>
                    </w:rPr>
                    <w:t>~</w:t>
                  </w:r>
                  <w:r>
                    <w:rPr>
                      <w:color w:val="auto"/>
                      <w:szCs w:val="21"/>
                    </w:rPr>
                    <w:t>8日</w:t>
                  </w:r>
                </w:p>
              </w:tc>
              <w:tc>
                <w:tcPr>
                  <w:tcW w:w="3435" w:type="dxa"/>
                  <w:tcMar>
                    <w:left w:w="17" w:type="dxa"/>
                    <w:right w:w="17" w:type="dxa"/>
                  </w:tcMar>
                  <w:vAlign w:val="center"/>
                </w:tcPr>
                <w:p>
                  <w:pPr>
                    <w:tabs>
                      <w:tab w:val="left" w:pos="8100"/>
                    </w:tabs>
                    <w:spacing w:line="240" w:lineRule="exact"/>
                    <w:jc w:val="center"/>
                    <w:rPr>
                      <w:rFonts w:hint="eastAsia"/>
                      <w:color w:val="auto"/>
                      <w:szCs w:val="21"/>
                    </w:rPr>
                  </w:pPr>
                  <w:r>
                    <w:rPr>
                      <w:color w:val="auto"/>
                      <w:szCs w:val="21"/>
                    </w:rPr>
                    <w:t>湖南永蓝检测技术有限公司</w:t>
                  </w:r>
                </w:p>
              </w:tc>
            </w:tr>
          </w:tbl>
          <w:p>
            <w:pPr>
              <w:adjustRightInd w:val="0"/>
              <w:spacing w:line="360" w:lineRule="auto"/>
              <w:ind w:firstLine="480" w:firstLineChars="200"/>
              <w:rPr>
                <w:rFonts w:hint="eastAsia"/>
                <w:color w:val="auto"/>
                <w:sz w:val="24"/>
              </w:rPr>
            </w:pPr>
            <w:r>
              <w:rPr>
                <w:rFonts w:hint="eastAsia"/>
                <w:color w:val="auto"/>
                <w:sz w:val="24"/>
              </w:rPr>
              <w:t>（3）采样及分析方法</w:t>
            </w:r>
          </w:p>
          <w:p>
            <w:pPr>
              <w:adjustRightInd w:val="0"/>
              <w:spacing w:line="360" w:lineRule="auto"/>
              <w:ind w:firstLine="480" w:firstLineChars="200"/>
              <w:rPr>
                <w:rFonts w:hint="eastAsia"/>
                <w:color w:val="auto"/>
                <w:sz w:val="24"/>
              </w:rPr>
            </w:pPr>
            <w:r>
              <w:rPr>
                <w:color w:val="auto"/>
                <w:sz w:val="24"/>
                <w:lang w:bidi="en-US"/>
              </w:rPr>
              <w:t>采样方法按《环境监测技术规范》（大气部分）执行，</w:t>
            </w:r>
            <w:r>
              <w:rPr>
                <w:rFonts w:hint="eastAsia"/>
                <w:color w:val="auto"/>
                <w:sz w:val="24"/>
                <w:lang w:bidi="en-US"/>
              </w:rPr>
              <w:t>采用自动连续采样方式。分析按照国家相关标准进行。</w:t>
            </w:r>
          </w:p>
          <w:p>
            <w:pPr>
              <w:adjustRightInd w:val="0"/>
              <w:spacing w:line="360" w:lineRule="auto"/>
              <w:ind w:firstLine="480" w:firstLineChars="200"/>
              <w:rPr>
                <w:rFonts w:hint="eastAsia"/>
                <w:color w:val="auto"/>
                <w:sz w:val="24"/>
              </w:rPr>
            </w:pPr>
            <w:r>
              <w:rPr>
                <w:rFonts w:hint="eastAsia"/>
                <w:color w:val="auto"/>
                <w:sz w:val="24"/>
              </w:rPr>
              <w:t>（4）监测结果及评价</w:t>
            </w:r>
          </w:p>
          <w:p>
            <w:pPr>
              <w:adjustRightInd w:val="0"/>
              <w:spacing w:line="360" w:lineRule="auto"/>
              <w:ind w:firstLine="480" w:firstLineChars="200"/>
              <w:rPr>
                <w:rFonts w:hint="eastAsia"/>
                <w:color w:val="auto"/>
                <w:sz w:val="24"/>
              </w:rPr>
            </w:pPr>
            <w:r>
              <w:rPr>
                <w:color w:val="auto"/>
                <w:sz w:val="24"/>
              </w:rPr>
              <w:t>监测结果见表</w:t>
            </w:r>
            <w:r>
              <w:rPr>
                <w:rFonts w:hint="eastAsia"/>
                <w:color w:val="auto"/>
                <w:sz w:val="24"/>
                <w:lang w:val="en-US" w:eastAsia="zh-CN"/>
              </w:rPr>
              <w:t>18</w:t>
            </w:r>
            <w:r>
              <w:rPr>
                <w:color w:val="auto"/>
                <w:sz w:val="24"/>
              </w:rPr>
              <w:t>。</w:t>
            </w: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pStyle w:val="16"/>
              <w:adjustRightInd/>
              <w:snapToGrid/>
              <w:jc w:val="center"/>
              <w:rPr>
                <w:bCs/>
                <w:color w:val="auto"/>
                <w:sz w:val="21"/>
                <w:szCs w:val="21"/>
              </w:rPr>
            </w:pPr>
            <w:r>
              <w:rPr>
                <w:rFonts w:hint="eastAsia"/>
                <w:bCs/>
                <w:color w:val="auto"/>
                <w:sz w:val="21"/>
                <w:szCs w:val="21"/>
              </w:rPr>
              <w:t>表</w:t>
            </w:r>
            <w:r>
              <w:rPr>
                <w:rFonts w:hint="eastAsia"/>
                <w:bCs/>
                <w:color w:val="auto"/>
                <w:sz w:val="21"/>
                <w:szCs w:val="21"/>
                <w:lang w:val="en-US" w:eastAsia="zh-CN"/>
              </w:rPr>
              <w:t>18</w:t>
            </w:r>
            <w:r>
              <w:rPr>
                <w:rFonts w:hint="eastAsia"/>
                <w:bCs/>
                <w:color w:val="auto"/>
                <w:sz w:val="21"/>
                <w:szCs w:val="21"/>
              </w:rPr>
              <w:t xml:space="preserve">  </w:t>
            </w:r>
            <w:r>
              <w:rPr>
                <w:bCs/>
                <w:color w:val="auto"/>
                <w:sz w:val="21"/>
                <w:szCs w:val="21"/>
              </w:rPr>
              <w:t>评价区域环境空气监测结果</w:t>
            </w:r>
            <w:r>
              <w:rPr>
                <w:rFonts w:hint="eastAsia"/>
                <w:bCs/>
                <w:color w:val="auto"/>
                <w:sz w:val="21"/>
                <w:szCs w:val="21"/>
              </w:rPr>
              <w:t>表</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0"/>
              <w:gridCol w:w="905"/>
              <w:gridCol w:w="967"/>
              <w:gridCol w:w="1122"/>
              <w:gridCol w:w="874"/>
              <w:gridCol w:w="1089"/>
              <w:gridCol w:w="1038"/>
              <w:gridCol w:w="104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240" w:type="dxa"/>
                  <w:vMerge w:val="restart"/>
                  <w:vAlign w:val="center"/>
                </w:tcPr>
                <w:p>
                  <w:pPr>
                    <w:jc w:val="center"/>
                    <w:rPr>
                      <w:color w:val="auto"/>
                      <w:kern w:val="0"/>
                      <w:szCs w:val="21"/>
                    </w:rPr>
                  </w:pPr>
                  <w:r>
                    <w:rPr>
                      <w:color w:val="auto"/>
                      <w:kern w:val="0"/>
                      <w:szCs w:val="21"/>
                    </w:rPr>
                    <w:t>监测点位</w:t>
                  </w:r>
                </w:p>
              </w:tc>
              <w:tc>
                <w:tcPr>
                  <w:tcW w:w="905" w:type="dxa"/>
                  <w:vMerge w:val="restart"/>
                  <w:vAlign w:val="center"/>
                </w:tcPr>
                <w:p>
                  <w:pPr>
                    <w:jc w:val="center"/>
                    <w:rPr>
                      <w:color w:val="auto"/>
                      <w:kern w:val="0"/>
                      <w:szCs w:val="21"/>
                    </w:rPr>
                  </w:pPr>
                  <w:r>
                    <w:rPr>
                      <w:color w:val="auto"/>
                      <w:kern w:val="0"/>
                      <w:szCs w:val="21"/>
                    </w:rPr>
                    <w:t>监测</w:t>
                  </w:r>
                </w:p>
                <w:p>
                  <w:pPr>
                    <w:jc w:val="center"/>
                    <w:rPr>
                      <w:color w:val="auto"/>
                      <w:kern w:val="0"/>
                      <w:szCs w:val="21"/>
                    </w:rPr>
                  </w:pPr>
                  <w:r>
                    <w:rPr>
                      <w:color w:val="auto"/>
                      <w:kern w:val="0"/>
                      <w:szCs w:val="21"/>
                    </w:rPr>
                    <w:t>项目</w:t>
                  </w:r>
                </w:p>
              </w:tc>
              <w:tc>
                <w:tcPr>
                  <w:tcW w:w="4052" w:type="dxa"/>
                  <w:gridSpan w:val="4"/>
                  <w:vAlign w:val="center"/>
                </w:tcPr>
                <w:p>
                  <w:pPr>
                    <w:widowControl/>
                    <w:jc w:val="center"/>
                    <w:rPr>
                      <w:color w:val="auto"/>
                      <w:kern w:val="0"/>
                      <w:szCs w:val="21"/>
                    </w:rPr>
                  </w:pPr>
                  <w:r>
                    <w:rPr>
                      <w:rFonts w:hint="eastAsia"/>
                      <w:color w:val="auto"/>
                      <w:kern w:val="0"/>
                      <w:szCs w:val="21"/>
                    </w:rPr>
                    <w:t>监测及评价</w:t>
                  </w:r>
                  <w:r>
                    <w:rPr>
                      <w:color w:val="auto"/>
                      <w:kern w:val="0"/>
                      <w:szCs w:val="21"/>
                    </w:rPr>
                    <w:t>结果</w:t>
                  </w:r>
                </w:p>
              </w:tc>
              <w:tc>
                <w:tcPr>
                  <w:tcW w:w="1038" w:type="dxa"/>
                  <w:vMerge w:val="restart"/>
                  <w:vAlign w:val="center"/>
                </w:tcPr>
                <w:p>
                  <w:pPr>
                    <w:jc w:val="center"/>
                    <w:rPr>
                      <w:color w:val="auto"/>
                      <w:kern w:val="0"/>
                      <w:szCs w:val="21"/>
                    </w:rPr>
                  </w:pPr>
                  <w:r>
                    <w:rPr>
                      <w:color w:val="auto"/>
                      <w:kern w:val="0"/>
                      <w:szCs w:val="21"/>
                    </w:rPr>
                    <w:t>标准值</w:t>
                  </w:r>
                  <w:r>
                    <w:rPr>
                      <w:color w:val="auto"/>
                      <w:szCs w:val="21"/>
                    </w:rPr>
                    <w:t>mg/</w:t>
                  </w:r>
                  <w:r>
                    <w:rPr>
                      <w:rFonts w:hint="eastAsia"/>
                      <w:color w:val="auto"/>
                      <w:szCs w:val="21"/>
                      <w:lang w:eastAsia="zh-CN"/>
                    </w:rPr>
                    <w:t>m³</w:t>
                  </w:r>
                </w:p>
              </w:tc>
              <w:tc>
                <w:tcPr>
                  <w:tcW w:w="1047" w:type="dxa"/>
                  <w:vMerge w:val="restart"/>
                  <w:vAlign w:val="center"/>
                </w:tcPr>
                <w:p>
                  <w:pPr>
                    <w:jc w:val="center"/>
                    <w:rPr>
                      <w:color w:val="auto"/>
                      <w:kern w:val="0"/>
                      <w:szCs w:val="21"/>
                    </w:rPr>
                  </w:pPr>
                  <w:r>
                    <w:rPr>
                      <w:color w:val="auto"/>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1240" w:type="dxa"/>
                  <w:vMerge w:val="continue"/>
                  <w:vAlign w:val="center"/>
                </w:tcPr>
                <w:p>
                  <w:pPr>
                    <w:jc w:val="center"/>
                    <w:rPr>
                      <w:color w:val="auto"/>
                      <w:kern w:val="0"/>
                      <w:szCs w:val="21"/>
                    </w:rPr>
                  </w:pPr>
                </w:p>
              </w:tc>
              <w:tc>
                <w:tcPr>
                  <w:tcW w:w="905" w:type="dxa"/>
                  <w:vMerge w:val="continue"/>
                  <w:vAlign w:val="center"/>
                </w:tcPr>
                <w:p>
                  <w:pPr>
                    <w:jc w:val="center"/>
                    <w:rPr>
                      <w:color w:val="auto"/>
                      <w:kern w:val="0"/>
                      <w:szCs w:val="21"/>
                    </w:rPr>
                  </w:pPr>
                </w:p>
              </w:tc>
              <w:tc>
                <w:tcPr>
                  <w:tcW w:w="967" w:type="dxa"/>
                  <w:vAlign w:val="center"/>
                </w:tcPr>
                <w:p>
                  <w:pPr>
                    <w:widowControl/>
                    <w:jc w:val="center"/>
                    <w:rPr>
                      <w:color w:val="auto"/>
                      <w:kern w:val="0"/>
                      <w:szCs w:val="21"/>
                    </w:rPr>
                  </w:pPr>
                  <w:r>
                    <w:rPr>
                      <w:color w:val="auto"/>
                      <w:kern w:val="0"/>
                      <w:szCs w:val="21"/>
                    </w:rPr>
                    <w:t>最小值</w:t>
                  </w:r>
                </w:p>
                <w:p>
                  <w:pPr>
                    <w:widowControl/>
                    <w:jc w:val="center"/>
                    <w:rPr>
                      <w:color w:val="auto"/>
                      <w:kern w:val="0"/>
                      <w:szCs w:val="21"/>
                    </w:rPr>
                  </w:pPr>
                  <w:r>
                    <w:rPr>
                      <w:color w:val="auto"/>
                      <w:szCs w:val="21"/>
                    </w:rPr>
                    <w:t>mg/</w:t>
                  </w:r>
                  <w:r>
                    <w:rPr>
                      <w:rFonts w:hint="eastAsia"/>
                      <w:color w:val="auto"/>
                      <w:szCs w:val="21"/>
                      <w:lang w:eastAsia="zh-CN"/>
                    </w:rPr>
                    <w:t>m³</w:t>
                  </w:r>
                </w:p>
              </w:tc>
              <w:tc>
                <w:tcPr>
                  <w:tcW w:w="1122" w:type="dxa"/>
                  <w:vAlign w:val="center"/>
                </w:tcPr>
                <w:p>
                  <w:pPr>
                    <w:widowControl/>
                    <w:jc w:val="center"/>
                    <w:rPr>
                      <w:color w:val="auto"/>
                      <w:kern w:val="0"/>
                      <w:szCs w:val="21"/>
                    </w:rPr>
                  </w:pPr>
                  <w:r>
                    <w:rPr>
                      <w:color w:val="auto"/>
                      <w:kern w:val="0"/>
                      <w:szCs w:val="21"/>
                    </w:rPr>
                    <w:t>最大值</w:t>
                  </w:r>
                </w:p>
                <w:p>
                  <w:pPr>
                    <w:widowControl/>
                    <w:jc w:val="center"/>
                    <w:rPr>
                      <w:color w:val="auto"/>
                      <w:kern w:val="0"/>
                      <w:szCs w:val="21"/>
                    </w:rPr>
                  </w:pPr>
                  <w:r>
                    <w:rPr>
                      <w:color w:val="auto"/>
                      <w:szCs w:val="21"/>
                    </w:rPr>
                    <w:t>mg/</w:t>
                  </w:r>
                  <w:r>
                    <w:rPr>
                      <w:rFonts w:hint="eastAsia"/>
                      <w:color w:val="auto"/>
                      <w:szCs w:val="21"/>
                      <w:lang w:eastAsia="zh-CN"/>
                    </w:rPr>
                    <w:t>m³</w:t>
                  </w:r>
                </w:p>
              </w:tc>
              <w:tc>
                <w:tcPr>
                  <w:tcW w:w="874" w:type="dxa"/>
                  <w:vAlign w:val="center"/>
                </w:tcPr>
                <w:p>
                  <w:pPr>
                    <w:widowControl/>
                    <w:jc w:val="center"/>
                    <w:rPr>
                      <w:color w:val="auto"/>
                      <w:kern w:val="0"/>
                      <w:szCs w:val="21"/>
                    </w:rPr>
                  </w:pPr>
                  <w:r>
                    <w:rPr>
                      <w:color w:val="auto"/>
                      <w:kern w:val="0"/>
                      <w:szCs w:val="21"/>
                    </w:rPr>
                    <w:t>超标率％</w:t>
                  </w:r>
                </w:p>
              </w:tc>
              <w:tc>
                <w:tcPr>
                  <w:tcW w:w="1089" w:type="dxa"/>
                  <w:vAlign w:val="center"/>
                </w:tcPr>
                <w:p>
                  <w:pPr>
                    <w:widowControl/>
                    <w:jc w:val="center"/>
                    <w:rPr>
                      <w:color w:val="auto"/>
                      <w:kern w:val="0"/>
                      <w:szCs w:val="21"/>
                    </w:rPr>
                  </w:pPr>
                  <w:r>
                    <w:rPr>
                      <w:color w:val="auto"/>
                      <w:kern w:val="0"/>
                      <w:szCs w:val="21"/>
                    </w:rPr>
                    <w:t>最大超标倍数</w:t>
                  </w:r>
                </w:p>
              </w:tc>
              <w:tc>
                <w:tcPr>
                  <w:tcW w:w="1038" w:type="dxa"/>
                  <w:vMerge w:val="continue"/>
                  <w:vAlign w:val="center"/>
                </w:tcPr>
                <w:p>
                  <w:pPr>
                    <w:jc w:val="center"/>
                    <w:rPr>
                      <w:color w:val="auto"/>
                      <w:kern w:val="0"/>
                      <w:szCs w:val="21"/>
                    </w:rPr>
                  </w:pPr>
                </w:p>
              </w:tc>
              <w:tc>
                <w:tcPr>
                  <w:tcW w:w="1047" w:type="dxa"/>
                  <w:vMerge w:val="continue"/>
                  <w:vAlign w:val="center"/>
                </w:tcPr>
                <w:p>
                  <w:pPr>
                    <w:jc w:val="center"/>
                    <w:rPr>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restart"/>
                  <w:vAlign w:val="center"/>
                </w:tcPr>
                <w:p>
                  <w:pPr>
                    <w:jc w:val="center"/>
                    <w:rPr>
                      <w:rFonts w:hint="eastAsia"/>
                      <w:color w:val="auto"/>
                      <w:kern w:val="0"/>
                      <w:szCs w:val="21"/>
                    </w:rPr>
                  </w:pPr>
                  <w:r>
                    <w:rPr>
                      <w:rFonts w:hint="eastAsia"/>
                      <w:color w:val="auto"/>
                      <w:kern w:val="0"/>
                      <w:szCs w:val="21"/>
                    </w:rPr>
                    <w:t>G1</w:t>
                  </w:r>
                </w:p>
              </w:tc>
              <w:tc>
                <w:tcPr>
                  <w:tcW w:w="905" w:type="dxa"/>
                  <w:vAlign w:val="center"/>
                </w:tcPr>
                <w:p>
                  <w:pPr>
                    <w:widowControl/>
                    <w:jc w:val="center"/>
                    <w:rPr>
                      <w:color w:val="auto"/>
                      <w:kern w:val="0"/>
                      <w:szCs w:val="21"/>
                    </w:rPr>
                  </w:pPr>
                  <w:r>
                    <w:rPr>
                      <w:color w:val="auto"/>
                      <w:kern w:val="0"/>
                      <w:szCs w:val="21"/>
                    </w:rPr>
                    <w:t>SO</w:t>
                  </w:r>
                  <w:r>
                    <w:rPr>
                      <w:color w:val="auto"/>
                      <w:kern w:val="0"/>
                      <w:szCs w:val="21"/>
                      <w:vertAlign w:val="subscript"/>
                    </w:rPr>
                    <w:t>2</w:t>
                  </w:r>
                </w:p>
              </w:tc>
              <w:tc>
                <w:tcPr>
                  <w:tcW w:w="967" w:type="dxa"/>
                  <w:vAlign w:val="center"/>
                </w:tcPr>
                <w:p>
                  <w:pPr>
                    <w:jc w:val="center"/>
                    <w:rPr>
                      <w:rFonts w:hint="eastAsia"/>
                      <w:color w:val="auto"/>
                      <w:szCs w:val="21"/>
                    </w:rPr>
                  </w:pPr>
                  <w:r>
                    <w:rPr>
                      <w:rFonts w:hint="eastAsia"/>
                      <w:bCs/>
                      <w:color w:val="auto"/>
                      <w:szCs w:val="21"/>
                    </w:rPr>
                    <w:t>0.021</w:t>
                  </w:r>
                </w:p>
              </w:tc>
              <w:tc>
                <w:tcPr>
                  <w:tcW w:w="1122" w:type="dxa"/>
                  <w:vAlign w:val="center"/>
                </w:tcPr>
                <w:p>
                  <w:pPr>
                    <w:jc w:val="center"/>
                    <w:rPr>
                      <w:rFonts w:hint="eastAsia"/>
                      <w:color w:val="auto"/>
                      <w:szCs w:val="21"/>
                    </w:rPr>
                  </w:pPr>
                  <w:r>
                    <w:rPr>
                      <w:rFonts w:hint="eastAsia"/>
                      <w:color w:val="auto"/>
                      <w:szCs w:val="21"/>
                    </w:rPr>
                    <w:t>0.023</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color w:val="auto"/>
                      <w:szCs w:val="21"/>
                    </w:rPr>
                  </w:pPr>
                  <w:r>
                    <w:rPr>
                      <w:color w:val="auto"/>
                      <w:szCs w:val="21"/>
                    </w:rPr>
                    <w:t>0.15</w:t>
                  </w:r>
                </w:p>
              </w:tc>
              <w:tc>
                <w:tcPr>
                  <w:tcW w:w="1047" w:type="dxa"/>
                  <w:vMerge w:val="restart"/>
                  <w:vAlign w:val="center"/>
                </w:tcPr>
                <w:p>
                  <w:pPr>
                    <w:jc w:val="center"/>
                    <w:rPr>
                      <w:color w:val="auto"/>
                      <w:szCs w:val="21"/>
                    </w:rPr>
                  </w:pPr>
                  <w:r>
                    <w:rPr>
                      <w:color w:val="auto"/>
                      <w:szCs w:val="21"/>
                    </w:rPr>
                    <w:t>日均值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color w:val="auto"/>
                      <w:kern w:val="0"/>
                      <w:szCs w:val="21"/>
                    </w:rPr>
                  </w:pPr>
                  <w:r>
                    <w:rPr>
                      <w:color w:val="auto"/>
                      <w:kern w:val="0"/>
                      <w:szCs w:val="21"/>
                    </w:rPr>
                    <w:t>NO</w:t>
                  </w:r>
                  <w:r>
                    <w:rPr>
                      <w:color w:val="auto"/>
                      <w:kern w:val="0"/>
                      <w:szCs w:val="21"/>
                      <w:vertAlign w:val="subscript"/>
                    </w:rPr>
                    <w:t>2</w:t>
                  </w:r>
                </w:p>
              </w:tc>
              <w:tc>
                <w:tcPr>
                  <w:tcW w:w="967" w:type="dxa"/>
                  <w:vAlign w:val="center"/>
                </w:tcPr>
                <w:p>
                  <w:pPr>
                    <w:jc w:val="center"/>
                    <w:rPr>
                      <w:rFonts w:hint="eastAsia"/>
                      <w:color w:val="auto"/>
                      <w:szCs w:val="21"/>
                    </w:rPr>
                  </w:pPr>
                  <w:r>
                    <w:rPr>
                      <w:rFonts w:hint="eastAsia"/>
                      <w:bCs/>
                      <w:color w:val="auto"/>
                      <w:szCs w:val="21"/>
                    </w:rPr>
                    <w:t>0.013</w:t>
                  </w:r>
                </w:p>
              </w:tc>
              <w:tc>
                <w:tcPr>
                  <w:tcW w:w="1122" w:type="dxa"/>
                  <w:vAlign w:val="center"/>
                </w:tcPr>
                <w:p>
                  <w:pPr>
                    <w:jc w:val="center"/>
                    <w:rPr>
                      <w:rFonts w:hint="eastAsia"/>
                      <w:color w:val="auto"/>
                      <w:szCs w:val="21"/>
                    </w:rPr>
                  </w:pPr>
                  <w:r>
                    <w:rPr>
                      <w:rFonts w:hint="eastAsia"/>
                      <w:bCs/>
                      <w:color w:val="auto"/>
                      <w:szCs w:val="21"/>
                    </w:rPr>
                    <w:t>0.016</w:t>
                  </w:r>
                </w:p>
              </w:tc>
              <w:tc>
                <w:tcPr>
                  <w:tcW w:w="874" w:type="dxa"/>
                  <w:vAlign w:val="center"/>
                </w:tcPr>
                <w:p>
                  <w:pPr>
                    <w:jc w:val="center"/>
                    <w:rPr>
                      <w:rFonts w:hint="eastAsia"/>
                      <w:color w:val="auto"/>
                      <w:szCs w:val="21"/>
                    </w:rPr>
                  </w:pPr>
                  <w:r>
                    <w:rPr>
                      <w:rFonts w:hint="eastAsia"/>
                      <w:color w:val="auto"/>
                      <w:szCs w:val="21"/>
                    </w:rPr>
                    <w:t>0</w:t>
                  </w:r>
                </w:p>
              </w:tc>
              <w:tc>
                <w:tcPr>
                  <w:tcW w:w="1089" w:type="dxa"/>
                  <w:vAlign w:val="center"/>
                </w:tcPr>
                <w:p>
                  <w:pPr>
                    <w:jc w:val="center"/>
                    <w:rPr>
                      <w:rFonts w:hint="eastAsia"/>
                      <w:color w:val="auto"/>
                      <w:szCs w:val="21"/>
                    </w:rPr>
                  </w:pPr>
                  <w:r>
                    <w:rPr>
                      <w:rFonts w:hint="eastAsia"/>
                      <w:color w:val="auto"/>
                      <w:szCs w:val="21"/>
                    </w:rPr>
                    <w:t>0</w:t>
                  </w:r>
                </w:p>
              </w:tc>
              <w:tc>
                <w:tcPr>
                  <w:tcW w:w="1038" w:type="dxa"/>
                  <w:vAlign w:val="center"/>
                </w:tcPr>
                <w:p>
                  <w:pPr>
                    <w:jc w:val="center"/>
                    <w:rPr>
                      <w:color w:val="auto"/>
                      <w:szCs w:val="21"/>
                    </w:rPr>
                  </w:pPr>
                  <w:r>
                    <w:rPr>
                      <w:color w:val="auto"/>
                      <w:szCs w:val="21"/>
                    </w:rPr>
                    <w:t>0.08</w:t>
                  </w:r>
                </w:p>
              </w:tc>
              <w:tc>
                <w:tcPr>
                  <w:tcW w:w="1047" w:type="dxa"/>
                  <w:vMerge w:val="continue"/>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rFonts w:hint="eastAsia"/>
                      <w:color w:val="auto"/>
                      <w:kern w:val="0"/>
                      <w:szCs w:val="21"/>
                    </w:rPr>
                  </w:pPr>
                  <w:r>
                    <w:rPr>
                      <w:rFonts w:hint="eastAsia"/>
                      <w:color w:val="auto"/>
                      <w:kern w:val="0"/>
                      <w:szCs w:val="21"/>
                    </w:rPr>
                    <w:t>TSP</w:t>
                  </w:r>
                </w:p>
              </w:tc>
              <w:tc>
                <w:tcPr>
                  <w:tcW w:w="967" w:type="dxa"/>
                  <w:vAlign w:val="center"/>
                </w:tcPr>
                <w:p>
                  <w:pPr>
                    <w:jc w:val="center"/>
                    <w:rPr>
                      <w:rFonts w:hint="eastAsia"/>
                      <w:color w:val="auto"/>
                      <w:szCs w:val="21"/>
                    </w:rPr>
                  </w:pPr>
                  <w:r>
                    <w:rPr>
                      <w:rFonts w:hint="eastAsia"/>
                      <w:bCs/>
                      <w:color w:val="auto"/>
                      <w:szCs w:val="21"/>
                    </w:rPr>
                    <w:t>0.0129</w:t>
                  </w:r>
                </w:p>
              </w:tc>
              <w:tc>
                <w:tcPr>
                  <w:tcW w:w="1122" w:type="dxa"/>
                  <w:vAlign w:val="center"/>
                </w:tcPr>
                <w:p>
                  <w:pPr>
                    <w:jc w:val="center"/>
                    <w:rPr>
                      <w:rFonts w:hint="eastAsia"/>
                      <w:color w:val="auto"/>
                      <w:szCs w:val="21"/>
                    </w:rPr>
                  </w:pPr>
                  <w:r>
                    <w:rPr>
                      <w:rFonts w:hint="eastAsia"/>
                      <w:bCs/>
                      <w:color w:val="auto"/>
                      <w:szCs w:val="21"/>
                    </w:rPr>
                    <w:t>0.0138</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rFonts w:hint="eastAsia"/>
                      <w:color w:val="auto"/>
                      <w:szCs w:val="21"/>
                    </w:rPr>
                  </w:pPr>
                  <w:r>
                    <w:rPr>
                      <w:rFonts w:hint="eastAsia"/>
                      <w:color w:val="auto"/>
                      <w:szCs w:val="21"/>
                    </w:rPr>
                    <w:t>0.3</w:t>
                  </w:r>
                </w:p>
              </w:tc>
              <w:tc>
                <w:tcPr>
                  <w:tcW w:w="1047" w:type="dxa"/>
                  <w:vMerge w:val="continue"/>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restart"/>
                  <w:vAlign w:val="center"/>
                </w:tcPr>
                <w:p>
                  <w:pPr>
                    <w:jc w:val="center"/>
                    <w:rPr>
                      <w:color w:val="auto"/>
                      <w:kern w:val="0"/>
                      <w:szCs w:val="21"/>
                    </w:rPr>
                  </w:pPr>
                  <w:r>
                    <w:rPr>
                      <w:rFonts w:hint="eastAsia"/>
                      <w:color w:val="auto"/>
                      <w:szCs w:val="21"/>
                    </w:rPr>
                    <w:t>G2</w:t>
                  </w:r>
                </w:p>
              </w:tc>
              <w:tc>
                <w:tcPr>
                  <w:tcW w:w="905" w:type="dxa"/>
                  <w:vAlign w:val="center"/>
                </w:tcPr>
                <w:p>
                  <w:pPr>
                    <w:widowControl/>
                    <w:jc w:val="center"/>
                    <w:rPr>
                      <w:color w:val="auto"/>
                      <w:kern w:val="0"/>
                      <w:szCs w:val="21"/>
                    </w:rPr>
                  </w:pPr>
                  <w:r>
                    <w:rPr>
                      <w:color w:val="auto"/>
                      <w:kern w:val="0"/>
                      <w:szCs w:val="21"/>
                    </w:rPr>
                    <w:t>SO</w:t>
                  </w:r>
                  <w:r>
                    <w:rPr>
                      <w:color w:val="auto"/>
                      <w:kern w:val="0"/>
                      <w:szCs w:val="21"/>
                      <w:vertAlign w:val="subscript"/>
                    </w:rPr>
                    <w:t>2</w:t>
                  </w:r>
                </w:p>
              </w:tc>
              <w:tc>
                <w:tcPr>
                  <w:tcW w:w="967" w:type="dxa"/>
                  <w:vAlign w:val="center"/>
                </w:tcPr>
                <w:p>
                  <w:pPr>
                    <w:jc w:val="center"/>
                    <w:rPr>
                      <w:color w:val="auto"/>
                      <w:szCs w:val="21"/>
                    </w:rPr>
                  </w:pPr>
                  <w:r>
                    <w:rPr>
                      <w:color w:val="auto"/>
                    </w:rPr>
                    <w:t>0.022</w:t>
                  </w:r>
                </w:p>
              </w:tc>
              <w:tc>
                <w:tcPr>
                  <w:tcW w:w="1122" w:type="dxa"/>
                  <w:vAlign w:val="center"/>
                </w:tcPr>
                <w:p>
                  <w:pPr>
                    <w:jc w:val="center"/>
                    <w:rPr>
                      <w:rFonts w:hint="eastAsia"/>
                      <w:color w:val="auto"/>
                      <w:szCs w:val="21"/>
                    </w:rPr>
                  </w:pPr>
                  <w:r>
                    <w:rPr>
                      <w:color w:val="auto"/>
                    </w:rPr>
                    <w:t>0.032</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color w:val="auto"/>
                      <w:szCs w:val="21"/>
                    </w:rPr>
                  </w:pPr>
                  <w:r>
                    <w:rPr>
                      <w:color w:val="auto"/>
                      <w:szCs w:val="21"/>
                    </w:rPr>
                    <w:t>0.15</w:t>
                  </w:r>
                </w:p>
              </w:tc>
              <w:tc>
                <w:tcPr>
                  <w:tcW w:w="1047" w:type="dxa"/>
                  <w:vMerge w:val="restart"/>
                  <w:vAlign w:val="center"/>
                </w:tcPr>
                <w:p>
                  <w:pPr>
                    <w:jc w:val="center"/>
                    <w:rPr>
                      <w:color w:val="auto"/>
                      <w:szCs w:val="21"/>
                    </w:rPr>
                  </w:pPr>
                  <w:r>
                    <w:rPr>
                      <w:color w:val="auto"/>
                      <w:szCs w:val="21"/>
                    </w:rPr>
                    <w:t>日均值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color w:val="auto"/>
                      <w:kern w:val="0"/>
                      <w:szCs w:val="21"/>
                    </w:rPr>
                  </w:pPr>
                  <w:r>
                    <w:rPr>
                      <w:color w:val="auto"/>
                      <w:kern w:val="0"/>
                      <w:szCs w:val="21"/>
                    </w:rPr>
                    <w:t>NO</w:t>
                  </w:r>
                  <w:r>
                    <w:rPr>
                      <w:color w:val="auto"/>
                      <w:kern w:val="0"/>
                      <w:szCs w:val="21"/>
                      <w:vertAlign w:val="subscript"/>
                    </w:rPr>
                    <w:t>2</w:t>
                  </w:r>
                </w:p>
              </w:tc>
              <w:tc>
                <w:tcPr>
                  <w:tcW w:w="2089" w:type="dxa"/>
                  <w:gridSpan w:val="2"/>
                  <w:vAlign w:val="center"/>
                </w:tcPr>
                <w:p>
                  <w:pPr>
                    <w:jc w:val="center"/>
                    <w:rPr>
                      <w:color w:val="auto"/>
                      <w:szCs w:val="21"/>
                    </w:rPr>
                  </w:pPr>
                  <w:r>
                    <w:rPr>
                      <w:color w:val="auto"/>
                      <w:szCs w:val="21"/>
                    </w:rPr>
                    <w:t>0.0005ND</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color w:val="auto"/>
                      <w:szCs w:val="21"/>
                    </w:rPr>
                  </w:pPr>
                  <w:r>
                    <w:rPr>
                      <w:color w:val="auto"/>
                      <w:szCs w:val="21"/>
                    </w:rPr>
                    <w:t>0.08</w:t>
                  </w:r>
                </w:p>
              </w:tc>
              <w:tc>
                <w:tcPr>
                  <w:tcW w:w="1047" w:type="dxa"/>
                  <w:vMerge w:val="continue"/>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color w:val="auto"/>
                      <w:kern w:val="0"/>
                      <w:szCs w:val="21"/>
                    </w:rPr>
                  </w:pPr>
                  <w:r>
                    <w:rPr>
                      <w:color w:val="auto"/>
                      <w:kern w:val="0"/>
                      <w:szCs w:val="21"/>
                    </w:rPr>
                    <w:t>PM</w:t>
                  </w:r>
                  <w:r>
                    <w:rPr>
                      <w:color w:val="auto"/>
                      <w:kern w:val="0"/>
                      <w:szCs w:val="21"/>
                      <w:vertAlign w:val="subscript"/>
                    </w:rPr>
                    <w:t>10</w:t>
                  </w:r>
                </w:p>
              </w:tc>
              <w:tc>
                <w:tcPr>
                  <w:tcW w:w="967" w:type="dxa"/>
                  <w:vAlign w:val="center"/>
                </w:tcPr>
                <w:p>
                  <w:pPr>
                    <w:jc w:val="center"/>
                    <w:rPr>
                      <w:color w:val="auto"/>
                      <w:szCs w:val="21"/>
                    </w:rPr>
                  </w:pPr>
                  <w:r>
                    <w:rPr>
                      <w:color w:val="auto"/>
                    </w:rPr>
                    <w:t>0.044</w:t>
                  </w:r>
                </w:p>
              </w:tc>
              <w:tc>
                <w:tcPr>
                  <w:tcW w:w="1122" w:type="dxa"/>
                  <w:vAlign w:val="center"/>
                </w:tcPr>
                <w:p>
                  <w:pPr>
                    <w:jc w:val="center"/>
                    <w:rPr>
                      <w:color w:val="auto"/>
                      <w:szCs w:val="21"/>
                    </w:rPr>
                  </w:pPr>
                  <w:r>
                    <w:rPr>
                      <w:color w:val="auto"/>
                    </w:rPr>
                    <w:t>0.090</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color w:val="auto"/>
                      <w:szCs w:val="21"/>
                    </w:rPr>
                  </w:pPr>
                  <w:r>
                    <w:rPr>
                      <w:color w:val="auto"/>
                      <w:szCs w:val="21"/>
                    </w:rPr>
                    <w:t>0.15</w:t>
                  </w:r>
                </w:p>
              </w:tc>
              <w:tc>
                <w:tcPr>
                  <w:tcW w:w="1047" w:type="dxa"/>
                  <w:vMerge w:val="continue"/>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restart"/>
                  <w:shd w:val="clear" w:color="auto" w:fill="auto"/>
                  <w:vAlign w:val="center"/>
                </w:tcPr>
                <w:p>
                  <w:pPr>
                    <w:jc w:val="center"/>
                    <w:rPr>
                      <w:rFonts w:hint="eastAsia"/>
                      <w:color w:val="auto"/>
                      <w:kern w:val="0"/>
                      <w:szCs w:val="21"/>
                    </w:rPr>
                  </w:pPr>
                  <w:r>
                    <w:rPr>
                      <w:rFonts w:hint="eastAsia"/>
                      <w:color w:val="auto"/>
                      <w:kern w:val="0"/>
                      <w:szCs w:val="21"/>
                    </w:rPr>
                    <w:t>G3</w:t>
                  </w:r>
                </w:p>
              </w:tc>
              <w:tc>
                <w:tcPr>
                  <w:tcW w:w="905" w:type="dxa"/>
                  <w:shd w:val="clear" w:color="auto" w:fill="auto"/>
                  <w:vAlign w:val="center"/>
                </w:tcPr>
                <w:p>
                  <w:pPr>
                    <w:widowControl/>
                    <w:jc w:val="center"/>
                    <w:rPr>
                      <w:color w:val="auto"/>
                      <w:kern w:val="0"/>
                      <w:szCs w:val="21"/>
                    </w:rPr>
                  </w:pPr>
                  <w:r>
                    <w:rPr>
                      <w:color w:val="auto"/>
                      <w:kern w:val="0"/>
                      <w:szCs w:val="21"/>
                    </w:rPr>
                    <w:t>SO</w:t>
                  </w:r>
                  <w:r>
                    <w:rPr>
                      <w:color w:val="auto"/>
                      <w:kern w:val="0"/>
                      <w:szCs w:val="21"/>
                      <w:vertAlign w:val="subscript"/>
                    </w:rPr>
                    <w:t>2</w:t>
                  </w:r>
                </w:p>
              </w:tc>
              <w:tc>
                <w:tcPr>
                  <w:tcW w:w="967" w:type="dxa"/>
                  <w:shd w:val="clear" w:color="auto" w:fill="auto"/>
                  <w:vAlign w:val="center"/>
                </w:tcPr>
                <w:p>
                  <w:pPr>
                    <w:jc w:val="center"/>
                    <w:rPr>
                      <w:color w:val="auto"/>
                      <w:szCs w:val="21"/>
                    </w:rPr>
                  </w:pPr>
                  <w:r>
                    <w:rPr>
                      <w:color w:val="auto"/>
                      <w:szCs w:val="21"/>
                    </w:rPr>
                    <w:t>0.025</w:t>
                  </w:r>
                </w:p>
              </w:tc>
              <w:tc>
                <w:tcPr>
                  <w:tcW w:w="1122" w:type="dxa"/>
                  <w:shd w:val="clear" w:color="auto" w:fill="auto"/>
                  <w:vAlign w:val="center"/>
                </w:tcPr>
                <w:p>
                  <w:pPr>
                    <w:jc w:val="center"/>
                    <w:rPr>
                      <w:color w:val="auto"/>
                      <w:szCs w:val="21"/>
                    </w:rPr>
                  </w:pPr>
                  <w:r>
                    <w:rPr>
                      <w:color w:val="auto"/>
                      <w:szCs w:val="21"/>
                    </w:rPr>
                    <w:t>0.056</w:t>
                  </w:r>
                </w:p>
              </w:tc>
              <w:tc>
                <w:tcPr>
                  <w:tcW w:w="874" w:type="dxa"/>
                  <w:shd w:val="clear" w:color="auto" w:fill="auto"/>
                  <w:vAlign w:val="center"/>
                </w:tcPr>
                <w:p>
                  <w:pPr>
                    <w:jc w:val="center"/>
                    <w:rPr>
                      <w:rFonts w:hint="eastAsia"/>
                      <w:color w:val="auto"/>
                      <w:szCs w:val="21"/>
                    </w:rPr>
                  </w:pPr>
                  <w:r>
                    <w:rPr>
                      <w:rFonts w:hint="eastAsia"/>
                      <w:color w:val="auto"/>
                      <w:szCs w:val="21"/>
                    </w:rPr>
                    <w:t>0</w:t>
                  </w:r>
                </w:p>
              </w:tc>
              <w:tc>
                <w:tcPr>
                  <w:tcW w:w="1089" w:type="dxa"/>
                  <w:shd w:val="clear" w:color="auto" w:fill="auto"/>
                  <w:vAlign w:val="center"/>
                </w:tcPr>
                <w:p>
                  <w:pPr>
                    <w:jc w:val="center"/>
                    <w:rPr>
                      <w:rFonts w:hint="eastAsia"/>
                      <w:color w:val="auto"/>
                      <w:szCs w:val="21"/>
                    </w:rPr>
                  </w:pPr>
                  <w:r>
                    <w:rPr>
                      <w:rFonts w:hint="eastAsia"/>
                      <w:color w:val="auto"/>
                      <w:szCs w:val="21"/>
                    </w:rPr>
                    <w:t>0</w:t>
                  </w:r>
                </w:p>
              </w:tc>
              <w:tc>
                <w:tcPr>
                  <w:tcW w:w="1038" w:type="dxa"/>
                  <w:shd w:val="clear" w:color="auto" w:fill="auto"/>
                  <w:vAlign w:val="center"/>
                </w:tcPr>
                <w:p>
                  <w:pPr>
                    <w:jc w:val="center"/>
                    <w:rPr>
                      <w:rFonts w:hint="eastAsia"/>
                      <w:color w:val="auto"/>
                      <w:szCs w:val="21"/>
                    </w:rPr>
                  </w:pPr>
                  <w:r>
                    <w:rPr>
                      <w:rFonts w:hint="eastAsia"/>
                      <w:color w:val="auto"/>
                      <w:szCs w:val="21"/>
                    </w:rPr>
                    <w:t>0.5</w:t>
                  </w:r>
                </w:p>
              </w:tc>
              <w:tc>
                <w:tcPr>
                  <w:tcW w:w="1047" w:type="dxa"/>
                  <w:vMerge w:val="restart"/>
                  <w:shd w:val="clear" w:color="auto" w:fill="auto"/>
                  <w:vAlign w:val="center"/>
                </w:tcPr>
                <w:p>
                  <w:pPr>
                    <w:jc w:val="center"/>
                    <w:rPr>
                      <w:color w:val="auto"/>
                      <w:szCs w:val="21"/>
                    </w:rPr>
                  </w:pPr>
                  <w:r>
                    <w:rPr>
                      <w:color w:val="auto"/>
                      <w:szCs w:val="21"/>
                    </w:rPr>
                    <w:t>小时</w:t>
                  </w:r>
                  <w:r>
                    <w:rPr>
                      <w:rFonts w:hint="eastAsia"/>
                      <w:color w:val="auto"/>
                      <w:szCs w:val="21"/>
                    </w:rPr>
                    <w:t>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color w:val="auto"/>
                      <w:kern w:val="0"/>
                      <w:szCs w:val="21"/>
                    </w:rPr>
                  </w:pPr>
                  <w:r>
                    <w:rPr>
                      <w:color w:val="auto"/>
                      <w:kern w:val="0"/>
                      <w:szCs w:val="21"/>
                    </w:rPr>
                    <w:t>NO</w:t>
                  </w:r>
                  <w:r>
                    <w:rPr>
                      <w:color w:val="auto"/>
                      <w:kern w:val="0"/>
                      <w:szCs w:val="21"/>
                      <w:vertAlign w:val="subscript"/>
                    </w:rPr>
                    <w:t>2</w:t>
                  </w:r>
                </w:p>
              </w:tc>
              <w:tc>
                <w:tcPr>
                  <w:tcW w:w="967" w:type="dxa"/>
                  <w:vAlign w:val="center"/>
                </w:tcPr>
                <w:p>
                  <w:pPr>
                    <w:jc w:val="center"/>
                    <w:rPr>
                      <w:color w:val="auto"/>
                      <w:szCs w:val="21"/>
                    </w:rPr>
                  </w:pPr>
                  <w:r>
                    <w:rPr>
                      <w:color w:val="auto"/>
                      <w:szCs w:val="21"/>
                    </w:rPr>
                    <w:t>0.022</w:t>
                  </w:r>
                </w:p>
              </w:tc>
              <w:tc>
                <w:tcPr>
                  <w:tcW w:w="1122" w:type="dxa"/>
                  <w:vAlign w:val="center"/>
                </w:tcPr>
                <w:p>
                  <w:pPr>
                    <w:jc w:val="center"/>
                    <w:rPr>
                      <w:color w:val="auto"/>
                      <w:szCs w:val="21"/>
                    </w:rPr>
                  </w:pPr>
                  <w:r>
                    <w:rPr>
                      <w:color w:val="auto"/>
                      <w:szCs w:val="21"/>
                    </w:rPr>
                    <w:t>0.045</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rFonts w:hint="eastAsia"/>
                      <w:color w:val="auto"/>
                      <w:szCs w:val="21"/>
                    </w:rPr>
                  </w:pPr>
                  <w:r>
                    <w:rPr>
                      <w:rFonts w:hint="eastAsia"/>
                      <w:color w:val="auto"/>
                      <w:szCs w:val="21"/>
                    </w:rPr>
                    <w:t>0.2</w:t>
                  </w:r>
                </w:p>
              </w:tc>
              <w:tc>
                <w:tcPr>
                  <w:tcW w:w="1047" w:type="dxa"/>
                  <w:vMerge w:val="continue"/>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shd w:val="clear" w:color="auto" w:fill="auto"/>
                  <w:vAlign w:val="center"/>
                </w:tcPr>
                <w:p>
                  <w:pPr>
                    <w:jc w:val="center"/>
                    <w:rPr>
                      <w:color w:val="auto"/>
                      <w:kern w:val="0"/>
                      <w:szCs w:val="21"/>
                    </w:rPr>
                  </w:pPr>
                </w:p>
              </w:tc>
              <w:tc>
                <w:tcPr>
                  <w:tcW w:w="905" w:type="dxa"/>
                  <w:shd w:val="clear" w:color="auto" w:fill="auto"/>
                  <w:vAlign w:val="center"/>
                </w:tcPr>
                <w:p>
                  <w:pPr>
                    <w:widowControl/>
                    <w:jc w:val="center"/>
                    <w:rPr>
                      <w:rFonts w:hint="eastAsia"/>
                      <w:color w:val="auto"/>
                      <w:kern w:val="0"/>
                      <w:szCs w:val="21"/>
                    </w:rPr>
                  </w:pPr>
                  <w:r>
                    <w:rPr>
                      <w:rFonts w:hint="eastAsia"/>
                      <w:color w:val="auto"/>
                      <w:kern w:val="0"/>
                      <w:szCs w:val="21"/>
                    </w:rPr>
                    <w:t>TSP</w:t>
                  </w:r>
                </w:p>
              </w:tc>
              <w:tc>
                <w:tcPr>
                  <w:tcW w:w="967" w:type="dxa"/>
                  <w:shd w:val="clear" w:color="auto" w:fill="auto"/>
                  <w:vAlign w:val="center"/>
                </w:tcPr>
                <w:p>
                  <w:pPr>
                    <w:jc w:val="center"/>
                    <w:rPr>
                      <w:color w:val="auto"/>
                      <w:szCs w:val="21"/>
                    </w:rPr>
                  </w:pPr>
                  <w:r>
                    <w:rPr>
                      <w:color w:val="auto"/>
                      <w:szCs w:val="21"/>
                    </w:rPr>
                    <w:t>0.119</w:t>
                  </w:r>
                </w:p>
              </w:tc>
              <w:tc>
                <w:tcPr>
                  <w:tcW w:w="1122" w:type="dxa"/>
                  <w:shd w:val="clear" w:color="auto" w:fill="auto"/>
                  <w:vAlign w:val="center"/>
                </w:tcPr>
                <w:p>
                  <w:pPr>
                    <w:jc w:val="center"/>
                    <w:rPr>
                      <w:color w:val="auto"/>
                      <w:szCs w:val="21"/>
                    </w:rPr>
                  </w:pPr>
                  <w:r>
                    <w:rPr>
                      <w:color w:val="auto"/>
                      <w:szCs w:val="21"/>
                    </w:rPr>
                    <w:t>0.131</w:t>
                  </w:r>
                </w:p>
              </w:tc>
              <w:tc>
                <w:tcPr>
                  <w:tcW w:w="874" w:type="dxa"/>
                  <w:shd w:val="clear" w:color="auto" w:fill="auto"/>
                  <w:vAlign w:val="center"/>
                </w:tcPr>
                <w:p>
                  <w:pPr>
                    <w:jc w:val="center"/>
                    <w:rPr>
                      <w:rFonts w:hint="eastAsia"/>
                      <w:color w:val="auto"/>
                      <w:szCs w:val="21"/>
                    </w:rPr>
                  </w:pPr>
                  <w:r>
                    <w:rPr>
                      <w:rFonts w:hint="eastAsia"/>
                      <w:color w:val="auto"/>
                      <w:szCs w:val="21"/>
                    </w:rPr>
                    <w:t>0</w:t>
                  </w:r>
                </w:p>
              </w:tc>
              <w:tc>
                <w:tcPr>
                  <w:tcW w:w="1089" w:type="dxa"/>
                  <w:shd w:val="clear" w:color="auto" w:fill="auto"/>
                  <w:vAlign w:val="center"/>
                </w:tcPr>
                <w:p>
                  <w:pPr>
                    <w:jc w:val="center"/>
                    <w:rPr>
                      <w:rFonts w:hint="eastAsia"/>
                      <w:color w:val="auto"/>
                      <w:szCs w:val="21"/>
                    </w:rPr>
                  </w:pPr>
                  <w:r>
                    <w:rPr>
                      <w:rFonts w:hint="eastAsia"/>
                      <w:color w:val="auto"/>
                      <w:szCs w:val="21"/>
                    </w:rPr>
                    <w:t>0</w:t>
                  </w:r>
                </w:p>
              </w:tc>
              <w:tc>
                <w:tcPr>
                  <w:tcW w:w="1038" w:type="dxa"/>
                  <w:shd w:val="clear" w:color="auto" w:fill="auto"/>
                  <w:vAlign w:val="center"/>
                </w:tcPr>
                <w:p>
                  <w:pPr>
                    <w:jc w:val="center"/>
                    <w:rPr>
                      <w:rFonts w:hint="eastAsia"/>
                      <w:color w:val="auto"/>
                      <w:szCs w:val="21"/>
                    </w:rPr>
                  </w:pPr>
                  <w:r>
                    <w:rPr>
                      <w:rFonts w:hint="eastAsia"/>
                      <w:color w:val="auto"/>
                      <w:szCs w:val="21"/>
                    </w:rPr>
                    <w:t>0.3</w:t>
                  </w:r>
                </w:p>
              </w:tc>
              <w:tc>
                <w:tcPr>
                  <w:tcW w:w="1047" w:type="dxa"/>
                  <w:vMerge w:val="restart"/>
                  <w:shd w:val="clear" w:color="auto" w:fill="auto"/>
                  <w:vAlign w:val="center"/>
                </w:tcPr>
                <w:p>
                  <w:pPr>
                    <w:jc w:val="center"/>
                    <w:rPr>
                      <w:color w:val="auto"/>
                      <w:szCs w:val="21"/>
                    </w:rPr>
                  </w:pPr>
                  <w:r>
                    <w:rPr>
                      <w:color w:val="auto"/>
                      <w:szCs w:val="21"/>
                    </w:rPr>
                    <w:t>日均值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trPr>
              <w:tc>
                <w:tcPr>
                  <w:tcW w:w="1240" w:type="dxa"/>
                  <w:vMerge w:val="continue"/>
                  <w:vAlign w:val="center"/>
                </w:tcPr>
                <w:p>
                  <w:pPr>
                    <w:jc w:val="center"/>
                    <w:rPr>
                      <w:color w:val="auto"/>
                      <w:kern w:val="0"/>
                      <w:szCs w:val="21"/>
                    </w:rPr>
                  </w:pPr>
                </w:p>
              </w:tc>
              <w:tc>
                <w:tcPr>
                  <w:tcW w:w="905" w:type="dxa"/>
                  <w:vAlign w:val="center"/>
                </w:tcPr>
                <w:p>
                  <w:pPr>
                    <w:widowControl/>
                    <w:jc w:val="center"/>
                    <w:rPr>
                      <w:color w:val="auto"/>
                      <w:kern w:val="0"/>
                      <w:szCs w:val="21"/>
                    </w:rPr>
                  </w:pPr>
                  <w:r>
                    <w:rPr>
                      <w:color w:val="auto"/>
                      <w:kern w:val="0"/>
                      <w:szCs w:val="21"/>
                    </w:rPr>
                    <w:t>PM</w:t>
                  </w:r>
                  <w:r>
                    <w:rPr>
                      <w:color w:val="auto"/>
                      <w:kern w:val="0"/>
                      <w:szCs w:val="21"/>
                      <w:vertAlign w:val="subscript"/>
                    </w:rPr>
                    <w:t>10</w:t>
                  </w:r>
                </w:p>
              </w:tc>
              <w:tc>
                <w:tcPr>
                  <w:tcW w:w="967" w:type="dxa"/>
                  <w:vAlign w:val="center"/>
                </w:tcPr>
                <w:p>
                  <w:pPr>
                    <w:jc w:val="center"/>
                    <w:rPr>
                      <w:color w:val="auto"/>
                      <w:szCs w:val="21"/>
                    </w:rPr>
                  </w:pPr>
                  <w:r>
                    <w:rPr>
                      <w:color w:val="auto"/>
                      <w:szCs w:val="21"/>
                    </w:rPr>
                    <w:t>0.022</w:t>
                  </w:r>
                </w:p>
              </w:tc>
              <w:tc>
                <w:tcPr>
                  <w:tcW w:w="1122" w:type="dxa"/>
                  <w:vAlign w:val="center"/>
                </w:tcPr>
                <w:p>
                  <w:pPr>
                    <w:jc w:val="center"/>
                    <w:rPr>
                      <w:color w:val="auto"/>
                      <w:szCs w:val="21"/>
                    </w:rPr>
                  </w:pPr>
                  <w:r>
                    <w:rPr>
                      <w:color w:val="auto"/>
                      <w:szCs w:val="21"/>
                    </w:rPr>
                    <w:t>0.028</w:t>
                  </w:r>
                </w:p>
              </w:tc>
              <w:tc>
                <w:tcPr>
                  <w:tcW w:w="874" w:type="dxa"/>
                  <w:vAlign w:val="center"/>
                </w:tcPr>
                <w:p>
                  <w:pPr>
                    <w:jc w:val="center"/>
                    <w:rPr>
                      <w:color w:val="auto"/>
                      <w:szCs w:val="21"/>
                    </w:rPr>
                  </w:pPr>
                  <w:r>
                    <w:rPr>
                      <w:color w:val="auto"/>
                      <w:szCs w:val="21"/>
                    </w:rPr>
                    <w:t>0</w:t>
                  </w:r>
                </w:p>
              </w:tc>
              <w:tc>
                <w:tcPr>
                  <w:tcW w:w="1089" w:type="dxa"/>
                  <w:vAlign w:val="center"/>
                </w:tcPr>
                <w:p>
                  <w:pPr>
                    <w:jc w:val="center"/>
                    <w:rPr>
                      <w:color w:val="auto"/>
                      <w:szCs w:val="21"/>
                    </w:rPr>
                  </w:pPr>
                  <w:r>
                    <w:rPr>
                      <w:color w:val="auto"/>
                      <w:szCs w:val="21"/>
                    </w:rPr>
                    <w:t>0</w:t>
                  </w:r>
                </w:p>
              </w:tc>
              <w:tc>
                <w:tcPr>
                  <w:tcW w:w="1038" w:type="dxa"/>
                  <w:vAlign w:val="center"/>
                </w:tcPr>
                <w:p>
                  <w:pPr>
                    <w:jc w:val="center"/>
                    <w:rPr>
                      <w:color w:val="auto"/>
                      <w:szCs w:val="21"/>
                    </w:rPr>
                  </w:pPr>
                  <w:r>
                    <w:rPr>
                      <w:color w:val="auto"/>
                      <w:szCs w:val="21"/>
                    </w:rPr>
                    <w:t>0.15</w:t>
                  </w:r>
                </w:p>
              </w:tc>
              <w:tc>
                <w:tcPr>
                  <w:tcW w:w="1047" w:type="dxa"/>
                  <w:vMerge w:val="continue"/>
                  <w:vAlign w:val="center"/>
                </w:tcPr>
                <w:p>
                  <w:pPr>
                    <w:jc w:val="center"/>
                    <w:rPr>
                      <w:color w:val="auto"/>
                      <w:szCs w:val="21"/>
                    </w:rPr>
                  </w:pPr>
                </w:p>
              </w:tc>
            </w:tr>
          </w:tbl>
          <w:p>
            <w:pPr>
              <w:adjustRightInd w:val="0"/>
              <w:spacing w:line="360" w:lineRule="auto"/>
              <w:ind w:firstLine="480" w:firstLineChars="200"/>
              <w:rPr>
                <w:rFonts w:hint="eastAsia"/>
                <w:color w:val="auto"/>
                <w:sz w:val="24"/>
              </w:rPr>
            </w:pPr>
            <w:r>
              <w:rPr>
                <w:rFonts w:hint="eastAsia"/>
                <w:color w:val="auto"/>
                <w:sz w:val="24"/>
              </w:rPr>
              <w:t>根据表3-3可知，本项目配水管线沿线区域内各监测点中SO</w:t>
            </w:r>
            <w:r>
              <w:rPr>
                <w:rFonts w:hint="eastAsia"/>
                <w:color w:val="auto"/>
                <w:sz w:val="24"/>
                <w:vertAlign w:val="subscript"/>
              </w:rPr>
              <w:t>2</w:t>
            </w:r>
            <w:r>
              <w:rPr>
                <w:rFonts w:hint="eastAsia"/>
                <w:color w:val="auto"/>
                <w:sz w:val="24"/>
              </w:rPr>
              <w:t>、NO</w:t>
            </w:r>
            <w:r>
              <w:rPr>
                <w:rFonts w:hint="eastAsia"/>
                <w:color w:val="auto"/>
                <w:sz w:val="24"/>
                <w:vertAlign w:val="subscript"/>
              </w:rPr>
              <w:t>2</w:t>
            </w:r>
            <w:r>
              <w:rPr>
                <w:rFonts w:hint="eastAsia"/>
                <w:color w:val="auto"/>
                <w:sz w:val="24"/>
              </w:rPr>
              <w:t>、TSP、PM</w:t>
            </w:r>
            <w:r>
              <w:rPr>
                <w:rFonts w:hint="eastAsia"/>
                <w:color w:val="auto"/>
                <w:sz w:val="24"/>
                <w:vertAlign w:val="subscript"/>
              </w:rPr>
              <w:t>10</w:t>
            </w:r>
            <w:r>
              <w:rPr>
                <w:rFonts w:hint="eastAsia"/>
                <w:color w:val="auto"/>
                <w:sz w:val="24"/>
              </w:rPr>
              <w:t>的各监测值均可满足《环境空气质量标准》（GB3095-2012）中二级标准要求，说明区域</w:t>
            </w:r>
            <w:r>
              <w:rPr>
                <w:color w:val="auto"/>
                <w:sz w:val="24"/>
              </w:rPr>
              <w:t>环境空气质量现状良好</w:t>
            </w:r>
            <w:r>
              <w:rPr>
                <w:rFonts w:hint="eastAsia"/>
                <w:color w:val="auto"/>
                <w:sz w:val="24"/>
              </w:rPr>
              <w:t>。</w:t>
            </w:r>
          </w:p>
          <w:p>
            <w:pPr>
              <w:spacing w:line="360" w:lineRule="auto"/>
              <w:rPr>
                <w:b/>
                <w:color w:val="auto"/>
                <w:sz w:val="24"/>
              </w:rPr>
            </w:pPr>
            <w:r>
              <w:rPr>
                <w:rFonts w:hint="eastAsia"/>
                <w:b/>
                <w:color w:val="auto"/>
                <w:sz w:val="24"/>
              </w:rPr>
              <w:t>2</w:t>
            </w:r>
            <w:r>
              <w:rPr>
                <w:b/>
                <w:color w:val="auto"/>
                <w:sz w:val="24"/>
              </w:rPr>
              <w:t>、地表水质量现状</w:t>
            </w:r>
          </w:p>
          <w:p>
            <w:pPr>
              <w:adjustRightInd w:val="0"/>
              <w:spacing w:line="360" w:lineRule="auto"/>
              <w:ind w:firstLine="480" w:firstLineChars="200"/>
              <w:rPr>
                <w:rFonts w:hint="eastAsia"/>
                <w:color w:val="auto"/>
                <w:sz w:val="24"/>
              </w:rPr>
            </w:pPr>
            <w:r>
              <w:rPr>
                <w:color w:val="auto"/>
                <w:sz w:val="24"/>
              </w:rPr>
              <w:t>平江县境内河网密布，分属汩罗江和新墙河两大水系</w:t>
            </w:r>
            <w:r>
              <w:rPr>
                <w:rFonts w:hint="eastAsia"/>
                <w:color w:val="auto"/>
                <w:sz w:val="24"/>
              </w:rPr>
              <w:t>，</w:t>
            </w:r>
            <w:r>
              <w:rPr>
                <w:color w:val="auto"/>
                <w:sz w:val="24"/>
              </w:rPr>
              <w:t>其中汩罗江流域面积占96.1%</w:t>
            </w:r>
            <w:r>
              <w:rPr>
                <w:rFonts w:hint="eastAsia"/>
                <w:color w:val="auto"/>
                <w:sz w:val="24"/>
              </w:rPr>
              <w:t>，</w:t>
            </w:r>
            <w:r>
              <w:rPr>
                <w:color w:val="auto"/>
                <w:sz w:val="24"/>
              </w:rPr>
              <w:t>新墙河流域面积占3.9%</w:t>
            </w:r>
            <w:r>
              <w:rPr>
                <w:rFonts w:hint="eastAsia"/>
                <w:color w:val="auto"/>
                <w:sz w:val="24"/>
              </w:rPr>
              <w:t>，</w:t>
            </w:r>
            <w:r>
              <w:rPr>
                <w:color w:val="auto"/>
                <w:sz w:val="24"/>
              </w:rPr>
              <w:t>由此可见平江县内以汨罗江流域为主</w:t>
            </w:r>
            <w:r>
              <w:rPr>
                <w:rFonts w:hint="eastAsia"/>
                <w:color w:val="auto"/>
                <w:sz w:val="24"/>
              </w:rPr>
              <w:t>，</w:t>
            </w:r>
            <w:r>
              <w:rPr>
                <w:color w:val="auto"/>
                <w:sz w:val="24"/>
              </w:rPr>
              <w:t>且项目管道将穿越汨罗江</w:t>
            </w:r>
            <w:r>
              <w:rPr>
                <w:rFonts w:hint="eastAsia"/>
                <w:color w:val="auto"/>
                <w:sz w:val="24"/>
              </w:rPr>
              <w:t>；为了解汨罗江水质情况，评价收集了《</w:t>
            </w:r>
            <w:r>
              <w:rPr>
                <w:rFonts w:hint="eastAsia" w:hAnsi="宋体"/>
                <w:color w:val="auto"/>
                <w:sz w:val="24"/>
              </w:rPr>
              <w:t>平江县华文食品有限公司年产18000吨鱼制品生产加工建设项目环境影响报告表》</w:t>
            </w:r>
            <w:r>
              <w:rPr>
                <w:rFonts w:hint="eastAsia"/>
                <w:color w:val="auto"/>
                <w:sz w:val="24"/>
              </w:rPr>
              <w:t>中长沙华泽检测</w:t>
            </w:r>
            <w:r>
              <w:rPr>
                <w:color w:val="auto"/>
                <w:sz w:val="24"/>
              </w:rPr>
              <w:t>环境</w:t>
            </w:r>
            <w:r>
              <w:rPr>
                <w:rFonts w:hint="eastAsia"/>
                <w:color w:val="auto"/>
                <w:sz w:val="24"/>
              </w:rPr>
              <w:t>有限公司于2015年8月21~23日对汨罗江的水质监测数据。</w:t>
            </w:r>
          </w:p>
          <w:p>
            <w:pPr>
              <w:adjustRightInd w:val="0"/>
              <w:spacing w:line="360" w:lineRule="auto"/>
              <w:ind w:firstLine="480" w:firstLineChars="200"/>
              <w:rPr>
                <w:rFonts w:hint="eastAsia"/>
                <w:bCs/>
                <w:color w:val="auto"/>
                <w:sz w:val="24"/>
              </w:rPr>
            </w:pPr>
            <w:r>
              <w:rPr>
                <w:rFonts w:hint="eastAsia"/>
                <w:bCs/>
                <w:color w:val="auto"/>
                <w:sz w:val="24"/>
              </w:rPr>
              <w:t>（1）</w:t>
            </w:r>
            <w:r>
              <w:rPr>
                <w:bCs/>
                <w:color w:val="auto"/>
                <w:sz w:val="24"/>
              </w:rPr>
              <w:t>监测断面</w:t>
            </w:r>
          </w:p>
          <w:p>
            <w:pPr>
              <w:adjustRightInd w:val="0"/>
              <w:spacing w:line="360" w:lineRule="auto"/>
              <w:ind w:firstLine="480" w:firstLineChars="200"/>
              <w:rPr>
                <w:rFonts w:hint="eastAsia"/>
                <w:bCs/>
                <w:color w:val="auto"/>
                <w:sz w:val="24"/>
              </w:rPr>
            </w:pPr>
            <w:r>
              <w:rPr>
                <w:bCs/>
                <w:color w:val="auto"/>
                <w:sz w:val="24"/>
              </w:rPr>
              <w:t>W1：汨罗江河口上游500米</w:t>
            </w:r>
            <w:r>
              <w:rPr>
                <w:rFonts w:hint="eastAsia"/>
                <w:bCs/>
                <w:color w:val="auto"/>
                <w:sz w:val="24"/>
              </w:rPr>
              <w:t>；</w:t>
            </w:r>
          </w:p>
          <w:p>
            <w:pPr>
              <w:adjustRightInd w:val="0"/>
              <w:spacing w:line="360" w:lineRule="auto"/>
              <w:ind w:firstLine="480" w:firstLineChars="200"/>
              <w:rPr>
                <w:bCs/>
                <w:color w:val="auto"/>
                <w:sz w:val="24"/>
              </w:rPr>
            </w:pPr>
            <w:r>
              <w:rPr>
                <w:bCs/>
                <w:color w:val="auto"/>
                <w:sz w:val="24"/>
              </w:rPr>
              <w:t>W2：汨罗江河口下游1000米</w:t>
            </w:r>
            <w:r>
              <w:rPr>
                <w:rFonts w:hint="eastAsia"/>
                <w:bCs/>
                <w:color w:val="auto"/>
                <w:sz w:val="24"/>
              </w:rPr>
              <w:t>。</w:t>
            </w:r>
          </w:p>
          <w:p>
            <w:pPr>
              <w:adjustRightInd w:val="0"/>
              <w:spacing w:line="360" w:lineRule="auto"/>
              <w:ind w:firstLine="480" w:firstLineChars="200"/>
              <w:rPr>
                <w:rFonts w:hint="eastAsia" w:hAnsi="宋体"/>
                <w:bCs/>
                <w:color w:val="auto"/>
                <w:kern w:val="0"/>
                <w:sz w:val="24"/>
                <w:szCs w:val="20"/>
              </w:rPr>
            </w:pPr>
            <w:r>
              <w:rPr>
                <w:rFonts w:hAnsi="宋体"/>
                <w:bCs/>
                <w:color w:val="auto"/>
                <w:kern w:val="0"/>
                <w:sz w:val="24"/>
                <w:szCs w:val="20"/>
              </w:rPr>
              <w:t>（</w:t>
            </w:r>
            <w:r>
              <w:rPr>
                <w:bCs/>
                <w:color w:val="auto"/>
                <w:kern w:val="0"/>
                <w:sz w:val="24"/>
                <w:szCs w:val="20"/>
              </w:rPr>
              <w:t>2</w:t>
            </w:r>
            <w:r>
              <w:rPr>
                <w:rFonts w:hAnsi="宋体"/>
                <w:bCs/>
                <w:color w:val="auto"/>
                <w:kern w:val="0"/>
                <w:sz w:val="24"/>
                <w:szCs w:val="20"/>
              </w:rPr>
              <w:t>）监测时间</w:t>
            </w:r>
          </w:p>
          <w:p>
            <w:pPr>
              <w:adjustRightInd w:val="0"/>
              <w:spacing w:line="360" w:lineRule="auto"/>
              <w:ind w:firstLine="480" w:firstLineChars="200"/>
              <w:rPr>
                <w:rFonts w:hint="eastAsia"/>
                <w:color w:val="auto"/>
                <w:sz w:val="24"/>
              </w:rPr>
            </w:pPr>
            <w:r>
              <w:rPr>
                <w:rFonts w:hint="eastAsia"/>
                <w:color w:val="auto"/>
                <w:sz w:val="24"/>
              </w:rPr>
              <w:t>长沙华泽检测</w:t>
            </w:r>
            <w:r>
              <w:rPr>
                <w:color w:val="auto"/>
                <w:sz w:val="24"/>
              </w:rPr>
              <w:t>环境</w:t>
            </w:r>
            <w:r>
              <w:rPr>
                <w:rFonts w:hint="eastAsia"/>
                <w:color w:val="auto"/>
                <w:sz w:val="24"/>
              </w:rPr>
              <w:t>有限公司于2015年8月21~23日连续三天</w:t>
            </w:r>
            <w:r>
              <w:rPr>
                <w:rFonts w:hint="eastAsia"/>
                <w:bCs/>
                <w:color w:val="auto"/>
                <w:kern w:val="0"/>
                <w:sz w:val="24"/>
                <w:szCs w:val="20"/>
              </w:rPr>
              <w:t>对</w:t>
            </w:r>
            <w:r>
              <w:rPr>
                <w:bCs/>
                <w:color w:val="auto"/>
                <w:kern w:val="0"/>
                <w:sz w:val="24"/>
                <w:szCs w:val="20"/>
              </w:rPr>
              <w:t>上述监测点位进行了采样监测</w:t>
            </w:r>
            <w:r>
              <w:rPr>
                <w:rFonts w:hAnsi="宋体"/>
                <w:bCs/>
                <w:color w:val="auto"/>
                <w:kern w:val="0"/>
                <w:sz w:val="24"/>
                <w:szCs w:val="20"/>
              </w:rPr>
              <w:t>。</w:t>
            </w:r>
          </w:p>
          <w:p>
            <w:pPr>
              <w:adjustRightInd w:val="0"/>
              <w:spacing w:line="360" w:lineRule="auto"/>
              <w:ind w:firstLine="480" w:firstLineChars="200"/>
              <w:rPr>
                <w:rFonts w:hint="eastAsia"/>
                <w:color w:val="auto"/>
                <w:sz w:val="24"/>
              </w:rPr>
            </w:pPr>
            <w:r>
              <w:rPr>
                <w:rFonts w:hint="eastAsia"/>
                <w:color w:val="auto"/>
                <w:sz w:val="24"/>
              </w:rPr>
              <w:t>（3）监测因子</w:t>
            </w:r>
          </w:p>
          <w:p>
            <w:pPr>
              <w:adjustRightInd w:val="0"/>
              <w:spacing w:line="360" w:lineRule="auto"/>
              <w:ind w:firstLine="480" w:firstLineChars="200"/>
              <w:rPr>
                <w:rFonts w:hint="eastAsia"/>
                <w:color w:val="auto"/>
                <w:sz w:val="24"/>
              </w:rPr>
            </w:pPr>
            <w:r>
              <w:rPr>
                <w:rFonts w:hint="eastAsia"/>
                <w:color w:val="auto"/>
                <w:sz w:val="24"/>
              </w:rPr>
              <w:t>pH、COD、氨氮、总磷、DO、SS、NH3-N、BOD5、总氮、挥发酚、磷酸盐、动植物油。</w:t>
            </w:r>
          </w:p>
          <w:p>
            <w:pPr>
              <w:adjustRightInd w:val="0"/>
              <w:spacing w:line="360" w:lineRule="auto"/>
              <w:ind w:firstLine="480" w:firstLineChars="200"/>
              <w:rPr>
                <w:rFonts w:hint="eastAsia"/>
                <w:color w:val="auto"/>
                <w:sz w:val="24"/>
              </w:rPr>
            </w:pPr>
            <w:r>
              <w:rPr>
                <w:rFonts w:hint="eastAsia"/>
                <w:color w:val="auto"/>
                <w:sz w:val="24"/>
              </w:rPr>
              <w:t>（4）监测结果及评价</w:t>
            </w:r>
          </w:p>
          <w:p>
            <w:pPr>
              <w:adjustRightInd w:val="0"/>
              <w:spacing w:line="360" w:lineRule="auto"/>
              <w:ind w:firstLine="480" w:firstLineChars="200"/>
              <w:rPr>
                <w:rFonts w:hint="eastAsia"/>
                <w:color w:val="auto"/>
                <w:sz w:val="24"/>
              </w:rPr>
            </w:pPr>
            <w:r>
              <w:rPr>
                <w:color w:val="auto"/>
                <w:sz w:val="24"/>
              </w:rPr>
              <w:t>监测结果见表</w:t>
            </w:r>
            <w:r>
              <w:rPr>
                <w:rFonts w:hint="eastAsia"/>
                <w:color w:val="auto"/>
                <w:sz w:val="24"/>
                <w:lang w:val="en-US" w:eastAsia="zh-CN"/>
              </w:rPr>
              <w:t>19</w:t>
            </w:r>
            <w:r>
              <w:rPr>
                <w:color w:val="auto"/>
                <w:sz w:val="24"/>
              </w:rPr>
              <w:t>。</w:t>
            </w:r>
          </w:p>
          <w:p>
            <w:pPr>
              <w:pStyle w:val="16"/>
              <w:adjustRightInd/>
              <w:snapToGrid/>
              <w:jc w:val="center"/>
              <w:rPr>
                <w:rFonts w:hint="eastAsia"/>
                <w:b w:val="0"/>
                <w:color w:val="auto"/>
                <w:sz w:val="21"/>
                <w:szCs w:val="21"/>
              </w:rPr>
            </w:pPr>
            <w:r>
              <w:rPr>
                <w:rFonts w:hint="eastAsia"/>
                <w:color w:val="auto"/>
                <w:sz w:val="21"/>
                <w:szCs w:val="21"/>
              </w:rPr>
              <w:t>表</w:t>
            </w:r>
            <w:r>
              <w:rPr>
                <w:rFonts w:hint="eastAsia"/>
                <w:color w:val="auto"/>
                <w:sz w:val="21"/>
                <w:szCs w:val="21"/>
                <w:lang w:val="en-US" w:eastAsia="zh-CN"/>
              </w:rPr>
              <w:t>19</w:t>
            </w:r>
            <w:r>
              <w:rPr>
                <w:rFonts w:hint="eastAsia"/>
                <w:color w:val="auto"/>
                <w:sz w:val="21"/>
                <w:szCs w:val="21"/>
              </w:rPr>
              <w:t xml:space="preserve">  地表水环境水质监测结果表</w:t>
            </w:r>
          </w:p>
          <w:tbl>
            <w:tblPr>
              <w:tblStyle w:val="14"/>
              <w:tblW w:w="8282"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53"/>
              <w:gridCol w:w="1494"/>
              <w:gridCol w:w="1034"/>
              <w:gridCol w:w="1482"/>
              <w:gridCol w:w="1038"/>
              <w:gridCol w:w="728"/>
              <w:gridCol w:w="745"/>
              <w:gridCol w:w="70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adjustRightInd w:val="0"/>
                    <w:spacing w:line="300" w:lineRule="exact"/>
                    <w:jc w:val="center"/>
                    <w:rPr>
                      <w:color w:val="auto"/>
                      <w:szCs w:val="21"/>
                    </w:rPr>
                  </w:pPr>
                  <w:r>
                    <w:rPr>
                      <w:color w:val="auto"/>
                      <w:szCs w:val="21"/>
                    </w:rPr>
                    <w:t>监测</w:t>
                  </w:r>
                </w:p>
                <w:p>
                  <w:pPr>
                    <w:adjustRightInd w:val="0"/>
                    <w:spacing w:line="300" w:lineRule="exact"/>
                    <w:jc w:val="center"/>
                    <w:rPr>
                      <w:color w:val="auto"/>
                      <w:szCs w:val="21"/>
                    </w:rPr>
                  </w:pPr>
                  <w:r>
                    <w:rPr>
                      <w:color w:val="auto"/>
                      <w:szCs w:val="21"/>
                    </w:rPr>
                    <w:t>断面</w:t>
                  </w:r>
                </w:p>
              </w:tc>
              <w:tc>
                <w:tcPr>
                  <w:tcW w:w="1494" w:type="dxa"/>
                  <w:vAlign w:val="center"/>
                </w:tcPr>
                <w:p>
                  <w:pPr>
                    <w:adjustRightInd w:val="0"/>
                    <w:spacing w:line="300" w:lineRule="exact"/>
                    <w:jc w:val="center"/>
                    <w:rPr>
                      <w:color w:val="auto"/>
                      <w:szCs w:val="21"/>
                    </w:rPr>
                  </w:pPr>
                  <w:r>
                    <w:rPr>
                      <w:color w:val="auto"/>
                      <w:szCs w:val="21"/>
                    </w:rPr>
                    <w:t>监测项目</w:t>
                  </w:r>
                </w:p>
              </w:tc>
              <w:tc>
                <w:tcPr>
                  <w:tcW w:w="1034" w:type="dxa"/>
                  <w:vAlign w:val="center"/>
                </w:tcPr>
                <w:p>
                  <w:pPr>
                    <w:adjustRightInd w:val="0"/>
                    <w:spacing w:line="300" w:lineRule="exact"/>
                    <w:jc w:val="center"/>
                    <w:rPr>
                      <w:color w:val="auto"/>
                      <w:szCs w:val="21"/>
                    </w:rPr>
                  </w:pPr>
                  <w:r>
                    <w:rPr>
                      <w:color w:val="auto"/>
                      <w:szCs w:val="21"/>
                    </w:rPr>
                    <w:t>计量</w:t>
                  </w:r>
                </w:p>
                <w:p>
                  <w:pPr>
                    <w:adjustRightInd w:val="0"/>
                    <w:spacing w:line="300" w:lineRule="exact"/>
                    <w:jc w:val="center"/>
                    <w:rPr>
                      <w:color w:val="auto"/>
                      <w:szCs w:val="21"/>
                    </w:rPr>
                  </w:pPr>
                  <w:r>
                    <w:rPr>
                      <w:color w:val="auto"/>
                      <w:szCs w:val="21"/>
                    </w:rPr>
                    <w:t>单位</w:t>
                  </w:r>
                </w:p>
              </w:tc>
              <w:tc>
                <w:tcPr>
                  <w:tcW w:w="1482" w:type="dxa"/>
                  <w:vAlign w:val="center"/>
                </w:tcPr>
                <w:p>
                  <w:pPr>
                    <w:adjustRightInd w:val="0"/>
                    <w:spacing w:line="300" w:lineRule="exact"/>
                    <w:jc w:val="center"/>
                    <w:rPr>
                      <w:color w:val="auto"/>
                      <w:szCs w:val="21"/>
                    </w:rPr>
                  </w:pPr>
                  <w:r>
                    <w:rPr>
                      <w:color w:val="auto"/>
                      <w:szCs w:val="21"/>
                    </w:rPr>
                    <w:t>监测值范围</w:t>
                  </w:r>
                </w:p>
              </w:tc>
              <w:tc>
                <w:tcPr>
                  <w:tcW w:w="1038" w:type="dxa"/>
                  <w:vAlign w:val="center"/>
                </w:tcPr>
                <w:p>
                  <w:pPr>
                    <w:adjustRightInd w:val="0"/>
                    <w:spacing w:line="300" w:lineRule="exact"/>
                    <w:jc w:val="center"/>
                    <w:rPr>
                      <w:color w:val="auto"/>
                      <w:szCs w:val="21"/>
                    </w:rPr>
                  </w:pPr>
                  <w:r>
                    <w:rPr>
                      <w:color w:val="auto"/>
                      <w:szCs w:val="21"/>
                    </w:rPr>
                    <w:t>标准值</w:t>
                  </w:r>
                </w:p>
              </w:tc>
              <w:tc>
                <w:tcPr>
                  <w:tcW w:w="728" w:type="dxa"/>
                  <w:vAlign w:val="center"/>
                </w:tcPr>
                <w:p>
                  <w:pPr>
                    <w:adjustRightInd w:val="0"/>
                    <w:spacing w:line="300" w:lineRule="exact"/>
                    <w:jc w:val="center"/>
                    <w:rPr>
                      <w:color w:val="auto"/>
                      <w:szCs w:val="21"/>
                    </w:rPr>
                  </w:pPr>
                  <w:r>
                    <w:rPr>
                      <w:color w:val="auto"/>
                      <w:szCs w:val="21"/>
                    </w:rPr>
                    <w:t>超标率</w:t>
                  </w:r>
                </w:p>
              </w:tc>
              <w:tc>
                <w:tcPr>
                  <w:tcW w:w="745" w:type="dxa"/>
                  <w:vAlign w:val="center"/>
                </w:tcPr>
                <w:p>
                  <w:pPr>
                    <w:adjustRightInd w:val="0"/>
                    <w:spacing w:line="300" w:lineRule="exact"/>
                    <w:jc w:val="center"/>
                    <w:rPr>
                      <w:color w:val="auto"/>
                      <w:szCs w:val="21"/>
                    </w:rPr>
                  </w:pPr>
                  <w:r>
                    <w:rPr>
                      <w:color w:val="auto"/>
                      <w:szCs w:val="21"/>
                    </w:rPr>
                    <w:t>超标倍数</w:t>
                  </w:r>
                </w:p>
              </w:tc>
              <w:tc>
                <w:tcPr>
                  <w:tcW w:w="708" w:type="dxa"/>
                  <w:vAlign w:val="center"/>
                </w:tcPr>
                <w:p>
                  <w:pPr>
                    <w:adjustRightInd w:val="0"/>
                    <w:spacing w:line="300" w:lineRule="exact"/>
                    <w:jc w:val="center"/>
                    <w:rPr>
                      <w:color w:val="auto"/>
                      <w:szCs w:val="21"/>
                    </w:rPr>
                  </w:pPr>
                  <w:r>
                    <w:rPr>
                      <w:color w:val="auto"/>
                      <w:szCs w:val="21"/>
                    </w:rPr>
                    <w:t>是否达标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restart"/>
                  <w:vAlign w:val="center"/>
                </w:tcPr>
                <w:p>
                  <w:pPr>
                    <w:adjustRightInd w:val="0"/>
                    <w:spacing w:line="300" w:lineRule="exact"/>
                    <w:jc w:val="center"/>
                    <w:rPr>
                      <w:color w:val="auto"/>
                      <w:szCs w:val="21"/>
                    </w:rPr>
                  </w:pPr>
                  <w:r>
                    <w:rPr>
                      <w:color w:val="auto"/>
                      <w:szCs w:val="21"/>
                    </w:rPr>
                    <w:t>W1</w:t>
                  </w:r>
                </w:p>
              </w:tc>
              <w:tc>
                <w:tcPr>
                  <w:tcW w:w="1494" w:type="dxa"/>
                  <w:vAlign w:val="center"/>
                </w:tcPr>
                <w:p>
                  <w:pPr>
                    <w:adjustRightInd w:val="0"/>
                    <w:spacing w:line="300" w:lineRule="exact"/>
                    <w:jc w:val="center"/>
                    <w:rPr>
                      <w:rFonts w:hint="eastAsia"/>
                      <w:color w:val="auto"/>
                      <w:szCs w:val="21"/>
                    </w:rPr>
                  </w:pPr>
                  <w:r>
                    <w:rPr>
                      <w:color w:val="auto"/>
                      <w:szCs w:val="21"/>
                    </w:rPr>
                    <w:t>pH</w:t>
                  </w:r>
                </w:p>
              </w:tc>
              <w:tc>
                <w:tcPr>
                  <w:tcW w:w="1034" w:type="dxa"/>
                  <w:vAlign w:val="center"/>
                </w:tcPr>
                <w:p>
                  <w:pPr>
                    <w:adjustRightInd w:val="0"/>
                    <w:spacing w:line="300" w:lineRule="exact"/>
                    <w:jc w:val="center"/>
                    <w:rPr>
                      <w:color w:val="auto"/>
                      <w:szCs w:val="21"/>
                    </w:rPr>
                  </w:pPr>
                  <w:r>
                    <w:rPr>
                      <w:color w:val="auto"/>
                      <w:szCs w:val="21"/>
                    </w:rPr>
                    <w:t>无量纲</w:t>
                  </w:r>
                </w:p>
              </w:tc>
              <w:tc>
                <w:tcPr>
                  <w:tcW w:w="1482" w:type="dxa"/>
                  <w:vAlign w:val="center"/>
                </w:tcPr>
                <w:p>
                  <w:pPr>
                    <w:adjustRightInd w:val="0"/>
                    <w:spacing w:line="300" w:lineRule="exact"/>
                    <w:jc w:val="center"/>
                    <w:rPr>
                      <w:color w:val="auto"/>
                      <w:szCs w:val="21"/>
                    </w:rPr>
                  </w:pPr>
                  <w:r>
                    <w:rPr>
                      <w:color w:val="auto"/>
                      <w:szCs w:val="21"/>
                    </w:rPr>
                    <w:t>7.14</w:t>
                  </w:r>
                  <w:r>
                    <w:rPr>
                      <w:rFonts w:hint="eastAsia"/>
                      <w:color w:val="auto"/>
                      <w:szCs w:val="21"/>
                    </w:rPr>
                    <w:t>~</w:t>
                  </w:r>
                  <w:r>
                    <w:rPr>
                      <w:color w:val="auto"/>
                      <w:szCs w:val="21"/>
                    </w:rPr>
                    <w:t>7.28</w:t>
                  </w:r>
                </w:p>
              </w:tc>
              <w:tc>
                <w:tcPr>
                  <w:tcW w:w="1038" w:type="dxa"/>
                  <w:vAlign w:val="center"/>
                </w:tcPr>
                <w:p>
                  <w:pPr>
                    <w:adjustRightInd w:val="0"/>
                    <w:spacing w:line="300" w:lineRule="exact"/>
                    <w:jc w:val="center"/>
                    <w:rPr>
                      <w:color w:val="auto"/>
                      <w:szCs w:val="21"/>
                    </w:rPr>
                  </w:pPr>
                  <w:r>
                    <w:rPr>
                      <w:color w:val="auto"/>
                      <w:szCs w:val="21"/>
                    </w:rPr>
                    <w:t>6-9</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COD</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4.66</w:t>
                  </w:r>
                  <w:r>
                    <w:rPr>
                      <w:rFonts w:hint="eastAsia"/>
                      <w:color w:val="auto"/>
                      <w:szCs w:val="21"/>
                    </w:rPr>
                    <w:t>~</w:t>
                  </w:r>
                  <w:r>
                    <w:rPr>
                      <w:color w:val="auto"/>
                      <w:szCs w:val="21"/>
                    </w:rPr>
                    <w:t>7.07</w:t>
                  </w:r>
                </w:p>
              </w:tc>
              <w:tc>
                <w:tcPr>
                  <w:tcW w:w="1038" w:type="dxa"/>
                  <w:vAlign w:val="center"/>
                </w:tcPr>
                <w:p>
                  <w:pPr>
                    <w:adjustRightInd w:val="0"/>
                    <w:spacing w:line="300" w:lineRule="exact"/>
                    <w:jc w:val="center"/>
                    <w:rPr>
                      <w:color w:val="auto"/>
                      <w:szCs w:val="21"/>
                    </w:rPr>
                  </w:pPr>
                  <w:r>
                    <w:rPr>
                      <w:color w:val="auto"/>
                      <w:szCs w:val="21"/>
                    </w:rPr>
                    <w:t>≤20</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DO</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6.39</w:t>
                  </w:r>
                  <w:r>
                    <w:rPr>
                      <w:rFonts w:hint="eastAsia"/>
                      <w:color w:val="auto"/>
                      <w:szCs w:val="21"/>
                    </w:rPr>
                    <w:t>~</w:t>
                  </w:r>
                  <w:r>
                    <w:rPr>
                      <w:color w:val="auto"/>
                      <w:szCs w:val="21"/>
                    </w:rPr>
                    <w:t>6.49</w:t>
                  </w:r>
                </w:p>
              </w:tc>
              <w:tc>
                <w:tcPr>
                  <w:tcW w:w="1038" w:type="dxa"/>
                  <w:vAlign w:val="center"/>
                </w:tcPr>
                <w:p>
                  <w:pPr>
                    <w:adjustRightInd w:val="0"/>
                    <w:spacing w:line="300" w:lineRule="exact"/>
                    <w:jc w:val="center"/>
                    <w:rPr>
                      <w:color w:val="auto"/>
                      <w:szCs w:val="21"/>
                    </w:rPr>
                  </w:pPr>
                  <w:r>
                    <w:rPr>
                      <w:color w:val="auto"/>
                      <w:szCs w:val="21"/>
                    </w:rPr>
                    <w:t>≥5</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NH</w:t>
                  </w:r>
                  <w:r>
                    <w:rPr>
                      <w:color w:val="auto"/>
                      <w:szCs w:val="21"/>
                      <w:vertAlign w:val="subscript"/>
                    </w:rPr>
                    <w:t>3</w:t>
                  </w:r>
                  <w:r>
                    <w:rPr>
                      <w:color w:val="auto"/>
                      <w:szCs w:val="21"/>
                    </w:rPr>
                    <w:t>-N</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0.09</w:t>
                  </w:r>
                  <w:r>
                    <w:rPr>
                      <w:rFonts w:hint="eastAsia"/>
                      <w:color w:val="auto"/>
                      <w:szCs w:val="21"/>
                    </w:rPr>
                    <w:t>~</w:t>
                  </w:r>
                  <w:r>
                    <w:rPr>
                      <w:color w:val="auto"/>
                      <w:szCs w:val="21"/>
                    </w:rPr>
                    <w:t>0.13</w:t>
                  </w:r>
                </w:p>
              </w:tc>
              <w:tc>
                <w:tcPr>
                  <w:tcW w:w="1038" w:type="dxa"/>
                  <w:vAlign w:val="center"/>
                </w:tcPr>
                <w:p>
                  <w:pPr>
                    <w:adjustRightInd w:val="0"/>
                    <w:spacing w:line="300" w:lineRule="exact"/>
                    <w:jc w:val="center"/>
                    <w:rPr>
                      <w:color w:val="auto"/>
                      <w:szCs w:val="21"/>
                    </w:rPr>
                  </w:pPr>
                  <w:r>
                    <w:rPr>
                      <w:color w:val="auto"/>
                      <w:szCs w:val="21"/>
                    </w:rPr>
                    <w:t>≤1.0</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SS</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14</w:t>
                  </w:r>
                  <w:r>
                    <w:rPr>
                      <w:rFonts w:hint="eastAsia"/>
                      <w:color w:val="auto"/>
                      <w:szCs w:val="21"/>
                    </w:rPr>
                    <w:t>~</w:t>
                  </w:r>
                  <w:r>
                    <w:rPr>
                      <w:color w:val="auto"/>
                      <w:szCs w:val="21"/>
                    </w:rPr>
                    <w:t>19</w:t>
                  </w:r>
                </w:p>
              </w:tc>
              <w:tc>
                <w:tcPr>
                  <w:tcW w:w="1038" w:type="dxa"/>
                  <w:vAlign w:val="center"/>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TP</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0.14</w:t>
                  </w:r>
                  <w:r>
                    <w:rPr>
                      <w:rFonts w:hint="eastAsia"/>
                      <w:color w:val="auto"/>
                      <w:szCs w:val="21"/>
                    </w:rPr>
                    <w:t>~</w:t>
                  </w:r>
                  <w:r>
                    <w:rPr>
                      <w:color w:val="auto"/>
                      <w:szCs w:val="21"/>
                    </w:rPr>
                    <w:t>0.18</w:t>
                  </w:r>
                </w:p>
              </w:tc>
              <w:tc>
                <w:tcPr>
                  <w:tcW w:w="1038" w:type="dxa"/>
                  <w:vAlign w:val="center"/>
                </w:tcPr>
                <w:p>
                  <w:pPr>
                    <w:adjustRightInd w:val="0"/>
                    <w:spacing w:line="300" w:lineRule="exact"/>
                    <w:jc w:val="center"/>
                    <w:rPr>
                      <w:color w:val="auto"/>
                      <w:szCs w:val="21"/>
                    </w:rPr>
                  </w:pPr>
                  <w:r>
                    <w:rPr>
                      <w:color w:val="auto"/>
                      <w:szCs w:val="21"/>
                    </w:rPr>
                    <w:t>≤0.2</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BOD</w:t>
                  </w:r>
                  <w:r>
                    <w:rPr>
                      <w:color w:val="auto"/>
                      <w:szCs w:val="21"/>
                      <w:vertAlign w:val="subscript"/>
                    </w:rPr>
                    <w:t>5</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1.8</w:t>
                  </w:r>
                  <w:r>
                    <w:rPr>
                      <w:rFonts w:hint="eastAsia"/>
                      <w:color w:val="auto"/>
                      <w:szCs w:val="21"/>
                    </w:rPr>
                    <w:t>~</w:t>
                  </w:r>
                  <w:r>
                    <w:rPr>
                      <w:color w:val="auto"/>
                      <w:szCs w:val="21"/>
                    </w:rPr>
                    <w:t>2.3</w:t>
                  </w:r>
                </w:p>
              </w:tc>
              <w:tc>
                <w:tcPr>
                  <w:tcW w:w="1038" w:type="dxa"/>
                  <w:vAlign w:val="top"/>
                </w:tcPr>
                <w:p>
                  <w:pPr>
                    <w:adjustRightInd w:val="0"/>
                    <w:spacing w:line="300" w:lineRule="exact"/>
                    <w:jc w:val="center"/>
                    <w:rPr>
                      <w:color w:val="auto"/>
                      <w:szCs w:val="21"/>
                    </w:rPr>
                  </w:pPr>
                  <w:r>
                    <w:rPr>
                      <w:color w:val="auto"/>
                      <w:szCs w:val="21"/>
                    </w:rPr>
                    <w:t>≤4</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挥发酚</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0.0003ND</w:t>
                  </w:r>
                </w:p>
              </w:tc>
              <w:tc>
                <w:tcPr>
                  <w:tcW w:w="1038" w:type="dxa"/>
                  <w:vAlign w:val="top"/>
                </w:tcPr>
                <w:p>
                  <w:pPr>
                    <w:adjustRightInd w:val="0"/>
                    <w:spacing w:line="300" w:lineRule="exact"/>
                    <w:jc w:val="center"/>
                    <w:rPr>
                      <w:color w:val="auto"/>
                      <w:szCs w:val="21"/>
                    </w:rPr>
                  </w:pPr>
                  <w:r>
                    <w:rPr>
                      <w:color w:val="auto"/>
                      <w:szCs w:val="21"/>
                    </w:rPr>
                    <w:t>≤0.005</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磷酸盐</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0.10</w:t>
                  </w:r>
                  <w:r>
                    <w:rPr>
                      <w:rFonts w:hint="eastAsia"/>
                      <w:color w:val="auto"/>
                      <w:szCs w:val="21"/>
                    </w:rPr>
                    <w:t>~</w:t>
                  </w:r>
                  <w:r>
                    <w:rPr>
                      <w:color w:val="auto"/>
                      <w:szCs w:val="21"/>
                    </w:rPr>
                    <w:t>0.11</w:t>
                  </w:r>
                </w:p>
              </w:tc>
              <w:tc>
                <w:tcPr>
                  <w:tcW w:w="1038" w:type="dxa"/>
                  <w:vAlign w:val="top"/>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总氮</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0.87</w:t>
                  </w:r>
                  <w:r>
                    <w:rPr>
                      <w:rFonts w:hint="eastAsia"/>
                      <w:color w:val="auto"/>
                      <w:szCs w:val="21"/>
                    </w:rPr>
                    <w:t>~</w:t>
                  </w:r>
                  <w:r>
                    <w:rPr>
                      <w:color w:val="auto"/>
                      <w:szCs w:val="21"/>
                    </w:rPr>
                    <w:t>0.93</w:t>
                  </w:r>
                </w:p>
              </w:tc>
              <w:tc>
                <w:tcPr>
                  <w:tcW w:w="1038" w:type="dxa"/>
                  <w:vAlign w:val="top"/>
                </w:tcPr>
                <w:p>
                  <w:pPr>
                    <w:adjustRightInd w:val="0"/>
                    <w:spacing w:line="300" w:lineRule="exact"/>
                    <w:jc w:val="center"/>
                    <w:rPr>
                      <w:color w:val="auto"/>
                      <w:szCs w:val="21"/>
                    </w:rPr>
                  </w:pPr>
                  <w:r>
                    <w:rPr>
                      <w:color w:val="auto"/>
                      <w:szCs w:val="21"/>
                    </w:rPr>
                    <w:t>≤1.0</w:t>
                  </w:r>
                </w:p>
              </w:tc>
              <w:tc>
                <w:tcPr>
                  <w:tcW w:w="728" w:type="dxa"/>
                  <w:vAlign w:val="top"/>
                </w:tcPr>
                <w:p>
                  <w:pPr>
                    <w:adjustRightInd w:val="0"/>
                    <w:spacing w:line="300" w:lineRule="exact"/>
                    <w:jc w:val="center"/>
                    <w:rPr>
                      <w:color w:val="auto"/>
                      <w:szCs w:val="21"/>
                    </w:rPr>
                  </w:pPr>
                  <w:r>
                    <w:rPr>
                      <w:color w:val="auto"/>
                      <w:szCs w:val="21"/>
                    </w:rPr>
                    <w:t>0</w:t>
                  </w:r>
                </w:p>
              </w:tc>
              <w:tc>
                <w:tcPr>
                  <w:tcW w:w="745" w:type="dxa"/>
                  <w:vAlign w:val="top"/>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0" w:hRule="atLeast"/>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动植物油</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0.46</w:t>
                  </w:r>
                  <w:r>
                    <w:rPr>
                      <w:rFonts w:hint="eastAsia"/>
                      <w:color w:val="auto"/>
                      <w:szCs w:val="21"/>
                    </w:rPr>
                    <w:t>~</w:t>
                  </w:r>
                  <w:r>
                    <w:rPr>
                      <w:color w:val="auto"/>
                      <w:szCs w:val="21"/>
                    </w:rPr>
                    <w:t>0.76</w:t>
                  </w:r>
                </w:p>
              </w:tc>
              <w:tc>
                <w:tcPr>
                  <w:tcW w:w="1038" w:type="dxa"/>
                  <w:vAlign w:val="center"/>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restart"/>
                  <w:vAlign w:val="center"/>
                </w:tcPr>
                <w:p>
                  <w:pPr>
                    <w:adjustRightInd w:val="0"/>
                    <w:spacing w:line="300" w:lineRule="exact"/>
                    <w:jc w:val="center"/>
                    <w:rPr>
                      <w:color w:val="auto"/>
                      <w:szCs w:val="21"/>
                    </w:rPr>
                  </w:pPr>
                  <w:r>
                    <w:rPr>
                      <w:color w:val="auto"/>
                      <w:szCs w:val="21"/>
                    </w:rPr>
                    <w:t>W2</w:t>
                  </w:r>
                </w:p>
              </w:tc>
              <w:tc>
                <w:tcPr>
                  <w:tcW w:w="1494" w:type="dxa"/>
                  <w:vAlign w:val="center"/>
                </w:tcPr>
                <w:p>
                  <w:pPr>
                    <w:adjustRightInd w:val="0"/>
                    <w:spacing w:line="300" w:lineRule="exact"/>
                    <w:jc w:val="center"/>
                    <w:rPr>
                      <w:rFonts w:hint="eastAsia"/>
                      <w:color w:val="auto"/>
                      <w:szCs w:val="21"/>
                    </w:rPr>
                  </w:pPr>
                  <w:r>
                    <w:rPr>
                      <w:color w:val="auto"/>
                      <w:szCs w:val="21"/>
                    </w:rPr>
                    <w:t>pH</w:t>
                  </w:r>
                </w:p>
              </w:tc>
              <w:tc>
                <w:tcPr>
                  <w:tcW w:w="1034" w:type="dxa"/>
                  <w:vAlign w:val="center"/>
                </w:tcPr>
                <w:p>
                  <w:pPr>
                    <w:adjustRightInd w:val="0"/>
                    <w:spacing w:line="300" w:lineRule="exact"/>
                    <w:jc w:val="center"/>
                    <w:rPr>
                      <w:color w:val="auto"/>
                      <w:szCs w:val="21"/>
                    </w:rPr>
                  </w:pPr>
                  <w:r>
                    <w:rPr>
                      <w:color w:val="auto"/>
                      <w:szCs w:val="21"/>
                    </w:rPr>
                    <w:t>无量纲</w:t>
                  </w:r>
                </w:p>
              </w:tc>
              <w:tc>
                <w:tcPr>
                  <w:tcW w:w="1482" w:type="dxa"/>
                  <w:vAlign w:val="center"/>
                </w:tcPr>
                <w:p>
                  <w:pPr>
                    <w:adjustRightInd w:val="0"/>
                    <w:spacing w:line="300" w:lineRule="exact"/>
                    <w:jc w:val="center"/>
                    <w:rPr>
                      <w:color w:val="auto"/>
                      <w:szCs w:val="21"/>
                    </w:rPr>
                  </w:pPr>
                  <w:r>
                    <w:rPr>
                      <w:color w:val="auto"/>
                      <w:szCs w:val="21"/>
                    </w:rPr>
                    <w:t>7.04</w:t>
                  </w:r>
                  <w:r>
                    <w:rPr>
                      <w:rFonts w:hint="eastAsia"/>
                      <w:color w:val="auto"/>
                      <w:szCs w:val="21"/>
                    </w:rPr>
                    <w:t>~</w:t>
                  </w:r>
                  <w:r>
                    <w:rPr>
                      <w:color w:val="auto"/>
                      <w:szCs w:val="21"/>
                    </w:rPr>
                    <w:t>7.39</w:t>
                  </w:r>
                </w:p>
              </w:tc>
              <w:tc>
                <w:tcPr>
                  <w:tcW w:w="1038" w:type="dxa"/>
                  <w:vAlign w:val="center"/>
                </w:tcPr>
                <w:p>
                  <w:pPr>
                    <w:adjustRightInd w:val="0"/>
                    <w:spacing w:line="300" w:lineRule="exact"/>
                    <w:jc w:val="center"/>
                    <w:rPr>
                      <w:color w:val="auto"/>
                      <w:szCs w:val="21"/>
                    </w:rPr>
                  </w:pPr>
                  <w:r>
                    <w:rPr>
                      <w:color w:val="auto"/>
                      <w:szCs w:val="21"/>
                    </w:rPr>
                    <w:t>6-9</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COD</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4.83</w:t>
                  </w:r>
                  <w:r>
                    <w:rPr>
                      <w:rFonts w:hint="eastAsia"/>
                      <w:color w:val="auto"/>
                      <w:szCs w:val="21"/>
                    </w:rPr>
                    <w:t>~</w:t>
                  </w:r>
                  <w:r>
                    <w:rPr>
                      <w:color w:val="auto"/>
                      <w:szCs w:val="21"/>
                    </w:rPr>
                    <w:t>6.24</w:t>
                  </w:r>
                </w:p>
              </w:tc>
              <w:tc>
                <w:tcPr>
                  <w:tcW w:w="1038" w:type="dxa"/>
                  <w:vAlign w:val="center"/>
                </w:tcPr>
                <w:p>
                  <w:pPr>
                    <w:adjustRightInd w:val="0"/>
                    <w:spacing w:line="300" w:lineRule="exact"/>
                    <w:jc w:val="center"/>
                    <w:rPr>
                      <w:color w:val="auto"/>
                      <w:szCs w:val="21"/>
                    </w:rPr>
                  </w:pPr>
                  <w:r>
                    <w:rPr>
                      <w:color w:val="auto"/>
                      <w:szCs w:val="21"/>
                    </w:rPr>
                    <w:t>≤20</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DO</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6.15</w:t>
                  </w:r>
                  <w:r>
                    <w:rPr>
                      <w:rFonts w:hint="eastAsia"/>
                      <w:color w:val="auto"/>
                      <w:szCs w:val="21"/>
                    </w:rPr>
                    <w:t>~</w:t>
                  </w:r>
                  <w:r>
                    <w:rPr>
                      <w:color w:val="auto"/>
                      <w:szCs w:val="21"/>
                    </w:rPr>
                    <w:t>6.39</w:t>
                  </w:r>
                </w:p>
              </w:tc>
              <w:tc>
                <w:tcPr>
                  <w:tcW w:w="1038" w:type="dxa"/>
                  <w:vAlign w:val="center"/>
                </w:tcPr>
                <w:p>
                  <w:pPr>
                    <w:adjustRightInd w:val="0"/>
                    <w:spacing w:line="300" w:lineRule="exact"/>
                    <w:jc w:val="center"/>
                    <w:rPr>
                      <w:color w:val="auto"/>
                      <w:szCs w:val="21"/>
                    </w:rPr>
                  </w:pPr>
                  <w:r>
                    <w:rPr>
                      <w:color w:val="auto"/>
                      <w:szCs w:val="21"/>
                    </w:rPr>
                    <w:t>≥5</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NH</w:t>
                  </w:r>
                  <w:r>
                    <w:rPr>
                      <w:color w:val="auto"/>
                      <w:szCs w:val="21"/>
                      <w:vertAlign w:val="subscript"/>
                    </w:rPr>
                    <w:t>3</w:t>
                  </w:r>
                  <w:r>
                    <w:rPr>
                      <w:color w:val="auto"/>
                      <w:szCs w:val="21"/>
                    </w:rPr>
                    <w:t>-N</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0.14</w:t>
                  </w:r>
                  <w:r>
                    <w:rPr>
                      <w:rFonts w:hint="eastAsia"/>
                      <w:color w:val="auto"/>
                      <w:szCs w:val="21"/>
                    </w:rPr>
                    <w:t>~</w:t>
                  </w:r>
                  <w:r>
                    <w:rPr>
                      <w:color w:val="auto"/>
                      <w:szCs w:val="21"/>
                    </w:rPr>
                    <w:t>0.16</w:t>
                  </w:r>
                </w:p>
              </w:tc>
              <w:tc>
                <w:tcPr>
                  <w:tcW w:w="1038" w:type="dxa"/>
                  <w:vAlign w:val="center"/>
                </w:tcPr>
                <w:p>
                  <w:pPr>
                    <w:adjustRightInd w:val="0"/>
                    <w:spacing w:line="300" w:lineRule="exact"/>
                    <w:jc w:val="center"/>
                    <w:rPr>
                      <w:color w:val="auto"/>
                      <w:szCs w:val="21"/>
                    </w:rPr>
                  </w:pPr>
                  <w:r>
                    <w:rPr>
                      <w:color w:val="auto"/>
                      <w:szCs w:val="21"/>
                    </w:rPr>
                    <w:t>≤1.0</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SS</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18</w:t>
                  </w:r>
                  <w:r>
                    <w:rPr>
                      <w:rFonts w:hint="eastAsia"/>
                      <w:color w:val="auto"/>
                      <w:szCs w:val="21"/>
                    </w:rPr>
                    <w:t>~</w:t>
                  </w:r>
                  <w:r>
                    <w:rPr>
                      <w:color w:val="auto"/>
                      <w:szCs w:val="21"/>
                    </w:rPr>
                    <w:t>22</w:t>
                  </w:r>
                </w:p>
              </w:tc>
              <w:tc>
                <w:tcPr>
                  <w:tcW w:w="1038" w:type="dxa"/>
                  <w:vAlign w:val="center"/>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TP</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0.12</w:t>
                  </w:r>
                  <w:r>
                    <w:rPr>
                      <w:rFonts w:hint="eastAsia"/>
                      <w:color w:val="auto"/>
                      <w:szCs w:val="21"/>
                    </w:rPr>
                    <w:t>~</w:t>
                  </w:r>
                  <w:r>
                    <w:rPr>
                      <w:color w:val="auto"/>
                      <w:szCs w:val="21"/>
                    </w:rPr>
                    <w:t>0.19</w:t>
                  </w:r>
                </w:p>
              </w:tc>
              <w:tc>
                <w:tcPr>
                  <w:tcW w:w="1038" w:type="dxa"/>
                  <w:vAlign w:val="center"/>
                </w:tcPr>
                <w:p>
                  <w:pPr>
                    <w:adjustRightInd w:val="0"/>
                    <w:spacing w:line="300" w:lineRule="exact"/>
                    <w:jc w:val="center"/>
                    <w:rPr>
                      <w:color w:val="auto"/>
                      <w:szCs w:val="21"/>
                    </w:rPr>
                  </w:pPr>
                  <w:r>
                    <w:rPr>
                      <w:color w:val="auto"/>
                      <w:szCs w:val="21"/>
                    </w:rPr>
                    <w:t>≤0.2</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BOD</w:t>
                  </w:r>
                  <w:r>
                    <w:rPr>
                      <w:color w:val="auto"/>
                      <w:szCs w:val="21"/>
                      <w:vertAlign w:val="subscript"/>
                    </w:rPr>
                    <w:t>5</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1.9</w:t>
                  </w:r>
                  <w:r>
                    <w:rPr>
                      <w:rFonts w:hint="eastAsia"/>
                      <w:color w:val="auto"/>
                      <w:szCs w:val="21"/>
                    </w:rPr>
                    <w:t>~</w:t>
                  </w:r>
                  <w:r>
                    <w:rPr>
                      <w:color w:val="auto"/>
                      <w:szCs w:val="21"/>
                    </w:rPr>
                    <w:t>2.0</w:t>
                  </w:r>
                </w:p>
              </w:tc>
              <w:tc>
                <w:tcPr>
                  <w:tcW w:w="1038" w:type="dxa"/>
                  <w:vAlign w:val="top"/>
                </w:tcPr>
                <w:p>
                  <w:pPr>
                    <w:adjustRightInd w:val="0"/>
                    <w:spacing w:line="300" w:lineRule="exact"/>
                    <w:jc w:val="center"/>
                    <w:rPr>
                      <w:color w:val="auto"/>
                      <w:szCs w:val="21"/>
                    </w:rPr>
                  </w:pPr>
                  <w:r>
                    <w:rPr>
                      <w:color w:val="auto"/>
                      <w:szCs w:val="21"/>
                    </w:rPr>
                    <w:t>≤4</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挥发酚</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0.0003ND</w:t>
                  </w:r>
                </w:p>
              </w:tc>
              <w:tc>
                <w:tcPr>
                  <w:tcW w:w="1038" w:type="dxa"/>
                  <w:vAlign w:val="top"/>
                </w:tcPr>
                <w:p>
                  <w:pPr>
                    <w:adjustRightInd w:val="0"/>
                    <w:spacing w:line="300" w:lineRule="exact"/>
                    <w:jc w:val="center"/>
                    <w:rPr>
                      <w:color w:val="auto"/>
                      <w:szCs w:val="21"/>
                    </w:rPr>
                  </w:pPr>
                  <w:r>
                    <w:rPr>
                      <w:color w:val="auto"/>
                      <w:szCs w:val="21"/>
                    </w:rPr>
                    <w:t>≤0.005</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磷酸盐</w:t>
                  </w:r>
                </w:p>
              </w:tc>
              <w:tc>
                <w:tcPr>
                  <w:tcW w:w="1034" w:type="dxa"/>
                  <w:vAlign w:val="top"/>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0.09</w:t>
                  </w:r>
                  <w:r>
                    <w:rPr>
                      <w:rFonts w:hint="eastAsia"/>
                      <w:color w:val="auto"/>
                      <w:szCs w:val="21"/>
                    </w:rPr>
                    <w:t>~</w:t>
                  </w:r>
                  <w:r>
                    <w:rPr>
                      <w:color w:val="auto"/>
                      <w:szCs w:val="21"/>
                    </w:rPr>
                    <w:t>0.15</w:t>
                  </w:r>
                </w:p>
              </w:tc>
              <w:tc>
                <w:tcPr>
                  <w:tcW w:w="1038" w:type="dxa"/>
                  <w:vAlign w:val="top"/>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adjustRightInd w:val="0"/>
                    <w:spacing w:line="300" w:lineRule="exact"/>
                    <w:jc w:val="center"/>
                    <w:rPr>
                      <w:color w:val="auto"/>
                      <w:szCs w:val="21"/>
                    </w:rPr>
                  </w:pPr>
                </w:p>
              </w:tc>
              <w:tc>
                <w:tcPr>
                  <w:tcW w:w="1494" w:type="dxa"/>
                  <w:vAlign w:val="center"/>
                </w:tcPr>
                <w:p>
                  <w:pPr>
                    <w:adjustRightInd w:val="0"/>
                    <w:spacing w:line="300" w:lineRule="exact"/>
                    <w:jc w:val="center"/>
                    <w:rPr>
                      <w:color w:val="auto"/>
                      <w:szCs w:val="21"/>
                    </w:rPr>
                  </w:pPr>
                  <w:r>
                    <w:rPr>
                      <w:color w:val="auto"/>
                      <w:szCs w:val="21"/>
                    </w:rPr>
                    <w:t>总氮</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0.75</w:t>
                  </w:r>
                  <w:r>
                    <w:rPr>
                      <w:rFonts w:hint="eastAsia"/>
                      <w:color w:val="auto"/>
                      <w:szCs w:val="21"/>
                    </w:rPr>
                    <w:t>~</w:t>
                  </w:r>
                  <w:r>
                    <w:rPr>
                      <w:color w:val="auto"/>
                      <w:szCs w:val="21"/>
                    </w:rPr>
                    <w:t>0.89</w:t>
                  </w:r>
                </w:p>
              </w:tc>
              <w:tc>
                <w:tcPr>
                  <w:tcW w:w="1038" w:type="dxa"/>
                  <w:vAlign w:val="top"/>
                </w:tcPr>
                <w:p>
                  <w:pPr>
                    <w:adjustRightInd w:val="0"/>
                    <w:spacing w:line="300" w:lineRule="exact"/>
                    <w:jc w:val="center"/>
                    <w:rPr>
                      <w:color w:val="auto"/>
                      <w:szCs w:val="21"/>
                    </w:rPr>
                  </w:pPr>
                  <w:r>
                    <w:rPr>
                      <w:color w:val="auto"/>
                      <w:szCs w:val="21"/>
                    </w:rPr>
                    <w:t>≤1.0</w:t>
                  </w:r>
                </w:p>
              </w:tc>
              <w:tc>
                <w:tcPr>
                  <w:tcW w:w="728" w:type="dxa"/>
                  <w:vAlign w:val="top"/>
                </w:tcPr>
                <w:p>
                  <w:pPr>
                    <w:adjustRightInd w:val="0"/>
                    <w:spacing w:line="300" w:lineRule="exact"/>
                    <w:jc w:val="center"/>
                    <w:rPr>
                      <w:color w:val="auto"/>
                      <w:szCs w:val="21"/>
                    </w:rPr>
                  </w:pPr>
                  <w:r>
                    <w:rPr>
                      <w:color w:val="auto"/>
                      <w:szCs w:val="21"/>
                    </w:rPr>
                    <w:t>0</w:t>
                  </w:r>
                </w:p>
              </w:tc>
              <w:tc>
                <w:tcPr>
                  <w:tcW w:w="745" w:type="dxa"/>
                  <w:vAlign w:val="top"/>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53" w:type="dxa"/>
                  <w:vMerge w:val="continue"/>
                  <w:vAlign w:val="center"/>
                </w:tcPr>
                <w:p>
                  <w:pPr>
                    <w:jc w:val="center"/>
                    <w:rPr>
                      <w:color w:val="auto"/>
                      <w:kern w:val="0"/>
                    </w:rPr>
                  </w:pPr>
                </w:p>
              </w:tc>
              <w:tc>
                <w:tcPr>
                  <w:tcW w:w="1494" w:type="dxa"/>
                  <w:vAlign w:val="center"/>
                </w:tcPr>
                <w:p>
                  <w:pPr>
                    <w:adjustRightInd w:val="0"/>
                    <w:spacing w:line="300" w:lineRule="exact"/>
                    <w:jc w:val="center"/>
                    <w:rPr>
                      <w:color w:val="auto"/>
                      <w:szCs w:val="21"/>
                    </w:rPr>
                  </w:pPr>
                  <w:r>
                    <w:rPr>
                      <w:color w:val="auto"/>
                      <w:szCs w:val="21"/>
                    </w:rPr>
                    <w:t>动植物油</w:t>
                  </w:r>
                </w:p>
              </w:tc>
              <w:tc>
                <w:tcPr>
                  <w:tcW w:w="1034" w:type="dxa"/>
                  <w:vAlign w:val="center"/>
                </w:tcPr>
                <w:p>
                  <w:pPr>
                    <w:adjustRightInd w:val="0"/>
                    <w:spacing w:line="300" w:lineRule="exact"/>
                    <w:jc w:val="center"/>
                    <w:rPr>
                      <w:color w:val="auto"/>
                      <w:szCs w:val="21"/>
                    </w:rPr>
                  </w:pPr>
                  <w:r>
                    <w:rPr>
                      <w:color w:val="auto"/>
                      <w:szCs w:val="21"/>
                    </w:rPr>
                    <w:t>mg/L</w:t>
                  </w:r>
                </w:p>
              </w:tc>
              <w:tc>
                <w:tcPr>
                  <w:tcW w:w="1482" w:type="dxa"/>
                  <w:vAlign w:val="center"/>
                </w:tcPr>
                <w:p>
                  <w:pPr>
                    <w:adjustRightInd w:val="0"/>
                    <w:spacing w:line="300" w:lineRule="exact"/>
                    <w:jc w:val="center"/>
                    <w:rPr>
                      <w:color w:val="auto"/>
                      <w:szCs w:val="21"/>
                    </w:rPr>
                  </w:pPr>
                  <w:r>
                    <w:rPr>
                      <w:color w:val="auto"/>
                      <w:szCs w:val="21"/>
                    </w:rPr>
                    <w:t>0.39</w:t>
                  </w:r>
                  <w:r>
                    <w:rPr>
                      <w:rFonts w:hint="eastAsia"/>
                      <w:color w:val="auto"/>
                      <w:szCs w:val="21"/>
                    </w:rPr>
                    <w:t>~</w:t>
                  </w:r>
                  <w:r>
                    <w:rPr>
                      <w:color w:val="auto"/>
                      <w:szCs w:val="21"/>
                    </w:rPr>
                    <w:t>0.51</w:t>
                  </w:r>
                </w:p>
              </w:tc>
              <w:tc>
                <w:tcPr>
                  <w:tcW w:w="1038" w:type="dxa"/>
                  <w:vAlign w:val="center"/>
                </w:tcPr>
                <w:p>
                  <w:pPr>
                    <w:adjustRightInd w:val="0"/>
                    <w:spacing w:line="300" w:lineRule="exact"/>
                    <w:jc w:val="center"/>
                    <w:rPr>
                      <w:color w:val="auto"/>
                      <w:szCs w:val="21"/>
                    </w:rPr>
                  </w:pPr>
                  <w:r>
                    <w:rPr>
                      <w:color w:val="auto"/>
                      <w:szCs w:val="21"/>
                    </w:rPr>
                    <w:t>/</w:t>
                  </w:r>
                </w:p>
              </w:tc>
              <w:tc>
                <w:tcPr>
                  <w:tcW w:w="728" w:type="dxa"/>
                  <w:vAlign w:val="center"/>
                </w:tcPr>
                <w:p>
                  <w:pPr>
                    <w:adjustRightInd w:val="0"/>
                    <w:spacing w:line="300" w:lineRule="exact"/>
                    <w:jc w:val="center"/>
                    <w:rPr>
                      <w:color w:val="auto"/>
                      <w:szCs w:val="21"/>
                    </w:rPr>
                  </w:pPr>
                  <w:r>
                    <w:rPr>
                      <w:color w:val="auto"/>
                      <w:szCs w:val="21"/>
                    </w:rPr>
                    <w:t>0</w:t>
                  </w:r>
                </w:p>
              </w:tc>
              <w:tc>
                <w:tcPr>
                  <w:tcW w:w="745" w:type="dxa"/>
                  <w:vAlign w:val="center"/>
                </w:tcPr>
                <w:p>
                  <w:pPr>
                    <w:adjustRightInd w:val="0"/>
                    <w:spacing w:line="300" w:lineRule="exact"/>
                    <w:jc w:val="center"/>
                    <w:rPr>
                      <w:color w:val="auto"/>
                      <w:szCs w:val="21"/>
                    </w:rPr>
                  </w:pPr>
                  <w:r>
                    <w:rPr>
                      <w:color w:val="auto"/>
                      <w:szCs w:val="21"/>
                    </w:rPr>
                    <w:t>0</w:t>
                  </w:r>
                </w:p>
              </w:tc>
              <w:tc>
                <w:tcPr>
                  <w:tcW w:w="708" w:type="dxa"/>
                  <w:vAlign w:val="center"/>
                </w:tcPr>
                <w:p>
                  <w:pPr>
                    <w:adjustRightInd w:val="0"/>
                    <w:spacing w:line="300" w:lineRule="exact"/>
                    <w:jc w:val="center"/>
                    <w:rPr>
                      <w:color w:val="auto"/>
                      <w:szCs w:val="21"/>
                    </w:rPr>
                  </w:pPr>
                  <w:r>
                    <w:rPr>
                      <w:color w:val="auto"/>
                      <w:szCs w:val="21"/>
                    </w:rPr>
                    <w:t>达标</w:t>
                  </w:r>
                </w:p>
              </w:tc>
            </w:tr>
          </w:tbl>
          <w:p>
            <w:pPr>
              <w:adjustRightInd w:val="0"/>
              <w:spacing w:line="360" w:lineRule="auto"/>
              <w:ind w:firstLine="480" w:firstLineChars="200"/>
              <w:rPr>
                <w:rFonts w:hint="eastAsia"/>
                <w:color w:val="auto"/>
                <w:sz w:val="24"/>
              </w:rPr>
            </w:pPr>
            <w:r>
              <w:rPr>
                <w:rFonts w:hint="eastAsia"/>
                <w:color w:val="auto"/>
                <w:sz w:val="24"/>
              </w:rPr>
              <w:t>根据表</w:t>
            </w:r>
            <w:r>
              <w:rPr>
                <w:rFonts w:hint="eastAsia"/>
                <w:color w:val="auto"/>
                <w:sz w:val="24"/>
                <w:lang w:val="en-US" w:eastAsia="zh-CN"/>
              </w:rPr>
              <w:t>19</w:t>
            </w:r>
            <w:r>
              <w:rPr>
                <w:rFonts w:hint="eastAsia"/>
                <w:color w:val="auto"/>
                <w:sz w:val="24"/>
              </w:rPr>
              <w:t>可知，</w:t>
            </w:r>
            <w:r>
              <w:rPr>
                <w:color w:val="auto"/>
                <w:sz w:val="24"/>
              </w:rPr>
              <w:t>汨罗江</w:t>
            </w:r>
            <w:r>
              <w:rPr>
                <w:rFonts w:hint="eastAsia"/>
                <w:color w:val="auto"/>
                <w:sz w:val="24"/>
              </w:rPr>
              <w:t>断面</w:t>
            </w:r>
            <w:r>
              <w:rPr>
                <w:color w:val="auto"/>
                <w:sz w:val="24"/>
              </w:rPr>
              <w:t>各监测因子指标均能达到《地表水环境质量标准》（GB3838-2002）中的</w:t>
            </w:r>
            <w:r>
              <w:rPr>
                <w:rFonts w:hint="eastAsia" w:ascii="宋体" w:hAnsi="宋体" w:cs="宋体"/>
                <w:color w:val="auto"/>
                <w:sz w:val="24"/>
              </w:rPr>
              <w:t>Ⅲ</w:t>
            </w:r>
            <w:r>
              <w:rPr>
                <w:color w:val="auto"/>
                <w:sz w:val="24"/>
              </w:rPr>
              <w:t>类水质标准要求，符合相应的水功能区划要求。</w:t>
            </w:r>
          </w:p>
          <w:p>
            <w:pPr>
              <w:spacing w:line="360" w:lineRule="auto"/>
              <w:rPr>
                <w:rFonts w:hint="eastAsia"/>
                <w:b/>
                <w:color w:val="auto"/>
                <w:sz w:val="24"/>
              </w:rPr>
            </w:pPr>
            <w:r>
              <w:rPr>
                <w:rFonts w:hint="eastAsia"/>
                <w:b/>
                <w:color w:val="auto"/>
                <w:sz w:val="24"/>
              </w:rPr>
              <w:t>3、声环境质量现状</w:t>
            </w:r>
          </w:p>
          <w:p>
            <w:pPr>
              <w:adjustRightInd w:val="0"/>
              <w:spacing w:line="360" w:lineRule="auto"/>
              <w:ind w:firstLine="480" w:firstLineChars="200"/>
              <w:rPr>
                <w:rFonts w:hint="eastAsia"/>
                <w:color w:val="auto"/>
                <w:sz w:val="24"/>
              </w:rPr>
            </w:pPr>
            <w:r>
              <w:rPr>
                <w:rFonts w:hint="eastAsia"/>
                <w:color w:val="auto"/>
                <w:sz w:val="24"/>
              </w:rPr>
              <w:t>（1）监测布点</w:t>
            </w:r>
          </w:p>
          <w:p>
            <w:pPr>
              <w:adjustRightInd w:val="0"/>
              <w:spacing w:line="360" w:lineRule="auto"/>
              <w:ind w:firstLine="480" w:firstLineChars="200"/>
              <w:rPr>
                <w:rFonts w:hint="eastAsia"/>
                <w:color w:val="auto"/>
                <w:sz w:val="24"/>
              </w:rPr>
            </w:pPr>
            <w:r>
              <w:rPr>
                <w:color w:val="auto"/>
                <w:sz w:val="24"/>
              </w:rPr>
              <w:t>根据本项目所在区域的环境特征，在</w:t>
            </w:r>
            <w:r>
              <w:rPr>
                <w:rFonts w:hint="eastAsia"/>
                <w:color w:val="auto"/>
                <w:sz w:val="24"/>
              </w:rPr>
              <w:t>本项目配水管道沿线区域</w:t>
            </w:r>
            <w:r>
              <w:rPr>
                <w:color w:val="auto"/>
                <w:sz w:val="24"/>
              </w:rPr>
              <w:t>布置</w:t>
            </w:r>
            <w:r>
              <w:rPr>
                <w:rFonts w:hint="eastAsia"/>
                <w:color w:val="auto"/>
                <w:sz w:val="24"/>
              </w:rPr>
              <w:t>10</w:t>
            </w:r>
            <w:r>
              <w:rPr>
                <w:color w:val="auto"/>
                <w:sz w:val="24"/>
              </w:rPr>
              <w:t>个噪声监测点</w:t>
            </w:r>
            <w:r>
              <w:rPr>
                <w:rFonts w:hint="eastAsia"/>
                <w:color w:val="auto"/>
                <w:sz w:val="24"/>
              </w:rPr>
              <w:t>；</w:t>
            </w:r>
            <w:r>
              <w:rPr>
                <w:color w:val="auto"/>
                <w:sz w:val="24"/>
              </w:rPr>
              <w:t>监测点布置情况见表</w:t>
            </w:r>
            <w:r>
              <w:rPr>
                <w:rFonts w:hint="eastAsia"/>
                <w:color w:val="auto"/>
                <w:sz w:val="24"/>
                <w:lang w:val="en-US" w:eastAsia="zh-CN"/>
              </w:rPr>
              <w:t>19</w:t>
            </w:r>
            <w:r>
              <w:rPr>
                <w:color w:val="auto"/>
                <w:sz w:val="24"/>
              </w:rPr>
              <w:t>。</w:t>
            </w:r>
          </w:p>
          <w:p>
            <w:pPr>
              <w:pStyle w:val="17"/>
              <w:snapToGrid/>
              <w:spacing w:before="0" w:after="0" w:line="360" w:lineRule="auto"/>
              <w:ind w:firstLine="420"/>
              <w:rPr>
                <w:rFonts w:hint="eastAsia" w:ascii="Times New Roman"/>
                <w:color w:val="auto"/>
                <w:sz w:val="21"/>
                <w:szCs w:val="21"/>
              </w:rPr>
            </w:pPr>
            <w:r>
              <w:rPr>
                <w:rFonts w:ascii="Times New Roman"/>
                <w:color w:val="auto"/>
                <w:sz w:val="21"/>
                <w:szCs w:val="21"/>
              </w:rPr>
              <w:t>表</w:t>
            </w:r>
            <w:r>
              <w:rPr>
                <w:rFonts w:hint="eastAsia" w:ascii="Times New Roman"/>
                <w:color w:val="auto"/>
                <w:sz w:val="21"/>
                <w:szCs w:val="21"/>
                <w:lang w:val="en-US" w:eastAsia="zh-CN"/>
              </w:rPr>
              <w:t>19</w:t>
            </w:r>
            <w:r>
              <w:rPr>
                <w:rFonts w:ascii="Times New Roman"/>
                <w:color w:val="auto"/>
                <w:sz w:val="21"/>
                <w:szCs w:val="21"/>
              </w:rPr>
              <w:t xml:space="preserve">  噪声监测点布置情况表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4"/>
              <w:gridCol w:w="1539"/>
              <w:gridCol w:w="3182"/>
              <w:gridCol w:w="28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color w:val="auto"/>
                      <w:szCs w:val="21"/>
                    </w:rPr>
                  </w:pPr>
                  <w:r>
                    <w:rPr>
                      <w:color w:val="auto"/>
                      <w:szCs w:val="21"/>
                    </w:rPr>
                    <w:t>序号</w:t>
                  </w:r>
                </w:p>
              </w:tc>
              <w:tc>
                <w:tcPr>
                  <w:tcW w:w="1539" w:type="dxa"/>
                  <w:vAlign w:val="center"/>
                </w:tcPr>
                <w:p>
                  <w:pPr>
                    <w:adjustRightInd w:val="0"/>
                    <w:snapToGrid w:val="0"/>
                    <w:jc w:val="center"/>
                    <w:rPr>
                      <w:rFonts w:hint="eastAsia"/>
                      <w:color w:val="auto"/>
                      <w:szCs w:val="21"/>
                    </w:rPr>
                  </w:pPr>
                  <w:r>
                    <w:rPr>
                      <w:rFonts w:hint="eastAsia"/>
                      <w:color w:val="auto"/>
                      <w:szCs w:val="21"/>
                    </w:rPr>
                    <w:t>监测点名称</w:t>
                  </w:r>
                </w:p>
              </w:tc>
              <w:tc>
                <w:tcPr>
                  <w:tcW w:w="3182" w:type="dxa"/>
                  <w:vAlign w:val="center"/>
                </w:tcPr>
                <w:p>
                  <w:pPr>
                    <w:adjustRightInd w:val="0"/>
                    <w:snapToGrid w:val="0"/>
                    <w:jc w:val="center"/>
                    <w:rPr>
                      <w:color w:val="auto"/>
                      <w:szCs w:val="21"/>
                    </w:rPr>
                  </w:pPr>
                  <w:r>
                    <w:rPr>
                      <w:color w:val="auto"/>
                      <w:szCs w:val="21"/>
                    </w:rPr>
                    <w:t>位置</w:t>
                  </w:r>
                </w:p>
              </w:tc>
              <w:tc>
                <w:tcPr>
                  <w:tcW w:w="2877" w:type="dxa"/>
                  <w:vAlign w:val="center"/>
                </w:tcPr>
                <w:p>
                  <w:pPr>
                    <w:adjustRightInd w:val="0"/>
                    <w:snapToGrid w:val="0"/>
                    <w:jc w:val="center"/>
                    <w:rPr>
                      <w:color w:val="auto"/>
                      <w:szCs w:val="21"/>
                    </w:rPr>
                  </w:pPr>
                  <w:r>
                    <w:rPr>
                      <w:color w:val="auto"/>
                      <w:szCs w:val="21"/>
                    </w:rPr>
                    <w:t>声环境质量执行标准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color w:val="auto"/>
                      <w:szCs w:val="21"/>
                    </w:rPr>
                  </w:pPr>
                  <w:r>
                    <w:rPr>
                      <w:color w:val="auto"/>
                      <w:szCs w:val="21"/>
                    </w:rPr>
                    <w:t>N1</w:t>
                  </w:r>
                </w:p>
              </w:tc>
              <w:tc>
                <w:tcPr>
                  <w:tcW w:w="1539" w:type="dxa"/>
                  <w:vAlign w:val="center"/>
                </w:tcPr>
                <w:p>
                  <w:pPr>
                    <w:adjustRightInd w:val="0"/>
                    <w:snapToGrid w:val="0"/>
                    <w:jc w:val="center"/>
                    <w:rPr>
                      <w:rFonts w:hint="eastAsia"/>
                      <w:color w:val="auto"/>
                      <w:szCs w:val="21"/>
                    </w:rPr>
                  </w:pPr>
                  <w:r>
                    <w:rPr>
                      <w:rFonts w:hint="eastAsia"/>
                      <w:color w:val="auto"/>
                      <w:szCs w:val="21"/>
                    </w:rPr>
                    <w:t>城关镇</w:t>
                  </w:r>
                </w:p>
              </w:tc>
              <w:tc>
                <w:tcPr>
                  <w:tcW w:w="3182" w:type="dxa"/>
                  <w:vAlign w:val="center"/>
                </w:tcPr>
                <w:p>
                  <w:pPr>
                    <w:adjustRightInd w:val="0"/>
                    <w:snapToGrid w:val="0"/>
                    <w:jc w:val="center"/>
                    <w:rPr>
                      <w:color w:val="auto"/>
                      <w:szCs w:val="21"/>
                    </w:rPr>
                  </w:pPr>
                  <w:r>
                    <w:rPr>
                      <w:color w:val="auto"/>
                      <w:szCs w:val="21"/>
                    </w:rPr>
                    <w:t>本项目管道起点</w:t>
                  </w:r>
                </w:p>
              </w:tc>
              <w:tc>
                <w:tcPr>
                  <w:tcW w:w="2877" w:type="dxa"/>
                  <w:vAlign w:val="center"/>
                </w:tcPr>
                <w:p>
                  <w:pPr>
                    <w:adjustRightInd w:val="0"/>
                    <w:snapToGrid w:val="0"/>
                    <w:jc w:val="center"/>
                    <w:rPr>
                      <w:rFonts w:hint="eastAsia"/>
                      <w:color w:val="auto"/>
                      <w:szCs w:val="21"/>
                    </w:rPr>
                  </w:pPr>
                  <w:r>
                    <w:rPr>
                      <w:rFonts w:hint="eastAsia"/>
                      <w:color w:val="auto"/>
                      <w:szCs w:val="21"/>
                    </w:rPr>
                    <w:t>4a类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N2</w:t>
                  </w:r>
                </w:p>
              </w:tc>
              <w:tc>
                <w:tcPr>
                  <w:tcW w:w="1539" w:type="dxa"/>
                  <w:vAlign w:val="center"/>
                </w:tcPr>
                <w:p>
                  <w:pPr>
                    <w:adjustRightInd w:val="0"/>
                    <w:snapToGrid w:val="0"/>
                    <w:jc w:val="center"/>
                    <w:rPr>
                      <w:rFonts w:hint="eastAsia"/>
                      <w:color w:val="auto"/>
                      <w:szCs w:val="21"/>
                    </w:rPr>
                  </w:pPr>
                  <w:r>
                    <w:rPr>
                      <w:rFonts w:hint="eastAsia"/>
                      <w:color w:val="auto"/>
                      <w:szCs w:val="21"/>
                    </w:rPr>
                    <w:t>澄潭村</w:t>
                  </w:r>
                </w:p>
              </w:tc>
              <w:tc>
                <w:tcPr>
                  <w:tcW w:w="3182" w:type="dxa"/>
                  <w:vAlign w:val="center"/>
                </w:tcPr>
                <w:p>
                  <w:pPr>
                    <w:adjustRightInd w:val="0"/>
                    <w:snapToGrid w:val="0"/>
                    <w:jc w:val="center"/>
                    <w:rPr>
                      <w:rFonts w:hint="eastAsia"/>
                      <w:color w:val="auto"/>
                      <w:szCs w:val="21"/>
                    </w:rPr>
                  </w:pPr>
                  <w:r>
                    <w:rPr>
                      <w:color w:val="auto"/>
                      <w:szCs w:val="21"/>
                    </w:rPr>
                    <w:t>本项目管道北侧</w:t>
                  </w:r>
                  <w:r>
                    <w:rPr>
                      <w:rFonts w:hint="eastAsia"/>
                      <w:color w:val="auto"/>
                      <w:szCs w:val="21"/>
                    </w:rPr>
                    <w:t>20m处</w:t>
                  </w:r>
                </w:p>
              </w:tc>
              <w:tc>
                <w:tcPr>
                  <w:tcW w:w="2877" w:type="dxa"/>
                  <w:vAlign w:val="center"/>
                </w:tcPr>
                <w:p>
                  <w:pPr>
                    <w:adjustRightInd w:val="0"/>
                    <w:snapToGrid w:val="0"/>
                    <w:jc w:val="center"/>
                    <w:rPr>
                      <w:rFonts w:hint="eastAsia"/>
                      <w:color w:val="auto"/>
                      <w:szCs w:val="21"/>
                    </w:rPr>
                  </w:pPr>
                  <w:r>
                    <w:rPr>
                      <w:rFonts w:hint="eastAsia"/>
                      <w:color w:val="auto"/>
                      <w:szCs w:val="21"/>
                    </w:rPr>
                    <w:t>2类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N3</w:t>
                  </w:r>
                </w:p>
              </w:tc>
              <w:tc>
                <w:tcPr>
                  <w:tcW w:w="1539" w:type="dxa"/>
                  <w:vAlign w:val="center"/>
                </w:tcPr>
                <w:p>
                  <w:pPr>
                    <w:adjustRightInd w:val="0"/>
                    <w:snapToGrid w:val="0"/>
                    <w:jc w:val="center"/>
                    <w:rPr>
                      <w:rFonts w:hint="eastAsia"/>
                      <w:color w:val="auto"/>
                      <w:szCs w:val="21"/>
                    </w:rPr>
                  </w:pPr>
                  <w:r>
                    <w:rPr>
                      <w:rFonts w:hint="eastAsia"/>
                      <w:color w:val="auto"/>
                      <w:szCs w:val="21"/>
                    </w:rPr>
                    <w:t>塔兴村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东</w:t>
                  </w:r>
                  <w:r>
                    <w:rPr>
                      <w:color w:val="auto"/>
                      <w:szCs w:val="21"/>
                    </w:rPr>
                    <w:t>侧</w:t>
                  </w:r>
                  <w:r>
                    <w:rPr>
                      <w:rFonts w:hint="eastAsia"/>
                      <w:color w:val="auto"/>
                      <w:szCs w:val="21"/>
                    </w:rPr>
                    <w:t>5m处</w:t>
                  </w:r>
                </w:p>
              </w:tc>
              <w:tc>
                <w:tcPr>
                  <w:tcW w:w="2877" w:type="dxa"/>
                  <w:vMerge w:val="restart"/>
                  <w:vAlign w:val="center"/>
                </w:tcPr>
                <w:p>
                  <w:pPr>
                    <w:adjustRightInd w:val="0"/>
                    <w:snapToGrid w:val="0"/>
                    <w:jc w:val="center"/>
                    <w:rPr>
                      <w:color w:val="auto"/>
                      <w:szCs w:val="21"/>
                    </w:rPr>
                  </w:pPr>
                  <w:r>
                    <w:rPr>
                      <w:rFonts w:hint="eastAsia"/>
                      <w:color w:val="auto"/>
                      <w:szCs w:val="21"/>
                    </w:rPr>
                    <w:t>4a类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N4</w:t>
                  </w:r>
                </w:p>
              </w:tc>
              <w:tc>
                <w:tcPr>
                  <w:tcW w:w="1539" w:type="dxa"/>
                  <w:vAlign w:val="center"/>
                </w:tcPr>
                <w:p>
                  <w:pPr>
                    <w:adjustRightInd w:val="0"/>
                    <w:snapToGrid w:val="0"/>
                    <w:jc w:val="center"/>
                    <w:rPr>
                      <w:rFonts w:hint="eastAsia"/>
                      <w:color w:val="auto"/>
                      <w:szCs w:val="21"/>
                    </w:rPr>
                  </w:pPr>
                  <w:r>
                    <w:rPr>
                      <w:rFonts w:hint="eastAsia"/>
                      <w:color w:val="auto"/>
                      <w:szCs w:val="21"/>
                    </w:rPr>
                    <w:t>张市村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北</w:t>
                  </w:r>
                  <w:r>
                    <w:rPr>
                      <w:color w:val="auto"/>
                      <w:szCs w:val="21"/>
                    </w:rPr>
                    <w:t>侧</w:t>
                  </w:r>
                  <w:r>
                    <w:rPr>
                      <w:rFonts w:hint="eastAsia"/>
                      <w:color w:val="auto"/>
                      <w:szCs w:val="21"/>
                    </w:rPr>
                    <w:t>5m处</w:t>
                  </w:r>
                </w:p>
              </w:tc>
              <w:tc>
                <w:tcPr>
                  <w:tcW w:w="2877" w:type="dxa"/>
                  <w:vMerge w:val="continue"/>
                  <w:vAlign w:val="center"/>
                </w:tcPr>
                <w:p>
                  <w:pPr>
                    <w:adjustRightInd w:val="0"/>
                    <w:snapToGrid w:val="0"/>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color w:val="auto"/>
                      <w:szCs w:val="21"/>
                    </w:rPr>
                    <w:t>N</w:t>
                  </w:r>
                  <w:r>
                    <w:rPr>
                      <w:rFonts w:hint="eastAsia"/>
                      <w:color w:val="auto"/>
                      <w:szCs w:val="21"/>
                    </w:rPr>
                    <w:t>5</w:t>
                  </w:r>
                </w:p>
              </w:tc>
              <w:tc>
                <w:tcPr>
                  <w:tcW w:w="1539" w:type="dxa"/>
                  <w:vAlign w:val="center"/>
                </w:tcPr>
                <w:p>
                  <w:pPr>
                    <w:adjustRightInd w:val="0"/>
                    <w:snapToGrid w:val="0"/>
                    <w:jc w:val="center"/>
                    <w:rPr>
                      <w:rFonts w:hint="eastAsia"/>
                      <w:color w:val="auto"/>
                      <w:szCs w:val="21"/>
                    </w:rPr>
                  </w:pPr>
                  <w:r>
                    <w:rPr>
                      <w:rFonts w:hint="eastAsia"/>
                      <w:color w:val="auto"/>
                      <w:szCs w:val="21"/>
                    </w:rPr>
                    <w:t>浯口村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南</w:t>
                  </w:r>
                  <w:r>
                    <w:rPr>
                      <w:color w:val="auto"/>
                      <w:szCs w:val="21"/>
                    </w:rPr>
                    <w:t>侧</w:t>
                  </w:r>
                  <w:r>
                    <w:rPr>
                      <w:rFonts w:hint="eastAsia"/>
                      <w:color w:val="auto"/>
                      <w:szCs w:val="21"/>
                    </w:rPr>
                    <w:t>5m处</w:t>
                  </w:r>
                </w:p>
              </w:tc>
              <w:tc>
                <w:tcPr>
                  <w:tcW w:w="2877" w:type="dxa"/>
                  <w:vMerge w:val="restart"/>
                  <w:vAlign w:val="center"/>
                </w:tcPr>
                <w:p>
                  <w:pPr>
                    <w:adjustRightInd w:val="0"/>
                    <w:snapToGrid w:val="0"/>
                    <w:jc w:val="center"/>
                    <w:rPr>
                      <w:color w:val="auto"/>
                      <w:szCs w:val="21"/>
                    </w:rPr>
                  </w:pPr>
                  <w:r>
                    <w:rPr>
                      <w:rFonts w:hint="eastAsia"/>
                      <w:color w:val="auto"/>
                      <w:szCs w:val="21"/>
                    </w:rPr>
                    <w:t>2类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color w:val="auto"/>
                      <w:szCs w:val="21"/>
                    </w:rPr>
                    <w:t>N</w:t>
                  </w:r>
                  <w:r>
                    <w:rPr>
                      <w:rFonts w:hint="eastAsia"/>
                      <w:color w:val="auto"/>
                      <w:szCs w:val="21"/>
                    </w:rPr>
                    <w:t>6</w:t>
                  </w:r>
                </w:p>
              </w:tc>
              <w:tc>
                <w:tcPr>
                  <w:tcW w:w="1539" w:type="dxa"/>
                  <w:vAlign w:val="center"/>
                </w:tcPr>
                <w:p>
                  <w:pPr>
                    <w:adjustRightInd w:val="0"/>
                    <w:snapToGrid w:val="0"/>
                    <w:jc w:val="center"/>
                    <w:rPr>
                      <w:rFonts w:hint="eastAsia"/>
                      <w:color w:val="auto"/>
                      <w:szCs w:val="21"/>
                    </w:rPr>
                  </w:pPr>
                  <w:r>
                    <w:rPr>
                      <w:rFonts w:hint="eastAsia"/>
                      <w:color w:val="auto"/>
                      <w:szCs w:val="21"/>
                    </w:rPr>
                    <w:t>公合村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东</w:t>
                  </w:r>
                  <w:r>
                    <w:rPr>
                      <w:color w:val="auto"/>
                      <w:szCs w:val="21"/>
                    </w:rPr>
                    <w:t>侧</w:t>
                  </w:r>
                  <w:r>
                    <w:rPr>
                      <w:rFonts w:hint="eastAsia"/>
                      <w:color w:val="auto"/>
                      <w:szCs w:val="21"/>
                    </w:rPr>
                    <w:t>5m处</w:t>
                  </w:r>
                </w:p>
              </w:tc>
              <w:tc>
                <w:tcPr>
                  <w:tcW w:w="2877" w:type="dxa"/>
                  <w:vMerge w:val="continue"/>
                  <w:vAlign w:val="center"/>
                </w:tcPr>
                <w:p>
                  <w:pPr>
                    <w:adjustRightInd w:val="0"/>
                    <w:snapToGrid w:val="0"/>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N7</w:t>
                  </w:r>
                </w:p>
              </w:tc>
              <w:tc>
                <w:tcPr>
                  <w:tcW w:w="1539" w:type="dxa"/>
                  <w:vAlign w:val="center"/>
                </w:tcPr>
                <w:p>
                  <w:pPr>
                    <w:adjustRightInd w:val="0"/>
                    <w:snapToGrid w:val="0"/>
                    <w:jc w:val="center"/>
                    <w:rPr>
                      <w:rFonts w:hint="eastAsia"/>
                      <w:color w:val="auto"/>
                      <w:szCs w:val="21"/>
                    </w:rPr>
                  </w:pPr>
                  <w:r>
                    <w:rPr>
                      <w:rFonts w:hint="eastAsia"/>
                      <w:color w:val="auto"/>
                      <w:szCs w:val="21"/>
                    </w:rPr>
                    <w:t>伍市镇</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东</w:t>
                  </w:r>
                  <w:r>
                    <w:rPr>
                      <w:color w:val="auto"/>
                      <w:szCs w:val="21"/>
                    </w:rPr>
                    <w:t>侧</w:t>
                  </w:r>
                  <w:r>
                    <w:rPr>
                      <w:rFonts w:hint="eastAsia"/>
                      <w:color w:val="auto"/>
                      <w:szCs w:val="21"/>
                    </w:rPr>
                    <w:t>5m处</w:t>
                  </w:r>
                </w:p>
              </w:tc>
              <w:tc>
                <w:tcPr>
                  <w:tcW w:w="2877" w:type="dxa"/>
                  <w:vAlign w:val="center"/>
                </w:tcPr>
                <w:p>
                  <w:pPr>
                    <w:adjustRightInd w:val="0"/>
                    <w:snapToGrid w:val="0"/>
                    <w:jc w:val="center"/>
                    <w:rPr>
                      <w:color w:val="auto"/>
                      <w:szCs w:val="21"/>
                    </w:rPr>
                  </w:pPr>
                  <w:r>
                    <w:rPr>
                      <w:rFonts w:hint="eastAsia"/>
                      <w:color w:val="auto"/>
                      <w:szCs w:val="21"/>
                    </w:rPr>
                    <w:t>4a类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N8</w:t>
                  </w:r>
                </w:p>
              </w:tc>
              <w:tc>
                <w:tcPr>
                  <w:tcW w:w="1539" w:type="dxa"/>
                  <w:vAlign w:val="center"/>
                </w:tcPr>
                <w:p>
                  <w:pPr>
                    <w:adjustRightInd w:val="0"/>
                    <w:snapToGrid w:val="0"/>
                    <w:jc w:val="center"/>
                    <w:rPr>
                      <w:rFonts w:hint="eastAsia"/>
                      <w:color w:val="auto"/>
                      <w:szCs w:val="21"/>
                    </w:rPr>
                  </w:pPr>
                  <w:r>
                    <w:rPr>
                      <w:rFonts w:hint="eastAsia"/>
                      <w:color w:val="auto"/>
                      <w:szCs w:val="21"/>
                    </w:rPr>
                    <w:t>栗山村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东</w:t>
                  </w:r>
                  <w:r>
                    <w:rPr>
                      <w:color w:val="auto"/>
                      <w:szCs w:val="21"/>
                    </w:rPr>
                    <w:t>侧</w:t>
                  </w:r>
                  <w:r>
                    <w:rPr>
                      <w:rFonts w:hint="eastAsia"/>
                      <w:color w:val="auto"/>
                      <w:szCs w:val="21"/>
                    </w:rPr>
                    <w:t>5m处</w:t>
                  </w:r>
                </w:p>
              </w:tc>
              <w:tc>
                <w:tcPr>
                  <w:tcW w:w="2877" w:type="dxa"/>
                  <w:vMerge w:val="restart"/>
                  <w:vAlign w:val="center"/>
                </w:tcPr>
                <w:p>
                  <w:pPr>
                    <w:adjustRightInd w:val="0"/>
                    <w:snapToGrid w:val="0"/>
                    <w:jc w:val="center"/>
                    <w:rPr>
                      <w:color w:val="auto"/>
                      <w:szCs w:val="21"/>
                    </w:rPr>
                  </w:pPr>
                  <w:r>
                    <w:rPr>
                      <w:rFonts w:hint="eastAsia"/>
                      <w:color w:val="auto"/>
                      <w:szCs w:val="21"/>
                    </w:rPr>
                    <w:t>2类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rFonts w:hint="eastAsia"/>
                      <w:color w:val="auto"/>
                      <w:szCs w:val="21"/>
                    </w:rPr>
                    <w:t>N9</w:t>
                  </w:r>
                </w:p>
              </w:tc>
              <w:tc>
                <w:tcPr>
                  <w:tcW w:w="1539" w:type="dxa"/>
                  <w:vAlign w:val="center"/>
                </w:tcPr>
                <w:p>
                  <w:pPr>
                    <w:adjustRightInd w:val="0"/>
                    <w:snapToGrid w:val="0"/>
                    <w:jc w:val="center"/>
                    <w:rPr>
                      <w:rFonts w:hint="eastAsia"/>
                      <w:color w:val="auto"/>
                      <w:szCs w:val="21"/>
                    </w:rPr>
                  </w:pPr>
                  <w:r>
                    <w:rPr>
                      <w:rFonts w:hint="eastAsia"/>
                      <w:color w:val="auto"/>
                      <w:szCs w:val="21"/>
                    </w:rPr>
                    <w:t>枫树段村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东</w:t>
                  </w:r>
                  <w:r>
                    <w:rPr>
                      <w:color w:val="auto"/>
                      <w:szCs w:val="21"/>
                    </w:rPr>
                    <w:t>侧</w:t>
                  </w:r>
                  <w:r>
                    <w:rPr>
                      <w:rFonts w:hint="eastAsia"/>
                      <w:color w:val="auto"/>
                      <w:szCs w:val="21"/>
                    </w:rPr>
                    <w:t>10m处</w:t>
                  </w:r>
                </w:p>
              </w:tc>
              <w:tc>
                <w:tcPr>
                  <w:tcW w:w="2877" w:type="dxa"/>
                  <w:vMerge w:val="continue"/>
                  <w:vAlign w:val="center"/>
                </w:tcPr>
                <w:p>
                  <w:pPr>
                    <w:adjustRightInd w:val="0"/>
                    <w:snapToGrid w:val="0"/>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84" w:type="dxa"/>
                  <w:vAlign w:val="center"/>
                </w:tcPr>
                <w:p>
                  <w:pPr>
                    <w:adjustRightInd w:val="0"/>
                    <w:snapToGrid w:val="0"/>
                    <w:jc w:val="center"/>
                    <w:rPr>
                      <w:rFonts w:hint="eastAsia"/>
                      <w:color w:val="auto"/>
                      <w:szCs w:val="21"/>
                    </w:rPr>
                  </w:pPr>
                  <w:r>
                    <w:rPr>
                      <w:color w:val="auto"/>
                      <w:szCs w:val="21"/>
                    </w:rPr>
                    <w:t>N</w:t>
                  </w:r>
                  <w:r>
                    <w:rPr>
                      <w:rFonts w:hint="eastAsia"/>
                      <w:color w:val="auto"/>
                      <w:szCs w:val="21"/>
                    </w:rPr>
                    <w:t>10</w:t>
                  </w:r>
                </w:p>
              </w:tc>
              <w:tc>
                <w:tcPr>
                  <w:tcW w:w="1539" w:type="dxa"/>
                  <w:vAlign w:val="center"/>
                </w:tcPr>
                <w:p>
                  <w:pPr>
                    <w:adjustRightInd w:val="0"/>
                    <w:snapToGrid w:val="0"/>
                    <w:jc w:val="center"/>
                    <w:rPr>
                      <w:rFonts w:hint="eastAsia"/>
                      <w:color w:val="auto"/>
                      <w:szCs w:val="21"/>
                    </w:rPr>
                  </w:pPr>
                  <w:r>
                    <w:rPr>
                      <w:rFonts w:hint="eastAsia"/>
                      <w:color w:val="auto"/>
                      <w:szCs w:val="21"/>
                    </w:rPr>
                    <w:t>向家村</w:t>
                  </w:r>
                </w:p>
              </w:tc>
              <w:tc>
                <w:tcPr>
                  <w:tcW w:w="3182" w:type="dxa"/>
                  <w:vAlign w:val="center"/>
                </w:tcPr>
                <w:p>
                  <w:pPr>
                    <w:adjustRightInd w:val="0"/>
                    <w:snapToGrid w:val="0"/>
                    <w:jc w:val="center"/>
                    <w:rPr>
                      <w:color w:val="auto"/>
                      <w:szCs w:val="21"/>
                    </w:rPr>
                  </w:pPr>
                  <w:r>
                    <w:rPr>
                      <w:color w:val="auto"/>
                      <w:szCs w:val="21"/>
                    </w:rPr>
                    <w:t>本项目管道</w:t>
                  </w:r>
                  <w:r>
                    <w:rPr>
                      <w:rFonts w:hint="eastAsia"/>
                      <w:color w:val="auto"/>
                      <w:szCs w:val="21"/>
                    </w:rPr>
                    <w:t>终</w:t>
                  </w:r>
                  <w:r>
                    <w:rPr>
                      <w:color w:val="auto"/>
                      <w:szCs w:val="21"/>
                    </w:rPr>
                    <w:t>点</w:t>
                  </w:r>
                </w:p>
              </w:tc>
              <w:tc>
                <w:tcPr>
                  <w:tcW w:w="2877" w:type="dxa"/>
                  <w:vMerge w:val="continue"/>
                  <w:vAlign w:val="center"/>
                </w:tcPr>
                <w:p>
                  <w:pPr>
                    <w:adjustRightInd w:val="0"/>
                    <w:snapToGrid w:val="0"/>
                    <w:jc w:val="center"/>
                    <w:rPr>
                      <w:rFonts w:hint="eastAsia"/>
                      <w:color w:val="auto"/>
                      <w:szCs w:val="21"/>
                    </w:rPr>
                  </w:pPr>
                </w:p>
              </w:tc>
            </w:tr>
          </w:tbl>
          <w:p>
            <w:pPr>
              <w:adjustRightInd w:val="0"/>
              <w:spacing w:line="360" w:lineRule="auto"/>
              <w:ind w:firstLine="480" w:firstLineChars="200"/>
              <w:rPr>
                <w:rFonts w:hint="eastAsia"/>
                <w:color w:val="auto"/>
                <w:sz w:val="24"/>
              </w:rPr>
            </w:pPr>
            <w:r>
              <w:rPr>
                <w:rFonts w:hint="eastAsia"/>
                <w:color w:val="auto"/>
                <w:sz w:val="24"/>
              </w:rPr>
              <w:t>（2）监测因子</w:t>
            </w:r>
          </w:p>
          <w:p>
            <w:pPr>
              <w:adjustRightInd w:val="0"/>
              <w:spacing w:line="360" w:lineRule="auto"/>
              <w:ind w:firstLine="480" w:firstLineChars="200"/>
              <w:rPr>
                <w:rFonts w:hint="eastAsia"/>
                <w:color w:val="auto"/>
                <w:sz w:val="24"/>
              </w:rPr>
            </w:pPr>
            <w:r>
              <w:rPr>
                <w:rFonts w:hAnsi="宋体"/>
                <w:color w:val="auto"/>
                <w:kern w:val="0"/>
                <w:sz w:val="24"/>
                <w:szCs w:val="20"/>
                <w:lang w:bidi="en-US"/>
              </w:rPr>
              <w:t>各监测点的昼、夜等效连续A声级Leq。</w:t>
            </w:r>
          </w:p>
          <w:p>
            <w:pPr>
              <w:adjustRightInd w:val="0"/>
              <w:spacing w:line="360" w:lineRule="auto"/>
              <w:ind w:firstLine="480" w:firstLineChars="200"/>
              <w:rPr>
                <w:rFonts w:hint="eastAsia"/>
                <w:color w:val="auto"/>
                <w:sz w:val="24"/>
              </w:rPr>
            </w:pPr>
            <w:r>
              <w:rPr>
                <w:rFonts w:hint="eastAsia"/>
                <w:color w:val="auto"/>
                <w:sz w:val="24"/>
              </w:rPr>
              <w:t>（3）监测时间与频</w:t>
            </w:r>
            <w:r>
              <w:rPr>
                <w:rFonts w:hint="eastAsia"/>
                <w:color w:val="auto"/>
                <w:sz w:val="24"/>
                <w:lang w:bidi="en-US"/>
              </w:rPr>
              <w:t>率</w:t>
            </w:r>
          </w:p>
          <w:p>
            <w:pPr>
              <w:adjustRightInd w:val="0"/>
              <w:spacing w:line="360" w:lineRule="auto"/>
              <w:ind w:firstLine="480" w:firstLineChars="200"/>
              <w:rPr>
                <w:rFonts w:hint="eastAsia"/>
                <w:color w:val="auto"/>
                <w:sz w:val="24"/>
              </w:rPr>
            </w:pPr>
            <w:r>
              <w:rPr>
                <w:rFonts w:hint="eastAsia" w:hAnsi="宋体"/>
                <w:color w:val="auto"/>
                <w:kern w:val="0"/>
                <w:sz w:val="24"/>
                <w:szCs w:val="20"/>
                <w:lang w:bidi="en-US"/>
              </w:rPr>
              <w:t>长沙崇德检测科技有限公司于2016年7月7日~7月8日</w:t>
            </w:r>
            <w:r>
              <w:rPr>
                <w:rFonts w:hAnsi="宋体"/>
                <w:color w:val="auto"/>
                <w:kern w:val="0"/>
                <w:sz w:val="24"/>
                <w:szCs w:val="20"/>
                <w:lang w:bidi="en-US"/>
              </w:rPr>
              <w:t>连续</w:t>
            </w:r>
            <w:r>
              <w:rPr>
                <w:rFonts w:hint="eastAsia" w:hAnsi="宋体"/>
                <w:color w:val="auto"/>
                <w:kern w:val="0"/>
                <w:sz w:val="24"/>
                <w:szCs w:val="20"/>
                <w:lang w:bidi="en-US"/>
              </w:rPr>
              <w:t>两天对上述点位进行了监测，</w:t>
            </w:r>
            <w:r>
              <w:rPr>
                <w:rFonts w:hAnsi="宋体"/>
                <w:color w:val="auto"/>
                <w:kern w:val="0"/>
                <w:sz w:val="24"/>
                <w:szCs w:val="20"/>
                <w:lang w:bidi="en-US"/>
              </w:rPr>
              <w:t>昼间、夜间各监测一次。</w:t>
            </w:r>
          </w:p>
          <w:p>
            <w:pPr>
              <w:adjustRightInd w:val="0"/>
              <w:spacing w:line="360" w:lineRule="auto"/>
              <w:ind w:firstLine="480" w:firstLineChars="200"/>
              <w:rPr>
                <w:rFonts w:hint="eastAsia"/>
                <w:color w:val="auto"/>
                <w:sz w:val="24"/>
              </w:rPr>
            </w:pPr>
            <w:r>
              <w:rPr>
                <w:rFonts w:hint="eastAsia"/>
                <w:color w:val="auto"/>
                <w:sz w:val="24"/>
              </w:rPr>
              <w:t>（4）评价方法</w:t>
            </w:r>
          </w:p>
          <w:p>
            <w:pPr>
              <w:adjustRightInd w:val="0"/>
              <w:spacing w:line="360" w:lineRule="auto"/>
              <w:ind w:firstLine="480" w:firstLineChars="200"/>
              <w:rPr>
                <w:rFonts w:hint="eastAsia"/>
                <w:color w:val="auto"/>
                <w:sz w:val="24"/>
              </w:rPr>
            </w:pPr>
            <w:r>
              <w:rPr>
                <w:rFonts w:hAnsi="宋体"/>
                <w:color w:val="auto"/>
                <w:kern w:val="0"/>
                <w:sz w:val="24"/>
                <w:szCs w:val="20"/>
                <w:lang w:bidi="en-US"/>
              </w:rPr>
              <w:t>采用对照声环境质量标准的方法，分析各监测点的噪声值达标情况。</w:t>
            </w:r>
          </w:p>
          <w:p>
            <w:pPr>
              <w:adjustRightInd w:val="0"/>
              <w:spacing w:line="360" w:lineRule="auto"/>
              <w:ind w:firstLine="480" w:firstLineChars="200"/>
              <w:rPr>
                <w:rFonts w:hint="eastAsia"/>
                <w:color w:val="auto"/>
                <w:sz w:val="24"/>
              </w:rPr>
            </w:pPr>
            <w:r>
              <w:rPr>
                <w:rFonts w:hint="eastAsia"/>
                <w:color w:val="auto"/>
                <w:sz w:val="24"/>
              </w:rPr>
              <w:t>（5）监测结果及评价</w:t>
            </w:r>
          </w:p>
          <w:p>
            <w:pPr>
              <w:adjustRightInd w:val="0"/>
              <w:spacing w:line="360" w:lineRule="auto"/>
              <w:ind w:firstLine="480" w:firstLineChars="200"/>
              <w:rPr>
                <w:rFonts w:hint="eastAsia"/>
                <w:color w:val="auto"/>
                <w:sz w:val="24"/>
              </w:rPr>
            </w:pPr>
            <w:r>
              <w:rPr>
                <w:color w:val="auto"/>
                <w:sz w:val="24"/>
              </w:rPr>
              <w:t>监测结果见表</w:t>
            </w:r>
            <w:r>
              <w:rPr>
                <w:rFonts w:hint="eastAsia"/>
                <w:color w:val="auto"/>
                <w:sz w:val="24"/>
                <w:lang w:val="en-US" w:eastAsia="zh-CN"/>
              </w:rPr>
              <w:t>19</w:t>
            </w:r>
            <w:r>
              <w:rPr>
                <w:color w:val="auto"/>
                <w:sz w:val="24"/>
              </w:rPr>
              <w:t>。</w:t>
            </w:r>
          </w:p>
          <w:p>
            <w:pPr>
              <w:pStyle w:val="16"/>
              <w:adjustRightInd/>
              <w:snapToGrid/>
              <w:jc w:val="center"/>
              <w:rPr>
                <w:rFonts w:hint="eastAsia"/>
                <w:color w:val="auto"/>
                <w:sz w:val="21"/>
                <w:szCs w:val="21"/>
              </w:rPr>
            </w:pPr>
            <w:r>
              <w:rPr>
                <w:rFonts w:hint="eastAsia"/>
                <w:color w:val="auto"/>
                <w:sz w:val="21"/>
                <w:szCs w:val="21"/>
              </w:rPr>
              <w:t>表</w:t>
            </w:r>
            <w:r>
              <w:rPr>
                <w:rFonts w:hint="eastAsia"/>
                <w:color w:val="auto"/>
                <w:sz w:val="21"/>
                <w:szCs w:val="21"/>
                <w:lang w:val="en-US" w:eastAsia="zh-CN"/>
              </w:rPr>
              <w:t>19</w:t>
            </w:r>
            <w:r>
              <w:rPr>
                <w:rFonts w:hint="eastAsia"/>
                <w:color w:val="auto"/>
                <w:sz w:val="21"/>
                <w:szCs w:val="21"/>
              </w:rPr>
              <w:t xml:space="preserve"> 评价区域声环境质量现状监测结果表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7"/>
              <w:gridCol w:w="735"/>
              <w:gridCol w:w="739"/>
              <w:gridCol w:w="739"/>
              <w:gridCol w:w="739"/>
              <w:gridCol w:w="739"/>
              <w:gridCol w:w="737"/>
              <w:gridCol w:w="739"/>
              <w:gridCol w:w="739"/>
              <w:gridCol w:w="739"/>
              <w:gridCol w:w="7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vMerge w:val="restart"/>
                  <w:tcMar>
                    <w:left w:w="17" w:type="dxa"/>
                    <w:right w:w="17" w:type="dxa"/>
                  </w:tcMar>
                  <w:vAlign w:val="center"/>
                </w:tcPr>
                <w:p>
                  <w:pPr>
                    <w:adjustRightInd w:val="0"/>
                    <w:jc w:val="center"/>
                    <w:rPr>
                      <w:color w:val="auto"/>
                      <w:szCs w:val="21"/>
                    </w:rPr>
                  </w:pPr>
                  <w:r>
                    <w:rPr>
                      <w:rFonts w:hint="eastAsia"/>
                      <w:color w:val="auto"/>
                      <w:szCs w:val="21"/>
                    </w:rPr>
                    <w:t>项目</w:t>
                  </w:r>
                </w:p>
              </w:tc>
              <w:tc>
                <w:tcPr>
                  <w:tcW w:w="2952" w:type="dxa"/>
                  <w:gridSpan w:val="4"/>
                  <w:tcMar>
                    <w:left w:w="17" w:type="dxa"/>
                    <w:right w:w="17" w:type="dxa"/>
                  </w:tcMar>
                  <w:vAlign w:val="center"/>
                </w:tcPr>
                <w:p>
                  <w:pPr>
                    <w:adjustRightInd w:val="0"/>
                    <w:jc w:val="center"/>
                    <w:rPr>
                      <w:color w:val="auto"/>
                      <w:szCs w:val="21"/>
                    </w:rPr>
                  </w:pPr>
                  <w:r>
                    <w:rPr>
                      <w:color w:val="auto"/>
                      <w:szCs w:val="21"/>
                    </w:rPr>
                    <w:t>监测结果</w:t>
                  </w:r>
                  <w:r>
                    <w:rPr>
                      <w:rFonts w:hint="eastAsia"/>
                      <w:color w:val="auto"/>
                      <w:szCs w:val="21"/>
                    </w:rPr>
                    <w:t>[单位：dB(A)]</w:t>
                  </w:r>
                </w:p>
              </w:tc>
              <w:tc>
                <w:tcPr>
                  <w:tcW w:w="1476" w:type="dxa"/>
                  <w:gridSpan w:val="2"/>
                  <w:vMerge w:val="restart"/>
                  <w:tcBorders>
                    <w:right w:val="single" w:color="auto" w:sz="4" w:space="0"/>
                  </w:tcBorders>
                  <w:tcMar>
                    <w:left w:w="17" w:type="dxa"/>
                    <w:right w:w="17" w:type="dxa"/>
                  </w:tcMar>
                  <w:vAlign w:val="center"/>
                </w:tcPr>
                <w:p>
                  <w:pPr>
                    <w:adjustRightInd w:val="0"/>
                    <w:jc w:val="center"/>
                    <w:rPr>
                      <w:rFonts w:hint="eastAsia"/>
                      <w:color w:val="auto"/>
                      <w:szCs w:val="21"/>
                    </w:rPr>
                  </w:pPr>
                  <w:r>
                    <w:rPr>
                      <w:rFonts w:hint="eastAsia"/>
                      <w:color w:val="auto"/>
                      <w:szCs w:val="21"/>
                    </w:rPr>
                    <w:t>评价标准</w:t>
                  </w:r>
                </w:p>
                <w:p>
                  <w:pPr>
                    <w:adjustRightInd w:val="0"/>
                    <w:jc w:val="center"/>
                    <w:rPr>
                      <w:color w:val="auto"/>
                      <w:szCs w:val="21"/>
                    </w:rPr>
                  </w:pPr>
                  <w:r>
                    <w:rPr>
                      <w:rFonts w:hint="eastAsia"/>
                      <w:color w:val="auto"/>
                      <w:szCs w:val="21"/>
                    </w:rPr>
                    <w:t>[单位：dB(A)]</w:t>
                  </w:r>
                </w:p>
              </w:tc>
              <w:tc>
                <w:tcPr>
                  <w:tcW w:w="2957" w:type="dxa"/>
                  <w:gridSpan w:val="4"/>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vMerge w:val="continue"/>
                  <w:tcMar>
                    <w:left w:w="17" w:type="dxa"/>
                    <w:right w:w="17" w:type="dxa"/>
                  </w:tcMar>
                  <w:vAlign w:val="center"/>
                </w:tcPr>
                <w:p>
                  <w:pPr>
                    <w:adjustRightInd w:val="0"/>
                    <w:jc w:val="center"/>
                    <w:rPr>
                      <w:color w:val="auto"/>
                      <w:szCs w:val="21"/>
                    </w:rPr>
                  </w:pPr>
                </w:p>
              </w:tc>
              <w:tc>
                <w:tcPr>
                  <w:tcW w:w="1474" w:type="dxa"/>
                  <w:gridSpan w:val="2"/>
                  <w:tcMar>
                    <w:left w:w="17" w:type="dxa"/>
                    <w:right w:w="17" w:type="dxa"/>
                  </w:tcMar>
                  <w:vAlign w:val="center"/>
                </w:tcPr>
                <w:p>
                  <w:pPr>
                    <w:adjustRightInd w:val="0"/>
                    <w:jc w:val="center"/>
                    <w:rPr>
                      <w:rFonts w:hint="eastAsia"/>
                      <w:color w:val="auto"/>
                      <w:szCs w:val="21"/>
                    </w:rPr>
                  </w:pPr>
                  <w:r>
                    <w:rPr>
                      <w:rFonts w:hint="eastAsia"/>
                      <w:color w:val="auto"/>
                      <w:szCs w:val="21"/>
                    </w:rPr>
                    <w:t>7月7日</w:t>
                  </w:r>
                </w:p>
              </w:tc>
              <w:tc>
                <w:tcPr>
                  <w:tcW w:w="1478" w:type="dxa"/>
                  <w:gridSpan w:val="2"/>
                  <w:tcMar>
                    <w:left w:w="17" w:type="dxa"/>
                    <w:right w:w="17" w:type="dxa"/>
                  </w:tcMar>
                  <w:vAlign w:val="center"/>
                </w:tcPr>
                <w:p>
                  <w:pPr>
                    <w:adjustRightInd w:val="0"/>
                    <w:jc w:val="center"/>
                    <w:rPr>
                      <w:color w:val="auto"/>
                      <w:szCs w:val="21"/>
                    </w:rPr>
                  </w:pPr>
                  <w:r>
                    <w:rPr>
                      <w:rFonts w:hint="eastAsia"/>
                      <w:color w:val="auto"/>
                      <w:szCs w:val="21"/>
                    </w:rPr>
                    <w:t>7月8日</w:t>
                  </w:r>
                </w:p>
              </w:tc>
              <w:tc>
                <w:tcPr>
                  <w:tcW w:w="1476" w:type="dxa"/>
                  <w:gridSpan w:val="2"/>
                  <w:vMerge w:val="continue"/>
                  <w:tcBorders>
                    <w:right w:val="single" w:color="auto" w:sz="4" w:space="0"/>
                  </w:tcBorders>
                  <w:tcMar>
                    <w:left w:w="17" w:type="dxa"/>
                    <w:right w:w="17" w:type="dxa"/>
                  </w:tcMar>
                  <w:vAlign w:val="center"/>
                </w:tcPr>
                <w:p>
                  <w:pPr>
                    <w:adjustRightInd w:val="0"/>
                    <w:jc w:val="center"/>
                    <w:rPr>
                      <w:color w:val="auto"/>
                      <w:szCs w:val="21"/>
                    </w:rPr>
                  </w:pPr>
                </w:p>
              </w:tc>
              <w:tc>
                <w:tcPr>
                  <w:tcW w:w="1478" w:type="dxa"/>
                  <w:gridSpan w:val="2"/>
                  <w:tcBorders>
                    <w:left w:val="single" w:color="auto" w:sz="4" w:space="0"/>
                    <w:right w:val="single" w:color="auto" w:sz="4" w:space="0"/>
                  </w:tcBorders>
                  <w:tcMar>
                    <w:left w:w="17" w:type="dxa"/>
                    <w:right w:w="17" w:type="dxa"/>
                  </w:tcMar>
                  <w:vAlign w:val="center"/>
                </w:tcPr>
                <w:p>
                  <w:pPr>
                    <w:adjustRightInd w:val="0"/>
                    <w:jc w:val="center"/>
                    <w:rPr>
                      <w:rFonts w:hint="eastAsia"/>
                      <w:color w:val="auto"/>
                      <w:szCs w:val="21"/>
                    </w:rPr>
                  </w:pPr>
                  <w:r>
                    <w:rPr>
                      <w:rFonts w:hint="eastAsia"/>
                      <w:color w:val="auto"/>
                      <w:szCs w:val="21"/>
                    </w:rPr>
                    <w:t>7月7日</w:t>
                  </w:r>
                </w:p>
              </w:tc>
              <w:tc>
                <w:tcPr>
                  <w:tcW w:w="1479" w:type="dxa"/>
                  <w:gridSpan w:val="2"/>
                  <w:tcBorders>
                    <w:left w:val="single" w:color="auto" w:sz="4" w:space="0"/>
                  </w:tcBorders>
                  <w:tcMar>
                    <w:left w:w="17" w:type="dxa"/>
                    <w:right w:w="17" w:type="dxa"/>
                  </w:tcMar>
                  <w:vAlign w:val="center"/>
                </w:tcPr>
                <w:p>
                  <w:pPr>
                    <w:adjustRightInd w:val="0"/>
                    <w:jc w:val="center"/>
                    <w:rPr>
                      <w:color w:val="auto"/>
                      <w:szCs w:val="21"/>
                    </w:rPr>
                  </w:pPr>
                  <w:r>
                    <w:rPr>
                      <w:rFonts w:hint="eastAsia"/>
                      <w:color w:val="auto"/>
                      <w:szCs w:val="21"/>
                    </w:rPr>
                    <w:t>7月8日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vMerge w:val="continue"/>
                  <w:tcMar>
                    <w:left w:w="17" w:type="dxa"/>
                    <w:right w:w="17" w:type="dxa"/>
                  </w:tcMar>
                  <w:vAlign w:val="center"/>
                </w:tcPr>
                <w:p>
                  <w:pPr>
                    <w:adjustRightInd w:val="0"/>
                    <w:jc w:val="center"/>
                    <w:rPr>
                      <w:color w:val="auto"/>
                      <w:szCs w:val="21"/>
                    </w:rPr>
                  </w:pPr>
                </w:p>
              </w:tc>
              <w:tc>
                <w:tcPr>
                  <w:tcW w:w="735" w:type="dxa"/>
                  <w:tcMar>
                    <w:left w:w="17" w:type="dxa"/>
                    <w:right w:w="17" w:type="dxa"/>
                  </w:tcMar>
                  <w:vAlign w:val="center"/>
                </w:tcPr>
                <w:p>
                  <w:pPr>
                    <w:adjustRightInd w:val="0"/>
                    <w:jc w:val="center"/>
                    <w:rPr>
                      <w:color w:val="auto"/>
                      <w:szCs w:val="21"/>
                    </w:rPr>
                  </w:pPr>
                  <w:r>
                    <w:rPr>
                      <w:color w:val="auto"/>
                      <w:szCs w:val="21"/>
                    </w:rPr>
                    <w:t>昼间</w:t>
                  </w:r>
                </w:p>
              </w:tc>
              <w:tc>
                <w:tcPr>
                  <w:tcW w:w="739" w:type="dxa"/>
                  <w:tcMar>
                    <w:left w:w="17" w:type="dxa"/>
                    <w:right w:w="17" w:type="dxa"/>
                  </w:tcMar>
                  <w:vAlign w:val="center"/>
                </w:tcPr>
                <w:p>
                  <w:pPr>
                    <w:adjustRightInd w:val="0"/>
                    <w:jc w:val="center"/>
                    <w:rPr>
                      <w:color w:val="auto"/>
                      <w:szCs w:val="21"/>
                    </w:rPr>
                  </w:pPr>
                  <w:r>
                    <w:rPr>
                      <w:color w:val="auto"/>
                      <w:szCs w:val="21"/>
                    </w:rPr>
                    <w:t>夜间</w:t>
                  </w:r>
                </w:p>
              </w:tc>
              <w:tc>
                <w:tcPr>
                  <w:tcW w:w="739" w:type="dxa"/>
                  <w:tcMar>
                    <w:left w:w="17" w:type="dxa"/>
                    <w:right w:w="17" w:type="dxa"/>
                  </w:tcMar>
                  <w:vAlign w:val="center"/>
                </w:tcPr>
                <w:p>
                  <w:pPr>
                    <w:adjustRightInd w:val="0"/>
                    <w:jc w:val="center"/>
                    <w:rPr>
                      <w:color w:val="auto"/>
                      <w:szCs w:val="21"/>
                    </w:rPr>
                  </w:pPr>
                  <w:r>
                    <w:rPr>
                      <w:color w:val="auto"/>
                      <w:szCs w:val="21"/>
                    </w:rPr>
                    <w:t>昼间</w:t>
                  </w:r>
                </w:p>
              </w:tc>
              <w:tc>
                <w:tcPr>
                  <w:tcW w:w="739" w:type="dxa"/>
                  <w:tcMar>
                    <w:left w:w="17" w:type="dxa"/>
                    <w:right w:w="17" w:type="dxa"/>
                  </w:tcMar>
                  <w:vAlign w:val="center"/>
                </w:tcPr>
                <w:p>
                  <w:pPr>
                    <w:adjustRightInd w:val="0"/>
                    <w:jc w:val="center"/>
                    <w:rPr>
                      <w:color w:val="auto"/>
                      <w:szCs w:val="21"/>
                    </w:rPr>
                  </w:pPr>
                  <w:r>
                    <w:rPr>
                      <w:color w:val="auto"/>
                      <w:szCs w:val="21"/>
                    </w:rPr>
                    <w:t>夜间</w:t>
                  </w:r>
                </w:p>
              </w:tc>
              <w:tc>
                <w:tcPr>
                  <w:tcW w:w="739" w:type="dxa"/>
                  <w:tcMar>
                    <w:left w:w="17" w:type="dxa"/>
                    <w:right w:w="17" w:type="dxa"/>
                  </w:tcMar>
                  <w:vAlign w:val="center"/>
                </w:tcPr>
                <w:p>
                  <w:pPr>
                    <w:adjustRightInd w:val="0"/>
                    <w:jc w:val="center"/>
                    <w:rPr>
                      <w:color w:val="auto"/>
                      <w:szCs w:val="21"/>
                    </w:rPr>
                  </w:pPr>
                  <w:r>
                    <w:rPr>
                      <w:color w:val="auto"/>
                      <w:szCs w:val="21"/>
                    </w:rPr>
                    <w:t>昼间</w:t>
                  </w:r>
                </w:p>
              </w:tc>
              <w:tc>
                <w:tcPr>
                  <w:tcW w:w="737" w:type="dxa"/>
                  <w:tcBorders>
                    <w:right w:val="single" w:color="auto" w:sz="4" w:space="0"/>
                  </w:tcBorders>
                  <w:tcMar>
                    <w:left w:w="17" w:type="dxa"/>
                    <w:right w:w="17" w:type="dxa"/>
                  </w:tcMar>
                  <w:vAlign w:val="center"/>
                </w:tcPr>
                <w:p>
                  <w:pPr>
                    <w:adjustRightInd w:val="0"/>
                    <w:jc w:val="center"/>
                    <w:rPr>
                      <w:color w:val="auto"/>
                      <w:szCs w:val="21"/>
                    </w:rPr>
                  </w:pPr>
                  <w:r>
                    <w:rPr>
                      <w:color w:val="auto"/>
                      <w:szCs w:val="21"/>
                    </w:rPr>
                    <w:t>夜间</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昼间</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夜间</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昼间</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夜间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color w:val="auto"/>
                      <w:szCs w:val="21"/>
                    </w:rPr>
                  </w:pPr>
                  <w:r>
                    <w:rPr>
                      <w:color w:val="auto"/>
                      <w:szCs w:val="21"/>
                    </w:rPr>
                    <w:t>N1</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61.1</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50.5</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60.2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48.3</w:t>
                  </w:r>
                </w:p>
              </w:tc>
              <w:tc>
                <w:tcPr>
                  <w:tcW w:w="739" w:type="dxa"/>
                  <w:tcMar>
                    <w:left w:w="17" w:type="dxa"/>
                    <w:right w:w="17" w:type="dxa"/>
                  </w:tcMar>
                  <w:vAlign w:val="center"/>
                </w:tcPr>
                <w:p>
                  <w:pPr>
                    <w:jc w:val="center"/>
                    <w:rPr>
                      <w:color w:val="auto"/>
                      <w:szCs w:val="21"/>
                    </w:rPr>
                  </w:pPr>
                  <w:r>
                    <w:rPr>
                      <w:rFonts w:hint="eastAsia"/>
                      <w:color w:val="auto"/>
                      <w:szCs w:val="21"/>
                    </w:rPr>
                    <w:t>70</w:t>
                  </w:r>
                </w:p>
              </w:tc>
              <w:tc>
                <w:tcPr>
                  <w:tcW w:w="737" w:type="dxa"/>
                  <w:tcBorders>
                    <w:right w:val="single" w:color="auto" w:sz="4" w:space="0"/>
                  </w:tcBorders>
                  <w:tcMar>
                    <w:left w:w="17" w:type="dxa"/>
                    <w:right w:w="17" w:type="dxa"/>
                  </w:tcMar>
                  <w:vAlign w:val="center"/>
                </w:tcPr>
                <w:p>
                  <w:pPr>
                    <w:jc w:val="center"/>
                    <w:rPr>
                      <w:color w:val="auto"/>
                      <w:szCs w:val="21"/>
                    </w:rPr>
                  </w:pPr>
                  <w:r>
                    <w:rPr>
                      <w:rFonts w:hint="eastAsia"/>
                      <w:color w:val="auto"/>
                      <w:szCs w:val="21"/>
                    </w:rPr>
                    <w:t>55</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N2</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56.3</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48.2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58.3</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47.8</w:t>
                  </w:r>
                </w:p>
              </w:tc>
              <w:tc>
                <w:tcPr>
                  <w:tcW w:w="739" w:type="dxa"/>
                  <w:tcMar>
                    <w:left w:w="17" w:type="dxa"/>
                    <w:right w:w="17" w:type="dxa"/>
                  </w:tcMar>
                  <w:vAlign w:val="center"/>
                </w:tcPr>
                <w:p>
                  <w:pPr>
                    <w:jc w:val="center"/>
                    <w:rPr>
                      <w:color w:val="auto"/>
                      <w:szCs w:val="21"/>
                    </w:rPr>
                  </w:pPr>
                  <w:r>
                    <w:rPr>
                      <w:rFonts w:hint="eastAsia"/>
                      <w:color w:val="auto"/>
                      <w:szCs w:val="21"/>
                    </w:rPr>
                    <w:t>60</w:t>
                  </w:r>
                </w:p>
              </w:tc>
              <w:tc>
                <w:tcPr>
                  <w:tcW w:w="737" w:type="dxa"/>
                  <w:tcBorders>
                    <w:right w:val="single" w:color="auto" w:sz="4" w:space="0"/>
                  </w:tcBorders>
                  <w:tcMar>
                    <w:left w:w="17" w:type="dxa"/>
                    <w:right w:w="17" w:type="dxa"/>
                  </w:tcMar>
                  <w:vAlign w:val="center"/>
                </w:tcPr>
                <w:p>
                  <w:pPr>
                    <w:jc w:val="center"/>
                    <w:rPr>
                      <w:color w:val="auto"/>
                      <w:szCs w:val="21"/>
                    </w:rPr>
                  </w:pPr>
                  <w:r>
                    <w:rPr>
                      <w:rFonts w:hint="eastAsia"/>
                      <w:color w:val="auto"/>
                      <w:szCs w:val="21"/>
                    </w:rPr>
                    <w:t>50</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N3</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62.6</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47.7</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59.9</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46.2</w:t>
                  </w:r>
                </w:p>
              </w:tc>
              <w:tc>
                <w:tcPr>
                  <w:tcW w:w="739" w:type="dxa"/>
                  <w:vMerge w:val="restart"/>
                  <w:tcMar>
                    <w:left w:w="17" w:type="dxa"/>
                    <w:right w:w="17" w:type="dxa"/>
                  </w:tcMar>
                  <w:vAlign w:val="center"/>
                </w:tcPr>
                <w:p>
                  <w:pPr>
                    <w:jc w:val="center"/>
                    <w:rPr>
                      <w:color w:val="auto"/>
                      <w:szCs w:val="21"/>
                    </w:rPr>
                  </w:pPr>
                  <w:r>
                    <w:rPr>
                      <w:rFonts w:hint="eastAsia"/>
                      <w:color w:val="auto"/>
                      <w:szCs w:val="21"/>
                    </w:rPr>
                    <w:t>70</w:t>
                  </w:r>
                </w:p>
              </w:tc>
              <w:tc>
                <w:tcPr>
                  <w:tcW w:w="737" w:type="dxa"/>
                  <w:vMerge w:val="restart"/>
                  <w:tcBorders>
                    <w:right w:val="single" w:color="auto" w:sz="4" w:space="0"/>
                  </w:tcBorders>
                  <w:tcMar>
                    <w:left w:w="17" w:type="dxa"/>
                    <w:right w:w="17" w:type="dxa"/>
                  </w:tcMar>
                  <w:vAlign w:val="center"/>
                </w:tcPr>
                <w:p>
                  <w:pPr>
                    <w:jc w:val="center"/>
                    <w:rPr>
                      <w:color w:val="auto"/>
                      <w:szCs w:val="21"/>
                    </w:rPr>
                  </w:pPr>
                  <w:r>
                    <w:rPr>
                      <w:rFonts w:hint="eastAsia"/>
                      <w:color w:val="auto"/>
                      <w:szCs w:val="21"/>
                    </w:rPr>
                    <w:t>55</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N4</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57.5</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46.4</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55.5</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46.2</w:t>
                  </w:r>
                </w:p>
              </w:tc>
              <w:tc>
                <w:tcPr>
                  <w:tcW w:w="739" w:type="dxa"/>
                  <w:vMerge w:val="continue"/>
                  <w:tcMar>
                    <w:left w:w="17" w:type="dxa"/>
                    <w:right w:w="17" w:type="dxa"/>
                  </w:tcMar>
                  <w:vAlign w:val="center"/>
                </w:tcPr>
                <w:p>
                  <w:pPr>
                    <w:jc w:val="center"/>
                    <w:rPr>
                      <w:color w:val="auto"/>
                      <w:szCs w:val="21"/>
                    </w:rPr>
                  </w:pPr>
                </w:p>
              </w:tc>
              <w:tc>
                <w:tcPr>
                  <w:tcW w:w="737" w:type="dxa"/>
                  <w:vMerge w:val="continue"/>
                  <w:tcBorders>
                    <w:right w:val="single" w:color="auto" w:sz="4" w:space="0"/>
                  </w:tcBorders>
                  <w:tcMar>
                    <w:left w:w="17" w:type="dxa"/>
                    <w:right w:w="17" w:type="dxa"/>
                  </w:tcMar>
                  <w:vAlign w:val="center"/>
                </w:tcPr>
                <w:p>
                  <w:pPr>
                    <w:jc w:val="center"/>
                    <w:rPr>
                      <w:color w:val="auto"/>
                      <w:szCs w:val="21"/>
                    </w:rPr>
                  </w:pP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color w:val="auto"/>
                      <w:szCs w:val="21"/>
                    </w:rPr>
                    <w:t>N</w:t>
                  </w:r>
                  <w:r>
                    <w:rPr>
                      <w:rFonts w:hint="eastAsia"/>
                      <w:color w:val="auto"/>
                      <w:szCs w:val="21"/>
                    </w:rPr>
                    <w:t>5</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52.8</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44.7</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51.3</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43.4</w:t>
                  </w:r>
                </w:p>
              </w:tc>
              <w:tc>
                <w:tcPr>
                  <w:tcW w:w="739" w:type="dxa"/>
                  <w:vMerge w:val="restart"/>
                  <w:tcMar>
                    <w:left w:w="17" w:type="dxa"/>
                    <w:right w:w="17" w:type="dxa"/>
                  </w:tcMar>
                  <w:vAlign w:val="center"/>
                </w:tcPr>
                <w:p>
                  <w:pPr>
                    <w:jc w:val="center"/>
                    <w:rPr>
                      <w:color w:val="auto"/>
                      <w:szCs w:val="21"/>
                    </w:rPr>
                  </w:pPr>
                  <w:r>
                    <w:rPr>
                      <w:rFonts w:hint="eastAsia"/>
                      <w:color w:val="auto"/>
                      <w:szCs w:val="21"/>
                    </w:rPr>
                    <w:t>60</w:t>
                  </w:r>
                </w:p>
              </w:tc>
              <w:tc>
                <w:tcPr>
                  <w:tcW w:w="737" w:type="dxa"/>
                  <w:vMerge w:val="restart"/>
                  <w:tcBorders>
                    <w:right w:val="single" w:color="auto" w:sz="4" w:space="0"/>
                  </w:tcBorders>
                  <w:tcMar>
                    <w:left w:w="17" w:type="dxa"/>
                    <w:right w:w="17" w:type="dxa"/>
                  </w:tcMar>
                  <w:vAlign w:val="center"/>
                </w:tcPr>
                <w:p>
                  <w:pPr>
                    <w:jc w:val="center"/>
                    <w:rPr>
                      <w:color w:val="auto"/>
                      <w:szCs w:val="21"/>
                    </w:rPr>
                  </w:pPr>
                  <w:r>
                    <w:rPr>
                      <w:rFonts w:hint="eastAsia"/>
                      <w:color w:val="auto"/>
                      <w:szCs w:val="21"/>
                    </w:rPr>
                    <w:t>50</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color w:val="auto"/>
                      <w:szCs w:val="21"/>
                    </w:rPr>
                    <w:t>N</w:t>
                  </w:r>
                  <w:r>
                    <w:rPr>
                      <w:rFonts w:hint="eastAsia"/>
                      <w:color w:val="auto"/>
                      <w:szCs w:val="21"/>
                    </w:rPr>
                    <w:t>6</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51.2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43.9</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51.4</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45.7</w:t>
                  </w:r>
                </w:p>
              </w:tc>
              <w:tc>
                <w:tcPr>
                  <w:tcW w:w="739" w:type="dxa"/>
                  <w:vMerge w:val="continue"/>
                  <w:tcMar>
                    <w:left w:w="17" w:type="dxa"/>
                    <w:right w:w="17" w:type="dxa"/>
                  </w:tcMar>
                  <w:vAlign w:val="center"/>
                </w:tcPr>
                <w:p>
                  <w:pPr>
                    <w:adjustRightInd w:val="0"/>
                    <w:jc w:val="center"/>
                    <w:rPr>
                      <w:color w:val="auto"/>
                      <w:szCs w:val="21"/>
                    </w:rPr>
                  </w:pPr>
                </w:p>
              </w:tc>
              <w:tc>
                <w:tcPr>
                  <w:tcW w:w="737" w:type="dxa"/>
                  <w:vMerge w:val="continue"/>
                  <w:tcBorders>
                    <w:right w:val="single" w:color="auto" w:sz="4" w:space="0"/>
                  </w:tcBorders>
                  <w:tcMar>
                    <w:left w:w="17" w:type="dxa"/>
                    <w:right w:w="17" w:type="dxa"/>
                  </w:tcMar>
                  <w:vAlign w:val="center"/>
                </w:tcPr>
                <w:p>
                  <w:pPr>
                    <w:adjustRightInd w:val="0"/>
                    <w:jc w:val="center"/>
                    <w:rPr>
                      <w:color w:val="auto"/>
                      <w:szCs w:val="21"/>
                    </w:rPr>
                  </w:pP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N7</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63.8</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51.5</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64.2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50.0</w:t>
                  </w:r>
                </w:p>
              </w:tc>
              <w:tc>
                <w:tcPr>
                  <w:tcW w:w="739" w:type="dxa"/>
                  <w:tcMar>
                    <w:left w:w="17" w:type="dxa"/>
                    <w:right w:w="17" w:type="dxa"/>
                  </w:tcMar>
                  <w:vAlign w:val="center"/>
                </w:tcPr>
                <w:p>
                  <w:pPr>
                    <w:jc w:val="center"/>
                    <w:rPr>
                      <w:color w:val="auto"/>
                      <w:szCs w:val="21"/>
                    </w:rPr>
                  </w:pPr>
                  <w:r>
                    <w:rPr>
                      <w:rFonts w:hint="eastAsia"/>
                      <w:color w:val="auto"/>
                      <w:szCs w:val="21"/>
                    </w:rPr>
                    <w:t>70</w:t>
                  </w:r>
                </w:p>
              </w:tc>
              <w:tc>
                <w:tcPr>
                  <w:tcW w:w="737" w:type="dxa"/>
                  <w:tcBorders>
                    <w:right w:val="single" w:color="auto" w:sz="4" w:space="0"/>
                  </w:tcBorders>
                  <w:tcMar>
                    <w:left w:w="17" w:type="dxa"/>
                    <w:right w:w="17" w:type="dxa"/>
                  </w:tcMar>
                  <w:vAlign w:val="center"/>
                </w:tcPr>
                <w:p>
                  <w:pPr>
                    <w:jc w:val="center"/>
                    <w:rPr>
                      <w:color w:val="auto"/>
                      <w:szCs w:val="21"/>
                    </w:rPr>
                  </w:pPr>
                  <w:r>
                    <w:rPr>
                      <w:rFonts w:hint="eastAsia"/>
                      <w:color w:val="auto"/>
                      <w:szCs w:val="21"/>
                    </w:rPr>
                    <w:t>55</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N8</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49.9</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44.3</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50.9</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44.2</w:t>
                  </w:r>
                </w:p>
              </w:tc>
              <w:tc>
                <w:tcPr>
                  <w:tcW w:w="739" w:type="dxa"/>
                  <w:vMerge w:val="restart"/>
                  <w:tcMar>
                    <w:left w:w="17" w:type="dxa"/>
                    <w:right w:w="17" w:type="dxa"/>
                  </w:tcMar>
                  <w:vAlign w:val="center"/>
                </w:tcPr>
                <w:p>
                  <w:pPr>
                    <w:jc w:val="center"/>
                    <w:rPr>
                      <w:color w:val="auto"/>
                      <w:szCs w:val="21"/>
                    </w:rPr>
                  </w:pPr>
                  <w:r>
                    <w:rPr>
                      <w:rFonts w:hint="eastAsia"/>
                      <w:color w:val="auto"/>
                      <w:szCs w:val="21"/>
                    </w:rPr>
                    <w:t>60</w:t>
                  </w:r>
                </w:p>
              </w:tc>
              <w:tc>
                <w:tcPr>
                  <w:tcW w:w="737" w:type="dxa"/>
                  <w:vMerge w:val="restart"/>
                  <w:tcBorders>
                    <w:right w:val="single" w:color="auto" w:sz="4" w:space="0"/>
                  </w:tcBorders>
                  <w:tcMar>
                    <w:left w:w="17" w:type="dxa"/>
                    <w:right w:w="17" w:type="dxa"/>
                  </w:tcMar>
                  <w:vAlign w:val="center"/>
                </w:tcPr>
                <w:p>
                  <w:pPr>
                    <w:jc w:val="center"/>
                    <w:rPr>
                      <w:color w:val="auto"/>
                      <w:szCs w:val="21"/>
                    </w:rPr>
                  </w:pPr>
                  <w:r>
                    <w:rPr>
                      <w:rFonts w:hint="eastAsia"/>
                      <w:color w:val="auto"/>
                      <w:szCs w:val="21"/>
                    </w:rPr>
                    <w:t>50</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N9</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53.0</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45.2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52.7</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46.6</w:t>
                  </w:r>
                </w:p>
              </w:tc>
              <w:tc>
                <w:tcPr>
                  <w:tcW w:w="739" w:type="dxa"/>
                  <w:vMerge w:val="continue"/>
                  <w:tcMar>
                    <w:left w:w="17" w:type="dxa"/>
                    <w:right w:w="17" w:type="dxa"/>
                  </w:tcMar>
                  <w:vAlign w:val="center"/>
                </w:tcPr>
                <w:p>
                  <w:pPr>
                    <w:adjustRightInd w:val="0"/>
                    <w:jc w:val="center"/>
                    <w:rPr>
                      <w:color w:val="auto"/>
                      <w:szCs w:val="21"/>
                    </w:rPr>
                  </w:pPr>
                </w:p>
              </w:tc>
              <w:tc>
                <w:tcPr>
                  <w:tcW w:w="737" w:type="dxa"/>
                  <w:vMerge w:val="continue"/>
                  <w:tcBorders>
                    <w:right w:val="single" w:color="auto" w:sz="4" w:space="0"/>
                  </w:tcBorders>
                  <w:tcMar>
                    <w:left w:w="17" w:type="dxa"/>
                    <w:right w:w="17" w:type="dxa"/>
                  </w:tcMar>
                  <w:vAlign w:val="center"/>
                </w:tcPr>
                <w:p>
                  <w:pPr>
                    <w:adjustRightInd w:val="0"/>
                    <w:jc w:val="center"/>
                    <w:rPr>
                      <w:color w:val="auto"/>
                      <w:szCs w:val="21"/>
                    </w:rPr>
                  </w:pP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897" w:type="dxa"/>
                  <w:tcMar>
                    <w:left w:w="17" w:type="dxa"/>
                    <w:right w:w="17" w:type="dxa"/>
                  </w:tcMar>
                  <w:vAlign w:val="center"/>
                </w:tcPr>
                <w:p>
                  <w:pPr>
                    <w:adjustRightInd w:val="0"/>
                    <w:snapToGrid w:val="0"/>
                    <w:jc w:val="center"/>
                    <w:rPr>
                      <w:rFonts w:hint="eastAsia"/>
                      <w:color w:val="auto"/>
                      <w:szCs w:val="21"/>
                    </w:rPr>
                  </w:pPr>
                  <w:r>
                    <w:rPr>
                      <w:color w:val="auto"/>
                      <w:szCs w:val="21"/>
                    </w:rPr>
                    <w:t>N</w:t>
                  </w:r>
                  <w:r>
                    <w:rPr>
                      <w:rFonts w:hint="eastAsia"/>
                      <w:color w:val="auto"/>
                      <w:szCs w:val="21"/>
                    </w:rPr>
                    <w:t>10</w:t>
                  </w:r>
                </w:p>
              </w:tc>
              <w:tc>
                <w:tcPr>
                  <w:tcW w:w="735"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50.2</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46.5</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51.8</w:t>
                  </w:r>
                </w:p>
              </w:tc>
              <w:tc>
                <w:tcPr>
                  <w:tcW w:w="739" w:type="dxa"/>
                  <w:tcMar>
                    <w:left w:w="17" w:type="dxa"/>
                    <w:right w:w="17" w:type="dxa"/>
                  </w:tcMar>
                  <w:vAlign w:val="center"/>
                </w:tcPr>
                <w:p>
                  <w:pPr>
                    <w:adjustRightInd w:val="0"/>
                    <w:snapToGrid w:val="0"/>
                    <w:jc w:val="center"/>
                    <w:rPr>
                      <w:rFonts w:hint="eastAsia"/>
                      <w:color w:val="auto"/>
                      <w:szCs w:val="21"/>
                    </w:rPr>
                  </w:pPr>
                  <w:r>
                    <w:rPr>
                      <w:rFonts w:hint="eastAsia"/>
                      <w:color w:val="auto"/>
                      <w:szCs w:val="21"/>
                    </w:rPr>
                    <w:t>45.8</w:t>
                  </w:r>
                </w:p>
              </w:tc>
              <w:tc>
                <w:tcPr>
                  <w:tcW w:w="739" w:type="dxa"/>
                  <w:vMerge w:val="continue"/>
                  <w:tcMar>
                    <w:left w:w="17" w:type="dxa"/>
                    <w:right w:w="17" w:type="dxa"/>
                  </w:tcMar>
                  <w:vAlign w:val="center"/>
                </w:tcPr>
                <w:p>
                  <w:pPr>
                    <w:adjustRightInd w:val="0"/>
                    <w:jc w:val="center"/>
                    <w:rPr>
                      <w:color w:val="auto"/>
                      <w:szCs w:val="21"/>
                    </w:rPr>
                  </w:pPr>
                </w:p>
              </w:tc>
              <w:tc>
                <w:tcPr>
                  <w:tcW w:w="737" w:type="dxa"/>
                  <w:vMerge w:val="continue"/>
                  <w:tcBorders>
                    <w:right w:val="single" w:color="auto" w:sz="4" w:space="0"/>
                  </w:tcBorders>
                  <w:tcMar>
                    <w:left w:w="17" w:type="dxa"/>
                    <w:right w:w="17" w:type="dxa"/>
                  </w:tcMar>
                  <w:vAlign w:val="center"/>
                </w:tcPr>
                <w:p>
                  <w:pPr>
                    <w:adjustRightInd w:val="0"/>
                    <w:jc w:val="center"/>
                    <w:rPr>
                      <w:color w:val="auto"/>
                      <w:szCs w:val="21"/>
                    </w:rPr>
                  </w:pP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39" w:type="dxa"/>
                  <w:tcBorders>
                    <w:left w:val="single" w:color="auto" w:sz="4" w:space="0"/>
                    <w:righ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c>
                <w:tcPr>
                  <w:tcW w:w="740" w:type="dxa"/>
                  <w:tcBorders>
                    <w:left w:val="single" w:color="auto" w:sz="4" w:space="0"/>
                  </w:tcBorders>
                  <w:tcMar>
                    <w:left w:w="17" w:type="dxa"/>
                    <w:right w:w="17" w:type="dxa"/>
                  </w:tcMar>
                  <w:vAlign w:val="center"/>
                </w:tcPr>
                <w:p>
                  <w:pPr>
                    <w:adjustRightInd w:val="0"/>
                    <w:jc w:val="center"/>
                    <w:rPr>
                      <w:color w:val="auto"/>
                      <w:szCs w:val="21"/>
                    </w:rPr>
                  </w:pPr>
                  <w:r>
                    <w:rPr>
                      <w:color w:val="auto"/>
                      <w:szCs w:val="21"/>
                    </w:rPr>
                    <w:t>达标</w:t>
                  </w:r>
                </w:p>
              </w:tc>
            </w:tr>
          </w:tbl>
          <w:p>
            <w:pPr>
              <w:spacing w:line="360" w:lineRule="auto"/>
              <w:ind w:firstLine="480" w:firstLineChars="200"/>
              <w:rPr>
                <w:rFonts w:hint="eastAsia"/>
                <w:snapToGrid w:val="0"/>
                <w:color w:val="auto"/>
                <w:kern w:val="0"/>
                <w:sz w:val="24"/>
              </w:rPr>
            </w:pPr>
            <w:r>
              <w:rPr>
                <w:rFonts w:hint="eastAsia"/>
                <w:color w:val="auto"/>
                <w:sz w:val="24"/>
              </w:rPr>
              <w:t>根据表</w:t>
            </w:r>
            <w:r>
              <w:rPr>
                <w:rFonts w:hint="eastAsia"/>
                <w:color w:val="auto"/>
                <w:sz w:val="24"/>
                <w:lang w:val="en-US" w:eastAsia="zh-CN"/>
              </w:rPr>
              <w:t>19</w:t>
            </w:r>
            <w:r>
              <w:rPr>
                <w:rFonts w:hint="eastAsia"/>
                <w:color w:val="auto"/>
                <w:sz w:val="24"/>
              </w:rPr>
              <w:t>可知，本项目本项目配水管道沿线区域</w:t>
            </w:r>
            <w:r>
              <w:rPr>
                <w:rFonts w:hint="eastAsia"/>
                <w:snapToGrid w:val="0"/>
                <w:color w:val="auto"/>
                <w:kern w:val="0"/>
                <w:sz w:val="24"/>
              </w:rPr>
              <w:t>各监测点昼、夜间噪声监测值均满足《声环境质量标准》（GB3096-2008）中2类和4a标准要求。</w:t>
            </w:r>
          </w:p>
          <w:p>
            <w:pPr>
              <w:spacing w:line="360" w:lineRule="auto"/>
              <w:rPr>
                <w:rFonts w:hint="eastAsia"/>
                <w:b/>
                <w:color w:val="auto"/>
                <w:sz w:val="24"/>
              </w:rPr>
            </w:pPr>
            <w:r>
              <w:rPr>
                <w:rFonts w:hint="eastAsia"/>
                <w:b/>
                <w:color w:val="auto"/>
                <w:sz w:val="24"/>
              </w:rPr>
              <w:t>4、生态环境</w:t>
            </w:r>
            <w:r>
              <w:rPr>
                <w:b/>
                <w:bCs/>
                <w:color w:val="auto"/>
                <w:sz w:val="24"/>
              </w:rPr>
              <w:t>现状调查与评价</w:t>
            </w:r>
          </w:p>
          <w:p>
            <w:pPr>
              <w:spacing w:line="360" w:lineRule="auto"/>
              <w:ind w:firstLine="480" w:firstLineChars="200"/>
              <w:rPr>
                <w:rFonts w:hint="eastAsia"/>
                <w:color w:val="auto"/>
                <w:sz w:val="24"/>
              </w:rPr>
            </w:pPr>
            <w:r>
              <w:rPr>
                <w:rFonts w:hint="eastAsia"/>
                <w:color w:val="auto"/>
                <w:sz w:val="24"/>
              </w:rPr>
              <w:t>本项目主要沿平江县内现有道路布置，</w:t>
            </w:r>
            <w:r>
              <w:rPr>
                <w:color w:val="auto"/>
                <w:sz w:val="24"/>
              </w:rPr>
              <w:t>根据现场调查，项目线路沿线植被主要以行道树</w:t>
            </w:r>
            <w:r>
              <w:rPr>
                <w:rFonts w:hint="eastAsia"/>
                <w:color w:val="auto"/>
                <w:sz w:val="24"/>
              </w:rPr>
              <w:t>、</w:t>
            </w:r>
            <w:r>
              <w:rPr>
                <w:color w:val="auto"/>
                <w:sz w:val="24"/>
              </w:rPr>
              <w:t>市政绿化植被及农作物为主</w:t>
            </w:r>
            <w:r>
              <w:rPr>
                <w:rFonts w:hint="eastAsia"/>
                <w:color w:val="auto"/>
                <w:sz w:val="24"/>
              </w:rPr>
              <w:t>，</w:t>
            </w:r>
            <w:r>
              <w:rPr>
                <w:color w:val="auto"/>
                <w:sz w:val="24"/>
              </w:rPr>
              <w:t>无原生植被的存在</w:t>
            </w:r>
            <w:r>
              <w:rPr>
                <w:rFonts w:hint="eastAsia"/>
                <w:color w:val="auto"/>
                <w:sz w:val="24"/>
              </w:rPr>
              <w:t>，</w:t>
            </w:r>
            <w:r>
              <w:rPr>
                <w:color w:val="auto"/>
                <w:sz w:val="24"/>
              </w:rPr>
              <w:t>次生植被的数量也很少</w:t>
            </w:r>
            <w:r>
              <w:rPr>
                <w:rFonts w:hint="eastAsia"/>
                <w:color w:val="auto"/>
                <w:sz w:val="24"/>
              </w:rPr>
              <w:t>；同时项目沿线区域野生动物的数量也很少，主要以</w:t>
            </w:r>
            <w:r>
              <w:rPr>
                <w:color w:val="auto"/>
                <w:sz w:val="24"/>
                <w:szCs w:val="28"/>
              </w:rPr>
              <w:t>常见的鸟类和青蛙等动物为主</w:t>
            </w:r>
            <w:r>
              <w:rPr>
                <w:rFonts w:hint="eastAsia"/>
                <w:color w:val="auto"/>
                <w:sz w:val="24"/>
                <w:szCs w:val="28"/>
              </w:rPr>
              <w:t>。</w:t>
            </w:r>
            <w:r>
              <w:rPr>
                <w:rFonts w:hint="eastAsia"/>
                <w:color w:val="auto"/>
                <w:sz w:val="24"/>
              </w:rPr>
              <w:t>综上所述，</w:t>
            </w:r>
            <w:r>
              <w:rPr>
                <w:color w:val="auto"/>
                <w:sz w:val="24"/>
              </w:rPr>
              <w:t>本项目所在地及沿线区域生物种类较为单一</w:t>
            </w:r>
            <w:r>
              <w:rPr>
                <w:rFonts w:hint="eastAsia"/>
                <w:color w:val="auto"/>
                <w:sz w:val="24"/>
              </w:rPr>
              <w:t>，</w:t>
            </w:r>
            <w:r>
              <w:rPr>
                <w:color w:val="auto"/>
                <w:sz w:val="24"/>
              </w:rPr>
              <w:t>生物多样性较差</w:t>
            </w:r>
            <w:r>
              <w:rPr>
                <w:rFonts w:hint="eastAsia"/>
                <w:color w:val="auto"/>
                <w:sz w:val="24"/>
              </w:rPr>
              <w:t>；动、</w:t>
            </w:r>
            <w:r>
              <w:rPr>
                <w:color w:val="auto"/>
                <w:sz w:val="24"/>
              </w:rPr>
              <w:t>植物物种资源较为贫乏，且多为次生性种类</w:t>
            </w:r>
            <w:r>
              <w:rPr>
                <w:rFonts w:hint="eastAsia"/>
                <w:color w:val="auto"/>
                <w:sz w:val="24"/>
              </w:rPr>
              <w:t>；本</w:t>
            </w:r>
            <w:r>
              <w:rPr>
                <w:color w:val="auto"/>
                <w:sz w:val="24"/>
              </w:rPr>
              <w:t>项目区及其附近</w:t>
            </w:r>
            <w:r>
              <w:rPr>
                <w:rFonts w:hint="eastAsia"/>
                <w:color w:val="auto"/>
                <w:sz w:val="24"/>
              </w:rPr>
              <w:t>区域</w:t>
            </w:r>
            <w:r>
              <w:rPr>
                <w:color w:val="auto"/>
                <w:sz w:val="24"/>
              </w:rPr>
              <w:t>未发现需特别保护的珍稀动</w:t>
            </w:r>
            <w:r>
              <w:rPr>
                <w:rFonts w:hint="eastAsia"/>
                <w:color w:val="auto"/>
                <w:sz w:val="24"/>
              </w:rPr>
              <w:t>、</w:t>
            </w:r>
            <w:r>
              <w:rPr>
                <w:color w:val="auto"/>
                <w:sz w:val="24"/>
              </w:rPr>
              <w:t>植物和文物保护单位。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2"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spacing w:line="360" w:lineRule="auto"/>
              <w:rPr>
                <w:color w:val="auto"/>
                <w:sz w:val="28"/>
              </w:rPr>
            </w:pPr>
            <w:r>
              <w:rPr>
                <w:color w:val="auto"/>
                <w:sz w:val="28"/>
              </w:rPr>
              <w:t>主要环境保护目标</w:t>
            </w:r>
            <w:r>
              <w:rPr>
                <w:rFonts w:hint="eastAsia"/>
                <w:color w:val="auto"/>
                <w:sz w:val="28"/>
              </w:rPr>
              <w:t>（</w:t>
            </w:r>
            <w:r>
              <w:rPr>
                <w:color w:val="auto"/>
                <w:sz w:val="28"/>
              </w:rPr>
              <w:t>列出名单及保护级别</w:t>
            </w:r>
            <w:r>
              <w:rPr>
                <w:rFonts w:hint="eastAsia"/>
                <w:color w:val="auto"/>
                <w:sz w:val="28"/>
              </w:rPr>
              <w:t>）</w:t>
            </w:r>
            <w:r>
              <w:rPr>
                <w:color w:val="auto"/>
                <w:sz w:val="28"/>
              </w:rPr>
              <w:t>：</w:t>
            </w:r>
          </w:p>
          <w:p>
            <w:pPr>
              <w:adjustRightInd w:val="0"/>
              <w:spacing w:line="360" w:lineRule="auto"/>
              <w:ind w:firstLine="480" w:firstLineChars="200"/>
              <w:rPr>
                <w:rFonts w:hint="eastAsia"/>
                <w:color w:val="auto"/>
                <w:sz w:val="24"/>
              </w:rPr>
            </w:pPr>
            <w:r>
              <w:rPr>
                <w:color w:val="auto"/>
                <w:sz w:val="24"/>
              </w:rPr>
              <w:t>本</w:t>
            </w:r>
            <w:r>
              <w:rPr>
                <w:rFonts w:hint="eastAsia"/>
                <w:color w:val="auto"/>
                <w:sz w:val="24"/>
              </w:rPr>
              <w:t>项目</w:t>
            </w:r>
            <w:r>
              <w:rPr>
                <w:color w:val="auto"/>
                <w:sz w:val="24"/>
              </w:rPr>
              <w:t>主要环境保护目标分布情况见表</w:t>
            </w:r>
            <w:r>
              <w:rPr>
                <w:rFonts w:hint="eastAsia"/>
                <w:color w:val="auto"/>
                <w:sz w:val="24"/>
                <w:lang w:val="en-US" w:eastAsia="zh-CN"/>
              </w:rPr>
              <w:t>20</w:t>
            </w:r>
            <w:r>
              <w:rPr>
                <w:rFonts w:hint="eastAsia"/>
                <w:color w:val="auto"/>
                <w:sz w:val="24"/>
              </w:rPr>
              <w:t>和附图3~附图5。</w:t>
            </w:r>
          </w:p>
          <w:p>
            <w:pPr>
              <w:adjustRightInd w:val="0"/>
              <w:spacing w:line="360" w:lineRule="auto"/>
              <w:ind w:firstLine="200"/>
              <w:jc w:val="center"/>
              <w:rPr>
                <w:rFonts w:hint="eastAsia"/>
                <w:color w:val="auto"/>
                <w:sz w:val="24"/>
              </w:rPr>
            </w:pPr>
            <w:r>
              <w:rPr>
                <w:b/>
                <w:color w:val="auto"/>
                <w:szCs w:val="21"/>
              </w:rPr>
              <w:t>表</w:t>
            </w:r>
            <w:r>
              <w:rPr>
                <w:rFonts w:hint="eastAsia"/>
                <w:b/>
                <w:color w:val="auto"/>
                <w:szCs w:val="21"/>
                <w:lang w:val="en-US" w:eastAsia="zh-CN"/>
              </w:rPr>
              <w:t>20</w:t>
            </w:r>
            <w:r>
              <w:rPr>
                <w:rFonts w:hint="eastAsia"/>
                <w:b/>
                <w:color w:val="auto"/>
                <w:szCs w:val="21"/>
              </w:rPr>
              <w:t xml:space="preserve">  本项目</w:t>
            </w:r>
            <w:r>
              <w:rPr>
                <w:b/>
                <w:color w:val="auto"/>
                <w:szCs w:val="21"/>
              </w:rPr>
              <w:t>主要环境保护目标一览表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71"/>
              <w:gridCol w:w="1458"/>
              <w:gridCol w:w="1446"/>
              <w:gridCol w:w="2498"/>
              <w:gridCol w:w="18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类别</w:t>
                  </w:r>
                </w:p>
              </w:tc>
              <w:tc>
                <w:tcPr>
                  <w:tcW w:w="1458" w:type="dxa"/>
                  <w:tcBorders>
                    <w:left w:val="single" w:color="auto" w:sz="4" w:space="0"/>
                  </w:tcBorders>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环保目标</w:t>
                  </w:r>
                </w:p>
              </w:tc>
              <w:tc>
                <w:tcPr>
                  <w:tcW w:w="1446"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规模</w:t>
                  </w:r>
                </w:p>
              </w:tc>
              <w:tc>
                <w:tcPr>
                  <w:tcW w:w="2498"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与本项目的相对关系</w:t>
                  </w:r>
                </w:p>
              </w:tc>
              <w:tc>
                <w:tcPr>
                  <w:tcW w:w="1809"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质量标准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restart"/>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大气环境、声环境</w:t>
                  </w: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平源村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约1000人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管线东西两侧</w:t>
                  </w:r>
                  <w:r>
                    <w:rPr>
                      <w:rFonts w:hint="eastAsia" w:eastAsia="宋体"/>
                      <w:color w:val="auto"/>
                      <w:sz w:val="21"/>
                      <w:szCs w:val="21"/>
                    </w:rPr>
                    <w:t>5~500m</w:t>
                  </w:r>
                </w:p>
              </w:tc>
              <w:tc>
                <w:tcPr>
                  <w:tcW w:w="1809" w:type="dxa"/>
                  <w:vMerge w:val="restart"/>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w:t>
                  </w:r>
                  <w:r>
                    <w:rPr>
                      <w:rFonts w:eastAsia="宋体"/>
                      <w:color w:val="auto"/>
                      <w:sz w:val="21"/>
                      <w:szCs w:val="21"/>
                    </w:rPr>
                    <w:t>GB3095-</w:t>
                  </w:r>
                  <w:r>
                    <w:rPr>
                      <w:rFonts w:hint="eastAsia" w:eastAsia="宋体"/>
                      <w:color w:val="auto"/>
                      <w:sz w:val="21"/>
                      <w:szCs w:val="21"/>
                    </w:rPr>
                    <w:t>2012）</w:t>
                  </w:r>
                </w:p>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二级标准</w:t>
                  </w:r>
                </w:p>
                <w:p>
                  <w:pPr>
                    <w:pStyle w:val="18"/>
                    <w:adjustRightInd w:val="0"/>
                    <w:spacing w:line="240" w:lineRule="exact"/>
                    <w:ind w:firstLine="0"/>
                    <w:jc w:val="center"/>
                    <w:rPr>
                      <w:rFonts w:hint="eastAsia" w:eastAsia="宋体"/>
                      <w:color w:val="auto"/>
                      <w:sz w:val="21"/>
                      <w:szCs w:val="21"/>
                    </w:rPr>
                  </w:pPr>
                </w:p>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（GB12348-2008）</w:t>
                  </w:r>
                </w:p>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2类、4a类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城关镇（平江县县城）</w:t>
                  </w:r>
                </w:p>
              </w:tc>
              <w:tc>
                <w:tcPr>
                  <w:tcW w:w="1446"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约2000人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南北</w:t>
                  </w:r>
                  <w:r>
                    <w:rPr>
                      <w:rFonts w:eastAsia="宋体"/>
                      <w:color w:val="auto"/>
                      <w:sz w:val="21"/>
                      <w:szCs w:val="21"/>
                    </w:rPr>
                    <w:t>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天岳村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约800人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南北</w:t>
                  </w:r>
                  <w:r>
                    <w:rPr>
                      <w:rFonts w:eastAsia="宋体"/>
                      <w:color w:val="auto"/>
                      <w:sz w:val="21"/>
                      <w:szCs w:val="21"/>
                    </w:rPr>
                    <w:t>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驷马村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约600人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南北</w:t>
                  </w:r>
                  <w:r>
                    <w:rPr>
                      <w:rFonts w:eastAsia="宋体"/>
                      <w:color w:val="auto"/>
                      <w:sz w:val="21"/>
                      <w:szCs w:val="21"/>
                    </w:rPr>
                    <w:t>两侧</w:t>
                  </w:r>
                  <w:r>
                    <w:rPr>
                      <w:rFonts w:hint="eastAsia" w:eastAsia="宋体"/>
                      <w:color w:val="auto"/>
                      <w:sz w:val="21"/>
                      <w:szCs w:val="21"/>
                    </w:rPr>
                    <w:t>10~500m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澄潭村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约400人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北</w:t>
                  </w:r>
                  <w:r>
                    <w:rPr>
                      <w:rFonts w:eastAsia="宋体"/>
                      <w:color w:val="auto"/>
                      <w:sz w:val="21"/>
                      <w:szCs w:val="21"/>
                    </w:rPr>
                    <w:t>侧</w:t>
                  </w:r>
                  <w:r>
                    <w:rPr>
                      <w:rFonts w:hint="eastAsia" w:eastAsia="宋体"/>
                      <w:color w:val="auto"/>
                      <w:sz w:val="21"/>
                      <w:szCs w:val="21"/>
                    </w:rPr>
                    <w:t>20~500m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塔兴村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约900人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管线东侧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杨梅村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约800人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管线东北侧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市里村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约850人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w:t>
                  </w:r>
                  <w:r>
                    <w:rPr>
                      <w:rFonts w:eastAsia="宋体"/>
                      <w:color w:val="auto"/>
                      <w:sz w:val="21"/>
                      <w:szCs w:val="21"/>
                    </w:rPr>
                    <w:t>北两侧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张市村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约650人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w:t>
                  </w:r>
                  <w:r>
                    <w:rPr>
                      <w:rFonts w:eastAsia="宋体"/>
                      <w:color w:val="auto"/>
                      <w:sz w:val="21"/>
                      <w:szCs w:val="21"/>
                    </w:rPr>
                    <w:t>北两侧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盘石村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约350人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w:t>
                  </w:r>
                  <w:r>
                    <w:rPr>
                      <w:rFonts w:eastAsia="宋体"/>
                      <w:color w:val="auto"/>
                      <w:sz w:val="21"/>
                      <w:szCs w:val="21"/>
                    </w:rPr>
                    <w:t>北两侧</w:t>
                  </w:r>
                  <w:r>
                    <w:rPr>
                      <w:rFonts w:hint="eastAsia" w:eastAsia="宋体"/>
                      <w:color w:val="auto"/>
                      <w:sz w:val="21"/>
                      <w:szCs w:val="21"/>
                    </w:rPr>
                    <w:t>10~500m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英江村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w:t>
                  </w:r>
                  <w:r>
                    <w:rPr>
                      <w:rFonts w:eastAsia="宋体"/>
                      <w:color w:val="auto"/>
                      <w:sz w:val="21"/>
                      <w:szCs w:val="21"/>
                    </w:rPr>
                    <w:t>侧</w:t>
                  </w:r>
                  <w:r>
                    <w:rPr>
                      <w:rFonts w:hint="eastAsia" w:eastAsia="宋体"/>
                      <w:color w:val="auto"/>
                      <w:sz w:val="21"/>
                      <w:szCs w:val="21"/>
                    </w:rPr>
                    <w:t>15~500m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浯口村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约950人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w:t>
                  </w:r>
                  <w:r>
                    <w:rPr>
                      <w:rFonts w:eastAsia="宋体"/>
                      <w:color w:val="auto"/>
                      <w:sz w:val="21"/>
                      <w:szCs w:val="21"/>
                    </w:rPr>
                    <w:t>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青冲村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约550人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eastAsia="宋体"/>
                      <w:color w:val="auto"/>
                      <w:sz w:val="21"/>
                      <w:szCs w:val="21"/>
                    </w:rPr>
                    <w:t>管线</w:t>
                  </w:r>
                  <w:r>
                    <w:rPr>
                      <w:rFonts w:hint="eastAsia" w:eastAsia="宋体"/>
                      <w:color w:val="auto"/>
                      <w:sz w:val="21"/>
                      <w:szCs w:val="21"/>
                    </w:rPr>
                    <w:t>南北</w:t>
                  </w:r>
                  <w:r>
                    <w:rPr>
                      <w:rFonts w:eastAsia="宋体"/>
                      <w:color w:val="auto"/>
                      <w:sz w:val="21"/>
                      <w:szCs w:val="21"/>
                    </w:rPr>
                    <w:t>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秀水村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约880人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w:t>
                  </w:r>
                  <w:r>
                    <w:rPr>
                      <w:rFonts w:hint="eastAsia" w:eastAsia="宋体"/>
                      <w:color w:val="auto"/>
                      <w:sz w:val="21"/>
                      <w:szCs w:val="21"/>
                    </w:rPr>
                    <w:t>南北</w:t>
                  </w:r>
                  <w:r>
                    <w:rPr>
                      <w:rFonts w:eastAsia="宋体"/>
                      <w:color w:val="auto"/>
                      <w:sz w:val="21"/>
                      <w:szCs w:val="21"/>
                    </w:rPr>
                    <w:t>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公合村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约1100人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伍市镇区</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约1500人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石桥村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15~500m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塘沙村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15~500m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四知村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约310人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10~500m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鲁家村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约140人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管线西侧</w:t>
                  </w:r>
                  <w:r>
                    <w:rPr>
                      <w:rFonts w:hint="eastAsia" w:eastAsia="宋体"/>
                      <w:color w:val="auto"/>
                      <w:sz w:val="21"/>
                      <w:szCs w:val="21"/>
                    </w:rPr>
                    <w:t>10~500m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栗山村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约80人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茅草坪村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约400人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大源洞村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约320人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枫树段村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约450人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10~500m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c>
                <w:tcPr>
                  <w:tcW w:w="1458" w:type="dxa"/>
                  <w:shd w:val="clear" w:color="auto" w:fill="auto"/>
                  <w:tcMar>
                    <w:left w:w="17" w:type="dxa"/>
                    <w:right w:w="17" w:type="dxa"/>
                  </w:tcMar>
                  <w:vAlign w:val="center"/>
                </w:tcPr>
                <w:p>
                  <w:pPr>
                    <w:spacing w:line="240" w:lineRule="exact"/>
                    <w:jc w:val="center"/>
                    <w:rPr>
                      <w:rFonts w:hint="eastAsia"/>
                      <w:color w:val="auto"/>
                      <w:szCs w:val="21"/>
                    </w:rPr>
                  </w:pPr>
                  <w:r>
                    <w:rPr>
                      <w:rFonts w:hint="eastAsia"/>
                      <w:color w:val="auto"/>
                      <w:szCs w:val="21"/>
                    </w:rPr>
                    <w:t>向家村</w:t>
                  </w:r>
                </w:p>
              </w:tc>
              <w:tc>
                <w:tcPr>
                  <w:tcW w:w="1446" w:type="dxa"/>
                  <w:shd w:val="clear" w:color="auto" w:fill="auto"/>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r>
                    <w:rPr>
                      <w:rFonts w:hint="eastAsia" w:eastAsia="宋体"/>
                      <w:color w:val="auto"/>
                      <w:sz w:val="21"/>
                      <w:szCs w:val="21"/>
                    </w:rPr>
                    <w:t>约150人</w:t>
                  </w:r>
                </w:p>
              </w:tc>
              <w:tc>
                <w:tcPr>
                  <w:tcW w:w="2498" w:type="dxa"/>
                  <w:shd w:val="clear" w:color="auto" w:fill="auto"/>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管线东西两侧</w:t>
                  </w:r>
                  <w:r>
                    <w:rPr>
                      <w:rFonts w:hint="eastAsia" w:eastAsia="宋体"/>
                      <w:color w:val="auto"/>
                      <w:sz w:val="21"/>
                      <w:szCs w:val="21"/>
                    </w:rPr>
                    <w:t>15~500m</w:t>
                  </w:r>
                </w:p>
              </w:tc>
              <w:tc>
                <w:tcPr>
                  <w:tcW w:w="1809" w:type="dxa"/>
                  <w:vMerge w:val="continue"/>
                  <w:tcMar>
                    <w:left w:w="17" w:type="dxa"/>
                    <w:right w:w="17" w:type="dxa"/>
                  </w:tcMar>
                  <w:vAlign w:val="center"/>
                </w:tcPr>
                <w:p>
                  <w:pPr>
                    <w:pStyle w:val="18"/>
                    <w:adjustRightInd w:val="0"/>
                    <w:spacing w:line="240" w:lineRule="exact"/>
                    <w:ind w:firstLine="0"/>
                    <w:jc w:val="center"/>
                    <w:rPr>
                      <w:rFonts w:hint="eastAsia" w:eastAsia="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restart"/>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eastAsia="宋体"/>
                      <w:color w:val="auto"/>
                      <w:sz w:val="21"/>
                      <w:szCs w:val="21"/>
                    </w:rPr>
                    <w:t>水环境</w:t>
                  </w:r>
                </w:p>
              </w:tc>
              <w:tc>
                <w:tcPr>
                  <w:tcW w:w="1458" w:type="dxa"/>
                  <w:tcBorders>
                    <w:left w:val="single" w:color="auto" w:sz="4" w:space="0"/>
                  </w:tcBorders>
                  <w:vAlign w:val="center"/>
                </w:tcPr>
                <w:p>
                  <w:pPr>
                    <w:spacing w:line="240" w:lineRule="exact"/>
                    <w:jc w:val="center"/>
                    <w:rPr>
                      <w:color w:val="auto"/>
                      <w:szCs w:val="21"/>
                    </w:rPr>
                  </w:pPr>
                  <w:r>
                    <w:rPr>
                      <w:rFonts w:hint="eastAsia"/>
                      <w:color w:val="auto"/>
                      <w:szCs w:val="21"/>
                    </w:rPr>
                    <w:t>汨罗江</w:t>
                  </w:r>
                </w:p>
              </w:tc>
              <w:tc>
                <w:tcPr>
                  <w:tcW w:w="1446" w:type="dxa"/>
                  <w:tcMar>
                    <w:left w:w="17" w:type="dxa"/>
                    <w:right w:w="17" w:type="dxa"/>
                  </w:tcMar>
                  <w:vAlign w:val="center"/>
                </w:tcPr>
                <w:p>
                  <w:pPr>
                    <w:spacing w:line="240" w:lineRule="exact"/>
                    <w:jc w:val="center"/>
                    <w:rPr>
                      <w:color w:val="auto"/>
                      <w:szCs w:val="21"/>
                    </w:rPr>
                  </w:pPr>
                  <w:r>
                    <w:rPr>
                      <w:rFonts w:hint="eastAsia"/>
                      <w:color w:val="auto"/>
                      <w:szCs w:val="21"/>
                    </w:rPr>
                    <w:t>大河</w:t>
                  </w:r>
                </w:p>
              </w:tc>
              <w:tc>
                <w:tcPr>
                  <w:tcW w:w="2498" w:type="dxa"/>
                  <w:vMerge w:val="restart"/>
                  <w:tcMar>
                    <w:left w:w="17" w:type="dxa"/>
                    <w:right w:w="17" w:type="dxa"/>
                  </w:tcMar>
                  <w:vAlign w:val="center"/>
                </w:tcPr>
                <w:p>
                  <w:pPr>
                    <w:spacing w:line="240" w:lineRule="exact"/>
                    <w:jc w:val="center"/>
                    <w:rPr>
                      <w:rFonts w:hint="eastAsia"/>
                      <w:color w:val="auto"/>
                      <w:szCs w:val="21"/>
                    </w:rPr>
                  </w:pPr>
                  <w:r>
                    <w:rPr>
                      <w:rFonts w:hint="eastAsia"/>
                      <w:color w:val="auto"/>
                      <w:szCs w:val="21"/>
                    </w:rPr>
                    <w:t>管线穿越</w:t>
                  </w:r>
                </w:p>
              </w:tc>
              <w:tc>
                <w:tcPr>
                  <w:tcW w:w="1809" w:type="dxa"/>
                  <w:vMerge w:val="restart"/>
                  <w:tcMar>
                    <w:left w:w="17" w:type="dxa"/>
                    <w:right w:w="17" w:type="dxa"/>
                  </w:tcMar>
                  <w:vAlign w:val="center"/>
                </w:tcPr>
                <w:p>
                  <w:pPr>
                    <w:spacing w:line="240" w:lineRule="exact"/>
                    <w:jc w:val="center"/>
                    <w:rPr>
                      <w:color w:val="auto"/>
                      <w:szCs w:val="21"/>
                    </w:rPr>
                  </w:pPr>
                  <w:r>
                    <w:rPr>
                      <w:rFonts w:hint="eastAsia"/>
                      <w:color w:val="auto"/>
                      <w:szCs w:val="21"/>
                    </w:rPr>
                    <w:t>（</w:t>
                  </w:r>
                  <w:r>
                    <w:rPr>
                      <w:color w:val="auto"/>
                      <w:szCs w:val="21"/>
                    </w:rPr>
                    <w:t>GB3838-2002</w:t>
                  </w:r>
                  <w:r>
                    <w:rPr>
                      <w:rFonts w:hint="eastAsia"/>
                      <w:color w:val="auto"/>
                      <w:szCs w:val="21"/>
                    </w:rPr>
                    <w:t>）</w:t>
                  </w:r>
                </w:p>
                <w:p>
                  <w:pPr>
                    <w:spacing w:line="240" w:lineRule="exact"/>
                    <w:jc w:val="center"/>
                    <w:rPr>
                      <w:color w:val="auto"/>
                      <w:szCs w:val="21"/>
                    </w:rPr>
                  </w:pPr>
                  <w:r>
                    <w:rPr>
                      <w:rFonts w:hint="eastAsia" w:ascii="宋体" w:hAnsi="宋体"/>
                      <w:color w:val="auto"/>
                      <w:szCs w:val="21"/>
                    </w:rPr>
                    <w:t>Ⅲ</w:t>
                  </w:r>
                  <w:r>
                    <w:rPr>
                      <w:color w:val="auto"/>
                      <w:szCs w:val="21"/>
                    </w:rPr>
                    <w:t>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tcMar>
                    <w:left w:w="17" w:type="dxa"/>
                    <w:right w:w="17" w:type="dxa"/>
                  </w:tcMar>
                  <w:vAlign w:val="center"/>
                </w:tcPr>
                <w:p>
                  <w:pPr>
                    <w:pStyle w:val="18"/>
                    <w:adjustRightInd w:val="0"/>
                    <w:spacing w:line="240" w:lineRule="exact"/>
                    <w:ind w:firstLine="0"/>
                    <w:jc w:val="center"/>
                    <w:rPr>
                      <w:rFonts w:eastAsia="宋体"/>
                      <w:color w:val="auto"/>
                      <w:sz w:val="21"/>
                      <w:szCs w:val="21"/>
                    </w:rPr>
                  </w:pPr>
                </w:p>
              </w:tc>
              <w:tc>
                <w:tcPr>
                  <w:tcW w:w="1458" w:type="dxa"/>
                  <w:tcBorders>
                    <w:left w:val="single" w:color="auto" w:sz="4" w:space="0"/>
                  </w:tcBorders>
                  <w:vAlign w:val="center"/>
                </w:tcPr>
                <w:p>
                  <w:pPr>
                    <w:spacing w:line="240" w:lineRule="exact"/>
                    <w:jc w:val="center"/>
                    <w:rPr>
                      <w:rFonts w:hint="eastAsia"/>
                      <w:color w:val="auto"/>
                      <w:szCs w:val="21"/>
                    </w:rPr>
                  </w:pPr>
                  <w:r>
                    <w:rPr>
                      <w:rFonts w:hint="eastAsia"/>
                      <w:color w:val="auto"/>
                      <w:szCs w:val="21"/>
                    </w:rPr>
                    <w:t>昌江</w:t>
                  </w:r>
                </w:p>
              </w:tc>
              <w:tc>
                <w:tcPr>
                  <w:tcW w:w="14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小河</w:t>
                  </w:r>
                </w:p>
              </w:tc>
              <w:tc>
                <w:tcPr>
                  <w:tcW w:w="2498" w:type="dxa"/>
                  <w:vMerge w:val="continue"/>
                  <w:tcMar>
                    <w:left w:w="17" w:type="dxa"/>
                    <w:right w:w="17" w:type="dxa"/>
                  </w:tcMar>
                  <w:vAlign w:val="center"/>
                </w:tcPr>
                <w:p>
                  <w:pPr>
                    <w:spacing w:line="240" w:lineRule="exact"/>
                    <w:jc w:val="center"/>
                    <w:rPr>
                      <w:rFonts w:hint="eastAsia"/>
                      <w:color w:val="auto"/>
                      <w:szCs w:val="21"/>
                    </w:rPr>
                  </w:pPr>
                </w:p>
              </w:tc>
              <w:tc>
                <w:tcPr>
                  <w:tcW w:w="1809" w:type="dxa"/>
                  <w:vMerge w:val="continue"/>
                  <w:tcMar>
                    <w:left w:w="17" w:type="dxa"/>
                    <w:right w:w="17" w:type="dxa"/>
                  </w:tcMar>
                  <w:vAlign w:val="center"/>
                </w:tcPr>
                <w:p>
                  <w:pPr>
                    <w:spacing w:line="240" w:lineRule="exact"/>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tcMar>
                    <w:left w:w="17" w:type="dxa"/>
                    <w:right w:w="17" w:type="dxa"/>
                  </w:tcMar>
                  <w:vAlign w:val="center"/>
                </w:tcPr>
                <w:p>
                  <w:pPr>
                    <w:pStyle w:val="18"/>
                    <w:adjustRightInd w:val="0"/>
                    <w:spacing w:line="240" w:lineRule="exact"/>
                    <w:ind w:firstLine="0"/>
                    <w:jc w:val="center"/>
                    <w:rPr>
                      <w:rFonts w:eastAsia="宋体"/>
                      <w:color w:val="auto"/>
                      <w:sz w:val="21"/>
                      <w:szCs w:val="21"/>
                    </w:rPr>
                  </w:pPr>
                </w:p>
              </w:tc>
              <w:tc>
                <w:tcPr>
                  <w:tcW w:w="1458" w:type="dxa"/>
                  <w:tcBorders>
                    <w:left w:val="single" w:color="auto" w:sz="4" w:space="0"/>
                  </w:tcBorders>
                  <w:vAlign w:val="center"/>
                </w:tcPr>
                <w:p>
                  <w:pPr>
                    <w:spacing w:line="240" w:lineRule="exact"/>
                    <w:jc w:val="center"/>
                    <w:rPr>
                      <w:rFonts w:hint="eastAsia"/>
                      <w:color w:val="auto"/>
                      <w:szCs w:val="21"/>
                    </w:rPr>
                  </w:pPr>
                  <w:r>
                    <w:rPr>
                      <w:rFonts w:hint="eastAsia"/>
                      <w:color w:val="auto"/>
                      <w:szCs w:val="21"/>
                    </w:rPr>
                    <w:t>张市河</w:t>
                  </w:r>
                </w:p>
              </w:tc>
              <w:tc>
                <w:tcPr>
                  <w:tcW w:w="14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小河</w:t>
                  </w:r>
                </w:p>
              </w:tc>
              <w:tc>
                <w:tcPr>
                  <w:tcW w:w="2498" w:type="dxa"/>
                  <w:vMerge w:val="continue"/>
                  <w:tcMar>
                    <w:left w:w="17" w:type="dxa"/>
                    <w:right w:w="17" w:type="dxa"/>
                  </w:tcMar>
                  <w:vAlign w:val="center"/>
                </w:tcPr>
                <w:p>
                  <w:pPr>
                    <w:spacing w:line="240" w:lineRule="exact"/>
                    <w:jc w:val="center"/>
                    <w:rPr>
                      <w:rFonts w:hint="eastAsia"/>
                      <w:color w:val="auto"/>
                      <w:szCs w:val="21"/>
                    </w:rPr>
                  </w:pPr>
                </w:p>
              </w:tc>
              <w:tc>
                <w:tcPr>
                  <w:tcW w:w="1809" w:type="dxa"/>
                  <w:vMerge w:val="continue"/>
                  <w:tcMar>
                    <w:left w:w="17" w:type="dxa"/>
                    <w:right w:w="17" w:type="dxa"/>
                  </w:tcMar>
                  <w:vAlign w:val="center"/>
                </w:tcPr>
                <w:p>
                  <w:pPr>
                    <w:spacing w:line="240" w:lineRule="exact"/>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vMerge w:val="continue"/>
                  <w:tcMar>
                    <w:left w:w="17" w:type="dxa"/>
                    <w:right w:w="17" w:type="dxa"/>
                  </w:tcMar>
                  <w:vAlign w:val="center"/>
                </w:tcPr>
                <w:p>
                  <w:pPr>
                    <w:pStyle w:val="18"/>
                    <w:adjustRightInd w:val="0"/>
                    <w:spacing w:line="240" w:lineRule="exact"/>
                    <w:ind w:firstLine="0"/>
                    <w:jc w:val="center"/>
                    <w:rPr>
                      <w:rFonts w:eastAsia="宋体"/>
                      <w:color w:val="auto"/>
                      <w:sz w:val="21"/>
                      <w:szCs w:val="21"/>
                    </w:rPr>
                  </w:pPr>
                </w:p>
              </w:tc>
              <w:tc>
                <w:tcPr>
                  <w:tcW w:w="1458" w:type="dxa"/>
                  <w:tcBorders>
                    <w:left w:val="single" w:color="auto" w:sz="4" w:space="0"/>
                  </w:tcBorders>
                  <w:vAlign w:val="center"/>
                </w:tcPr>
                <w:p>
                  <w:pPr>
                    <w:spacing w:line="240" w:lineRule="exact"/>
                    <w:jc w:val="center"/>
                    <w:rPr>
                      <w:rFonts w:hint="eastAsia"/>
                      <w:color w:val="auto"/>
                      <w:szCs w:val="21"/>
                    </w:rPr>
                  </w:pPr>
                  <w:r>
                    <w:rPr>
                      <w:rFonts w:hint="eastAsia"/>
                      <w:color w:val="auto"/>
                      <w:szCs w:val="21"/>
                    </w:rPr>
                    <w:t>浯水河</w:t>
                  </w:r>
                </w:p>
              </w:tc>
              <w:tc>
                <w:tcPr>
                  <w:tcW w:w="1446" w:type="dxa"/>
                  <w:tcMar>
                    <w:left w:w="17" w:type="dxa"/>
                    <w:right w:w="17" w:type="dxa"/>
                  </w:tcMar>
                  <w:vAlign w:val="center"/>
                </w:tcPr>
                <w:p>
                  <w:pPr>
                    <w:spacing w:line="240" w:lineRule="exact"/>
                    <w:jc w:val="center"/>
                    <w:rPr>
                      <w:rFonts w:hint="eastAsia"/>
                      <w:color w:val="auto"/>
                      <w:szCs w:val="21"/>
                    </w:rPr>
                  </w:pPr>
                  <w:r>
                    <w:rPr>
                      <w:rFonts w:hint="eastAsia"/>
                      <w:color w:val="auto"/>
                      <w:szCs w:val="21"/>
                    </w:rPr>
                    <w:t>小河</w:t>
                  </w:r>
                </w:p>
              </w:tc>
              <w:tc>
                <w:tcPr>
                  <w:tcW w:w="2498" w:type="dxa"/>
                  <w:vMerge w:val="continue"/>
                  <w:tcMar>
                    <w:left w:w="17" w:type="dxa"/>
                    <w:right w:w="17" w:type="dxa"/>
                  </w:tcMar>
                  <w:vAlign w:val="center"/>
                </w:tcPr>
                <w:p>
                  <w:pPr>
                    <w:spacing w:line="240" w:lineRule="exact"/>
                    <w:jc w:val="center"/>
                    <w:rPr>
                      <w:rFonts w:hint="eastAsia"/>
                      <w:color w:val="auto"/>
                      <w:szCs w:val="21"/>
                    </w:rPr>
                  </w:pPr>
                </w:p>
              </w:tc>
              <w:tc>
                <w:tcPr>
                  <w:tcW w:w="1809" w:type="dxa"/>
                  <w:vMerge w:val="continue"/>
                  <w:tcMar>
                    <w:left w:w="17" w:type="dxa"/>
                    <w:right w:w="17" w:type="dxa"/>
                  </w:tcMar>
                  <w:vAlign w:val="center"/>
                </w:tcPr>
                <w:p>
                  <w:pPr>
                    <w:spacing w:line="240" w:lineRule="exact"/>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071"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生态环境</w:t>
                  </w:r>
                </w:p>
              </w:tc>
              <w:tc>
                <w:tcPr>
                  <w:tcW w:w="5402" w:type="dxa"/>
                  <w:gridSpan w:val="3"/>
                  <w:tcBorders>
                    <w:left w:val="single" w:color="auto" w:sz="4" w:space="0"/>
                  </w:tcBorders>
                  <w:vAlign w:val="center"/>
                </w:tcPr>
                <w:p>
                  <w:pPr>
                    <w:pStyle w:val="18"/>
                    <w:adjustRightInd w:val="0"/>
                    <w:spacing w:line="240" w:lineRule="exact"/>
                    <w:ind w:firstLine="0"/>
                    <w:rPr>
                      <w:rFonts w:eastAsia="宋体"/>
                      <w:color w:val="auto"/>
                      <w:sz w:val="21"/>
                      <w:szCs w:val="21"/>
                    </w:rPr>
                  </w:pPr>
                  <w:r>
                    <w:rPr>
                      <w:rFonts w:hint="eastAsia" w:eastAsia="宋体"/>
                      <w:color w:val="auto"/>
                      <w:sz w:val="21"/>
                      <w:szCs w:val="21"/>
                    </w:rPr>
                    <w:t>管线施工带两侧50m范围内在施工完毕后进行修复，周边农田、植被不受破坏</w:t>
                  </w:r>
                </w:p>
              </w:tc>
              <w:tc>
                <w:tcPr>
                  <w:tcW w:w="1809" w:type="dxa"/>
                  <w:tcMar>
                    <w:left w:w="17" w:type="dxa"/>
                    <w:right w:w="17" w:type="dxa"/>
                  </w:tcMar>
                  <w:vAlign w:val="center"/>
                </w:tcPr>
                <w:p>
                  <w:pPr>
                    <w:pStyle w:val="18"/>
                    <w:adjustRightInd w:val="0"/>
                    <w:spacing w:line="240" w:lineRule="exact"/>
                    <w:ind w:firstLine="0"/>
                    <w:jc w:val="center"/>
                    <w:rPr>
                      <w:rFonts w:eastAsia="宋体"/>
                      <w:color w:val="auto"/>
                      <w:sz w:val="21"/>
                      <w:szCs w:val="21"/>
                    </w:rPr>
                  </w:pPr>
                  <w:r>
                    <w:rPr>
                      <w:rFonts w:hint="eastAsia" w:eastAsia="宋体"/>
                      <w:color w:val="auto"/>
                      <w:sz w:val="21"/>
                      <w:szCs w:val="21"/>
                    </w:rPr>
                    <w:t>生态不遭受破坏</w:t>
                  </w:r>
                </w:p>
              </w:tc>
            </w:tr>
          </w:tbl>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spacing w:line="360" w:lineRule="auto"/>
              <w:ind w:firstLine="480" w:firstLineChars="200"/>
              <w:rPr>
                <w:rFonts w:hint="eastAsia"/>
                <w:color w:val="auto"/>
                <w:sz w:val="24"/>
              </w:rPr>
            </w:pPr>
          </w:p>
          <w:p>
            <w:pPr>
              <w:adjustRightInd w:val="0"/>
              <w:ind w:firstLine="480" w:firstLineChars="200"/>
              <w:rPr>
                <w:rFonts w:hint="eastAsia"/>
                <w:color w:val="auto"/>
                <w:sz w:val="24"/>
              </w:rPr>
            </w:pPr>
          </w:p>
        </w:tc>
      </w:tr>
    </w:tbl>
    <w:p>
      <w:pPr>
        <w:spacing w:line="360" w:lineRule="auto"/>
        <w:outlineLvl w:val="0"/>
        <w:rPr>
          <w:rFonts w:hint="eastAsia"/>
          <w:b/>
          <w:bCs/>
          <w:color w:val="auto"/>
          <w:sz w:val="28"/>
        </w:rPr>
      </w:pPr>
      <w:r>
        <w:rPr>
          <w:b/>
          <w:bCs/>
          <w:color w:val="auto"/>
          <w:sz w:val="28"/>
        </w:rPr>
        <w:br w:type="page"/>
      </w:r>
      <w:r>
        <w:rPr>
          <w:b/>
          <w:bCs/>
          <w:color w:val="auto"/>
          <w:sz w:val="28"/>
        </w:rPr>
        <w:t>评价适用标准</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7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17" w:hRule="atLeast"/>
          <w:jc w:val="center"/>
        </w:trPr>
        <w:tc>
          <w:tcPr>
            <w:tcW w:w="860" w:type="dxa"/>
            <w:tcBorders>
              <w:top w:val="single" w:color="auto" w:sz="4" w:space="0"/>
              <w:left w:val="single" w:color="auto" w:sz="4" w:space="0"/>
              <w:bottom w:val="single" w:color="auto" w:sz="4" w:space="0"/>
              <w:right w:val="single" w:color="auto" w:sz="4" w:space="0"/>
            </w:tcBorders>
            <w:textDirection w:val="tbRlV"/>
            <w:vAlign w:val="center"/>
          </w:tcPr>
          <w:p>
            <w:pPr>
              <w:spacing w:line="360" w:lineRule="auto"/>
              <w:ind w:left="113" w:leftChars="54" w:right="113" w:firstLine="1120" w:firstLineChars="400"/>
              <w:jc w:val="center"/>
              <w:rPr>
                <w:color w:val="auto"/>
                <w:sz w:val="28"/>
              </w:rPr>
            </w:pPr>
            <w:r>
              <w:rPr>
                <w:color w:val="auto"/>
                <w:sz w:val="28"/>
              </w:rPr>
              <w:t>环境质量标准</w:t>
            </w:r>
          </w:p>
        </w:tc>
        <w:tc>
          <w:tcPr>
            <w:tcW w:w="7668" w:type="dxa"/>
            <w:tcBorders>
              <w:top w:val="single" w:color="auto" w:sz="4" w:space="0"/>
              <w:left w:val="single" w:color="auto" w:sz="4" w:space="0"/>
              <w:bottom w:val="single" w:color="auto" w:sz="4" w:space="0"/>
              <w:right w:val="single" w:color="auto" w:sz="4" w:space="0"/>
            </w:tcBorders>
            <w:vAlign w:val="top"/>
          </w:tcPr>
          <w:p>
            <w:pPr>
              <w:adjustRightInd w:val="0"/>
              <w:spacing w:line="360" w:lineRule="auto"/>
              <w:ind w:firstLine="480" w:firstLineChars="200"/>
              <w:rPr>
                <w:rFonts w:hint="eastAsia"/>
                <w:bCs/>
                <w:color w:val="auto"/>
                <w:sz w:val="24"/>
              </w:rPr>
            </w:pPr>
            <w:r>
              <w:rPr>
                <w:rFonts w:hint="eastAsia"/>
                <w:bCs/>
                <w:color w:val="auto"/>
                <w:sz w:val="24"/>
              </w:rPr>
              <w:t>1、本项目所在区域属于二类功能区，区域环境空气质量执行</w:t>
            </w:r>
            <w:r>
              <w:rPr>
                <w:bCs/>
                <w:color w:val="auto"/>
                <w:sz w:val="24"/>
              </w:rPr>
              <w:t>《环境空气质量标准》（GB3095-</w:t>
            </w:r>
            <w:r>
              <w:rPr>
                <w:rFonts w:hint="eastAsia"/>
                <w:bCs/>
                <w:color w:val="auto"/>
                <w:sz w:val="24"/>
              </w:rPr>
              <w:t>2012</w:t>
            </w:r>
            <w:r>
              <w:rPr>
                <w:bCs/>
                <w:color w:val="auto"/>
                <w:sz w:val="24"/>
              </w:rPr>
              <w:t>）中</w:t>
            </w:r>
            <w:r>
              <w:rPr>
                <w:rFonts w:hint="eastAsia"/>
                <w:bCs/>
                <w:color w:val="auto"/>
                <w:sz w:val="24"/>
              </w:rPr>
              <w:t>的</w:t>
            </w:r>
            <w:r>
              <w:rPr>
                <w:bCs/>
                <w:color w:val="auto"/>
                <w:sz w:val="24"/>
              </w:rPr>
              <w:t>二级标准</w:t>
            </w:r>
            <w:r>
              <w:rPr>
                <w:rFonts w:hint="eastAsia"/>
                <w:bCs/>
                <w:color w:val="auto"/>
                <w:sz w:val="24"/>
              </w:rPr>
              <w:t>，具体标准见表</w:t>
            </w:r>
            <w:r>
              <w:rPr>
                <w:rFonts w:hint="eastAsia"/>
                <w:bCs/>
                <w:color w:val="auto"/>
                <w:sz w:val="24"/>
                <w:lang w:val="en-US" w:eastAsia="zh-CN"/>
              </w:rPr>
              <w:t>21</w:t>
            </w:r>
            <w:r>
              <w:rPr>
                <w:rFonts w:hint="eastAsia"/>
                <w:bCs/>
                <w:color w:val="auto"/>
                <w:sz w:val="24"/>
              </w:rPr>
              <w:t>。</w:t>
            </w:r>
          </w:p>
          <w:p>
            <w:pPr>
              <w:spacing w:line="360" w:lineRule="auto"/>
              <w:ind w:firstLine="316" w:firstLineChars="150"/>
              <w:jc w:val="center"/>
              <w:rPr>
                <w:b/>
                <w:color w:val="auto"/>
                <w:szCs w:val="21"/>
              </w:rPr>
            </w:pPr>
            <w:r>
              <w:rPr>
                <w:b/>
                <w:color w:val="auto"/>
                <w:szCs w:val="21"/>
              </w:rPr>
              <w:t>表</w:t>
            </w:r>
            <w:r>
              <w:rPr>
                <w:rFonts w:hint="eastAsia"/>
                <w:b/>
                <w:color w:val="auto"/>
                <w:szCs w:val="21"/>
                <w:lang w:val="en-US" w:eastAsia="zh-CN"/>
              </w:rPr>
              <w:t>21</w:t>
            </w:r>
            <w:r>
              <w:rPr>
                <w:b/>
                <w:color w:val="auto"/>
                <w:szCs w:val="21"/>
              </w:rPr>
              <w:t xml:space="preserve">  环境空气质量标准值表</w:t>
            </w:r>
          </w:p>
          <w:tbl>
            <w:tblPr>
              <w:tblStyle w:val="14"/>
              <w:tblW w:w="74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9"/>
              <w:gridCol w:w="1860"/>
              <w:gridCol w:w="2163"/>
              <w:gridCol w:w="19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shd w:val="clear" w:color="auto" w:fill="auto"/>
                  <w:tcMar>
                    <w:left w:w="17" w:type="dxa"/>
                    <w:right w:w="17" w:type="dxa"/>
                  </w:tcMar>
                  <w:vAlign w:val="center"/>
                </w:tcPr>
                <w:p>
                  <w:pPr>
                    <w:jc w:val="center"/>
                    <w:rPr>
                      <w:color w:val="auto"/>
                      <w:szCs w:val="21"/>
                    </w:rPr>
                  </w:pPr>
                  <w:r>
                    <w:rPr>
                      <w:rFonts w:hAnsi="宋体"/>
                      <w:color w:val="auto"/>
                      <w:szCs w:val="21"/>
                    </w:rPr>
                    <w:t>污染物名称</w:t>
                  </w:r>
                </w:p>
              </w:tc>
              <w:tc>
                <w:tcPr>
                  <w:tcW w:w="1860" w:type="dxa"/>
                  <w:shd w:val="clear" w:color="auto" w:fill="auto"/>
                  <w:tcMar>
                    <w:left w:w="17" w:type="dxa"/>
                    <w:right w:w="17" w:type="dxa"/>
                  </w:tcMar>
                  <w:vAlign w:val="center"/>
                </w:tcPr>
                <w:p>
                  <w:pPr>
                    <w:jc w:val="center"/>
                    <w:rPr>
                      <w:color w:val="auto"/>
                      <w:szCs w:val="21"/>
                    </w:rPr>
                  </w:pPr>
                  <w:r>
                    <w:rPr>
                      <w:rFonts w:hAnsi="宋体"/>
                      <w:color w:val="auto"/>
                      <w:szCs w:val="21"/>
                    </w:rPr>
                    <w:t>取值时间</w:t>
                  </w:r>
                </w:p>
              </w:tc>
              <w:tc>
                <w:tcPr>
                  <w:tcW w:w="2163" w:type="dxa"/>
                  <w:shd w:val="clear" w:color="auto" w:fill="auto"/>
                  <w:tcMar>
                    <w:left w:w="17" w:type="dxa"/>
                    <w:right w:w="17" w:type="dxa"/>
                  </w:tcMar>
                  <w:vAlign w:val="center"/>
                </w:tcPr>
                <w:p>
                  <w:pPr>
                    <w:jc w:val="center"/>
                    <w:rPr>
                      <w:color w:val="auto"/>
                      <w:szCs w:val="21"/>
                    </w:rPr>
                  </w:pPr>
                  <w:r>
                    <w:rPr>
                      <w:rFonts w:hAnsi="宋体"/>
                      <w:color w:val="auto"/>
                      <w:szCs w:val="21"/>
                    </w:rPr>
                    <w:t>二级标准浓度限值</w:t>
                  </w:r>
                </w:p>
              </w:tc>
              <w:tc>
                <w:tcPr>
                  <w:tcW w:w="1910" w:type="dxa"/>
                  <w:shd w:val="clear" w:color="auto" w:fill="auto"/>
                  <w:tcMar>
                    <w:left w:w="17" w:type="dxa"/>
                    <w:right w:w="17" w:type="dxa"/>
                  </w:tcMar>
                  <w:vAlign w:val="center"/>
                </w:tcPr>
                <w:p>
                  <w:pPr>
                    <w:jc w:val="center"/>
                    <w:rPr>
                      <w:color w:val="auto"/>
                      <w:szCs w:val="21"/>
                    </w:rPr>
                  </w:pPr>
                  <w:r>
                    <w:rPr>
                      <w:rFonts w:hAnsi="宋体"/>
                      <w:color w:val="auto"/>
                      <w:szCs w:val="21"/>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restart"/>
                  <w:shd w:val="clear" w:color="auto" w:fill="auto"/>
                  <w:tcMar>
                    <w:left w:w="17" w:type="dxa"/>
                    <w:right w:w="17" w:type="dxa"/>
                  </w:tcMar>
                  <w:vAlign w:val="center"/>
                </w:tcPr>
                <w:p>
                  <w:pPr>
                    <w:jc w:val="center"/>
                    <w:rPr>
                      <w:color w:val="auto"/>
                      <w:szCs w:val="21"/>
                    </w:rPr>
                  </w:pPr>
                  <w:r>
                    <w:rPr>
                      <w:color w:val="auto"/>
                      <w:szCs w:val="21"/>
                    </w:rPr>
                    <w:t>SO</w:t>
                  </w:r>
                  <w:r>
                    <w:rPr>
                      <w:color w:val="auto"/>
                      <w:szCs w:val="21"/>
                      <w:vertAlign w:val="subscript"/>
                    </w:rPr>
                    <w:t>2</w:t>
                  </w:r>
                </w:p>
              </w:tc>
              <w:tc>
                <w:tcPr>
                  <w:tcW w:w="1860" w:type="dxa"/>
                  <w:shd w:val="clear" w:color="auto" w:fill="auto"/>
                  <w:tcMar>
                    <w:left w:w="17" w:type="dxa"/>
                    <w:right w:w="17" w:type="dxa"/>
                  </w:tcMar>
                  <w:vAlign w:val="center"/>
                </w:tcPr>
                <w:p>
                  <w:pPr>
                    <w:jc w:val="center"/>
                    <w:rPr>
                      <w:color w:val="auto"/>
                      <w:szCs w:val="21"/>
                    </w:rPr>
                  </w:pPr>
                  <w:r>
                    <w:rPr>
                      <w:rFonts w:hAnsi="宋体"/>
                      <w:color w:val="auto"/>
                      <w:szCs w:val="21"/>
                    </w:rPr>
                    <w:t>年平均</w:t>
                  </w:r>
                </w:p>
              </w:tc>
              <w:tc>
                <w:tcPr>
                  <w:tcW w:w="2163" w:type="dxa"/>
                  <w:shd w:val="clear" w:color="auto" w:fill="auto"/>
                  <w:tcMar>
                    <w:left w:w="17" w:type="dxa"/>
                    <w:right w:w="17" w:type="dxa"/>
                  </w:tcMar>
                  <w:vAlign w:val="center"/>
                </w:tcPr>
                <w:p>
                  <w:pPr>
                    <w:jc w:val="center"/>
                    <w:rPr>
                      <w:color w:val="auto"/>
                      <w:szCs w:val="21"/>
                    </w:rPr>
                  </w:pPr>
                  <w:r>
                    <w:rPr>
                      <w:color w:val="auto"/>
                      <w:szCs w:val="21"/>
                    </w:rPr>
                    <w:t>60</w:t>
                  </w:r>
                </w:p>
              </w:tc>
              <w:tc>
                <w:tcPr>
                  <w:tcW w:w="1910" w:type="dxa"/>
                  <w:vMerge w:val="restart"/>
                  <w:shd w:val="clear" w:color="auto" w:fill="auto"/>
                  <w:tcMar>
                    <w:left w:w="17" w:type="dxa"/>
                    <w:right w:w="17" w:type="dxa"/>
                  </w:tcMar>
                  <w:vAlign w:val="center"/>
                </w:tcPr>
                <w:p>
                  <w:pPr>
                    <w:jc w:val="center"/>
                    <w:rPr>
                      <w:color w:val="auto"/>
                      <w:szCs w:val="21"/>
                    </w:rPr>
                  </w:pPr>
                  <w:r>
                    <w:rPr>
                      <w:color w:val="auto"/>
                      <w:szCs w:val="21"/>
                    </w:rPr>
                    <w:t>μg/</w:t>
                  </w:r>
                  <w:r>
                    <w:rPr>
                      <w:rFonts w:hint="eastAsia"/>
                      <w:color w:val="auto"/>
                      <w:szCs w:val="21"/>
                      <w:lang w:eastAsia="zh-CN"/>
                    </w:rPr>
                    <w:t>m³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24</w:t>
                  </w:r>
                  <w:r>
                    <w:rPr>
                      <w:rFonts w:hAnsi="宋体"/>
                      <w:color w:val="auto"/>
                      <w:szCs w:val="21"/>
                    </w:rPr>
                    <w:t>小时平均</w:t>
                  </w:r>
                </w:p>
              </w:tc>
              <w:tc>
                <w:tcPr>
                  <w:tcW w:w="2163" w:type="dxa"/>
                  <w:shd w:val="clear" w:color="auto" w:fill="auto"/>
                  <w:tcMar>
                    <w:left w:w="17" w:type="dxa"/>
                    <w:right w:w="17" w:type="dxa"/>
                  </w:tcMar>
                  <w:vAlign w:val="center"/>
                </w:tcPr>
                <w:p>
                  <w:pPr>
                    <w:jc w:val="center"/>
                    <w:rPr>
                      <w:color w:val="auto"/>
                      <w:szCs w:val="21"/>
                    </w:rPr>
                  </w:pPr>
                  <w:r>
                    <w:rPr>
                      <w:color w:val="auto"/>
                      <w:szCs w:val="21"/>
                    </w:rPr>
                    <w:t>150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1</w:t>
                  </w:r>
                  <w:r>
                    <w:rPr>
                      <w:rFonts w:hAnsi="宋体"/>
                      <w:color w:val="auto"/>
                      <w:szCs w:val="21"/>
                    </w:rPr>
                    <w:t>小时平均</w:t>
                  </w:r>
                </w:p>
              </w:tc>
              <w:tc>
                <w:tcPr>
                  <w:tcW w:w="2163" w:type="dxa"/>
                  <w:shd w:val="clear" w:color="auto" w:fill="auto"/>
                  <w:tcMar>
                    <w:left w:w="17" w:type="dxa"/>
                    <w:right w:w="17" w:type="dxa"/>
                  </w:tcMar>
                  <w:vAlign w:val="center"/>
                </w:tcPr>
                <w:p>
                  <w:pPr>
                    <w:jc w:val="center"/>
                    <w:rPr>
                      <w:color w:val="auto"/>
                      <w:szCs w:val="21"/>
                    </w:rPr>
                  </w:pPr>
                  <w:r>
                    <w:rPr>
                      <w:color w:val="auto"/>
                      <w:szCs w:val="21"/>
                    </w:rPr>
                    <w:t>500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restart"/>
                  <w:shd w:val="clear" w:color="auto" w:fill="auto"/>
                  <w:tcMar>
                    <w:left w:w="17" w:type="dxa"/>
                    <w:right w:w="17" w:type="dxa"/>
                  </w:tcMar>
                  <w:vAlign w:val="center"/>
                </w:tcPr>
                <w:p>
                  <w:pPr>
                    <w:jc w:val="center"/>
                    <w:rPr>
                      <w:color w:val="auto"/>
                      <w:szCs w:val="21"/>
                    </w:rPr>
                  </w:pPr>
                  <w:r>
                    <w:rPr>
                      <w:color w:val="auto"/>
                      <w:szCs w:val="21"/>
                    </w:rPr>
                    <w:t>NO</w:t>
                  </w:r>
                  <w:r>
                    <w:rPr>
                      <w:color w:val="auto"/>
                      <w:szCs w:val="21"/>
                      <w:vertAlign w:val="subscript"/>
                    </w:rPr>
                    <w:t>2</w:t>
                  </w:r>
                </w:p>
              </w:tc>
              <w:tc>
                <w:tcPr>
                  <w:tcW w:w="1860" w:type="dxa"/>
                  <w:shd w:val="clear" w:color="auto" w:fill="auto"/>
                  <w:tcMar>
                    <w:left w:w="17" w:type="dxa"/>
                    <w:right w:w="17" w:type="dxa"/>
                  </w:tcMar>
                  <w:vAlign w:val="center"/>
                </w:tcPr>
                <w:p>
                  <w:pPr>
                    <w:jc w:val="center"/>
                    <w:rPr>
                      <w:color w:val="auto"/>
                      <w:szCs w:val="21"/>
                    </w:rPr>
                  </w:pPr>
                  <w:r>
                    <w:rPr>
                      <w:rFonts w:hAnsi="宋体"/>
                      <w:color w:val="auto"/>
                      <w:szCs w:val="21"/>
                    </w:rPr>
                    <w:t>年平均</w:t>
                  </w:r>
                </w:p>
              </w:tc>
              <w:tc>
                <w:tcPr>
                  <w:tcW w:w="2163" w:type="dxa"/>
                  <w:shd w:val="clear" w:color="auto" w:fill="auto"/>
                  <w:tcMar>
                    <w:left w:w="17" w:type="dxa"/>
                    <w:right w:w="17" w:type="dxa"/>
                  </w:tcMar>
                  <w:vAlign w:val="center"/>
                </w:tcPr>
                <w:p>
                  <w:pPr>
                    <w:jc w:val="center"/>
                    <w:rPr>
                      <w:color w:val="auto"/>
                      <w:szCs w:val="21"/>
                    </w:rPr>
                  </w:pPr>
                  <w:r>
                    <w:rPr>
                      <w:color w:val="auto"/>
                      <w:szCs w:val="21"/>
                    </w:rPr>
                    <w:t>40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24</w:t>
                  </w:r>
                  <w:r>
                    <w:rPr>
                      <w:rFonts w:hAnsi="宋体"/>
                      <w:color w:val="auto"/>
                      <w:szCs w:val="21"/>
                    </w:rPr>
                    <w:t>小时平均</w:t>
                  </w:r>
                </w:p>
              </w:tc>
              <w:tc>
                <w:tcPr>
                  <w:tcW w:w="2163" w:type="dxa"/>
                  <w:shd w:val="clear" w:color="auto" w:fill="auto"/>
                  <w:tcMar>
                    <w:left w:w="17" w:type="dxa"/>
                    <w:right w:w="17" w:type="dxa"/>
                  </w:tcMar>
                  <w:vAlign w:val="center"/>
                </w:tcPr>
                <w:p>
                  <w:pPr>
                    <w:jc w:val="center"/>
                    <w:rPr>
                      <w:color w:val="auto"/>
                      <w:szCs w:val="21"/>
                    </w:rPr>
                  </w:pPr>
                  <w:r>
                    <w:rPr>
                      <w:color w:val="auto"/>
                      <w:szCs w:val="21"/>
                    </w:rPr>
                    <w:t>80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1</w:t>
                  </w:r>
                  <w:r>
                    <w:rPr>
                      <w:rFonts w:hAnsi="宋体"/>
                      <w:color w:val="auto"/>
                      <w:szCs w:val="21"/>
                    </w:rPr>
                    <w:t>小时平均</w:t>
                  </w:r>
                </w:p>
              </w:tc>
              <w:tc>
                <w:tcPr>
                  <w:tcW w:w="2163" w:type="dxa"/>
                  <w:shd w:val="clear" w:color="auto" w:fill="auto"/>
                  <w:tcMar>
                    <w:left w:w="17" w:type="dxa"/>
                    <w:right w:w="17" w:type="dxa"/>
                  </w:tcMar>
                  <w:vAlign w:val="center"/>
                </w:tcPr>
                <w:p>
                  <w:pPr>
                    <w:jc w:val="center"/>
                    <w:rPr>
                      <w:color w:val="auto"/>
                      <w:szCs w:val="21"/>
                    </w:rPr>
                  </w:pPr>
                  <w:r>
                    <w:rPr>
                      <w:color w:val="auto"/>
                      <w:szCs w:val="21"/>
                    </w:rPr>
                    <w:t>200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restart"/>
                  <w:shd w:val="clear" w:color="auto" w:fill="auto"/>
                  <w:tcMar>
                    <w:left w:w="17" w:type="dxa"/>
                    <w:right w:w="17" w:type="dxa"/>
                  </w:tcMar>
                  <w:vAlign w:val="center"/>
                </w:tcPr>
                <w:p>
                  <w:pPr>
                    <w:jc w:val="center"/>
                    <w:rPr>
                      <w:color w:val="auto"/>
                      <w:szCs w:val="21"/>
                    </w:rPr>
                  </w:pPr>
                  <w:r>
                    <w:rPr>
                      <w:rFonts w:hint="eastAsia"/>
                      <w:color w:val="auto"/>
                      <w:szCs w:val="21"/>
                    </w:rPr>
                    <w:t>TSP</w:t>
                  </w:r>
                </w:p>
              </w:tc>
              <w:tc>
                <w:tcPr>
                  <w:tcW w:w="1860" w:type="dxa"/>
                  <w:shd w:val="clear" w:color="auto" w:fill="auto"/>
                  <w:tcMar>
                    <w:left w:w="17" w:type="dxa"/>
                    <w:right w:w="17" w:type="dxa"/>
                  </w:tcMar>
                  <w:vAlign w:val="center"/>
                </w:tcPr>
                <w:p>
                  <w:pPr>
                    <w:jc w:val="center"/>
                    <w:rPr>
                      <w:color w:val="auto"/>
                      <w:szCs w:val="21"/>
                    </w:rPr>
                  </w:pPr>
                  <w:r>
                    <w:rPr>
                      <w:rFonts w:hAnsi="宋体"/>
                      <w:color w:val="auto"/>
                      <w:szCs w:val="21"/>
                    </w:rPr>
                    <w:t>年平均</w:t>
                  </w:r>
                </w:p>
              </w:tc>
              <w:tc>
                <w:tcPr>
                  <w:tcW w:w="2163" w:type="dxa"/>
                  <w:shd w:val="clear" w:color="auto" w:fill="auto"/>
                  <w:tcMar>
                    <w:left w:w="17" w:type="dxa"/>
                    <w:right w:w="17" w:type="dxa"/>
                  </w:tcMar>
                  <w:vAlign w:val="center"/>
                </w:tcPr>
                <w:p>
                  <w:pPr>
                    <w:jc w:val="center"/>
                    <w:rPr>
                      <w:color w:val="auto"/>
                      <w:szCs w:val="21"/>
                    </w:rPr>
                  </w:pPr>
                  <w:r>
                    <w:rPr>
                      <w:rFonts w:hint="eastAsia"/>
                      <w:color w:val="auto"/>
                      <w:szCs w:val="21"/>
                    </w:rPr>
                    <w:t>200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24</w:t>
                  </w:r>
                  <w:r>
                    <w:rPr>
                      <w:rFonts w:hAnsi="宋体"/>
                      <w:color w:val="auto"/>
                      <w:szCs w:val="21"/>
                    </w:rPr>
                    <w:t>小时平均</w:t>
                  </w:r>
                </w:p>
              </w:tc>
              <w:tc>
                <w:tcPr>
                  <w:tcW w:w="2163" w:type="dxa"/>
                  <w:shd w:val="clear" w:color="auto" w:fill="auto"/>
                  <w:tcMar>
                    <w:left w:w="17" w:type="dxa"/>
                    <w:right w:w="17" w:type="dxa"/>
                  </w:tcMar>
                  <w:vAlign w:val="center"/>
                </w:tcPr>
                <w:p>
                  <w:pPr>
                    <w:jc w:val="center"/>
                    <w:rPr>
                      <w:color w:val="auto"/>
                      <w:szCs w:val="21"/>
                    </w:rPr>
                  </w:pPr>
                  <w:r>
                    <w:rPr>
                      <w:rFonts w:hint="eastAsia"/>
                      <w:color w:val="auto"/>
                      <w:szCs w:val="21"/>
                    </w:rPr>
                    <w:t>300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restart"/>
                  <w:shd w:val="clear" w:color="auto" w:fill="auto"/>
                  <w:tcMar>
                    <w:left w:w="17" w:type="dxa"/>
                    <w:right w:w="17" w:type="dxa"/>
                  </w:tcMar>
                  <w:vAlign w:val="center"/>
                </w:tcPr>
                <w:p>
                  <w:pPr>
                    <w:jc w:val="center"/>
                    <w:rPr>
                      <w:rFonts w:hint="eastAsia"/>
                      <w:color w:val="auto"/>
                      <w:szCs w:val="21"/>
                    </w:rPr>
                  </w:pPr>
                  <w:r>
                    <w:rPr>
                      <w:rFonts w:hint="eastAsia"/>
                      <w:color w:val="auto"/>
                      <w:szCs w:val="21"/>
                    </w:rPr>
                    <w:t>PM</w:t>
                  </w:r>
                  <w:r>
                    <w:rPr>
                      <w:rFonts w:hint="eastAsia"/>
                      <w:color w:val="auto"/>
                      <w:szCs w:val="21"/>
                      <w:vertAlign w:val="subscript"/>
                    </w:rPr>
                    <w:t>10</w:t>
                  </w:r>
                </w:p>
              </w:tc>
              <w:tc>
                <w:tcPr>
                  <w:tcW w:w="1860" w:type="dxa"/>
                  <w:shd w:val="clear" w:color="auto" w:fill="auto"/>
                  <w:tcMar>
                    <w:left w:w="17" w:type="dxa"/>
                    <w:right w:w="17" w:type="dxa"/>
                  </w:tcMar>
                  <w:vAlign w:val="center"/>
                </w:tcPr>
                <w:p>
                  <w:pPr>
                    <w:jc w:val="center"/>
                    <w:rPr>
                      <w:color w:val="auto"/>
                      <w:szCs w:val="21"/>
                    </w:rPr>
                  </w:pPr>
                  <w:r>
                    <w:rPr>
                      <w:rFonts w:hAnsi="宋体"/>
                      <w:color w:val="auto"/>
                      <w:szCs w:val="21"/>
                    </w:rPr>
                    <w:t>年平均</w:t>
                  </w:r>
                </w:p>
              </w:tc>
              <w:tc>
                <w:tcPr>
                  <w:tcW w:w="2163" w:type="dxa"/>
                  <w:shd w:val="clear" w:color="auto" w:fill="auto"/>
                  <w:tcMar>
                    <w:left w:w="17" w:type="dxa"/>
                    <w:right w:w="17" w:type="dxa"/>
                  </w:tcMar>
                  <w:vAlign w:val="center"/>
                </w:tcPr>
                <w:p>
                  <w:pPr>
                    <w:jc w:val="center"/>
                    <w:rPr>
                      <w:rFonts w:hint="eastAsia"/>
                      <w:color w:val="auto"/>
                      <w:szCs w:val="21"/>
                    </w:rPr>
                  </w:pPr>
                  <w:r>
                    <w:rPr>
                      <w:rFonts w:hint="eastAsia"/>
                      <w:color w:val="auto"/>
                      <w:szCs w:val="21"/>
                    </w:rPr>
                    <w:t>70</w:t>
                  </w:r>
                </w:p>
              </w:tc>
              <w:tc>
                <w:tcPr>
                  <w:tcW w:w="1910" w:type="dxa"/>
                  <w:vMerge w:val="continue"/>
                  <w:shd w:val="clear" w:color="auto" w:fill="auto"/>
                  <w:tcMar>
                    <w:left w:w="17" w:type="dxa"/>
                    <w:right w:w="17" w:type="dxa"/>
                  </w:tcMar>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489" w:type="dxa"/>
                  <w:vMerge w:val="continue"/>
                  <w:shd w:val="clear" w:color="auto" w:fill="auto"/>
                  <w:tcMar>
                    <w:left w:w="17" w:type="dxa"/>
                    <w:right w:w="17" w:type="dxa"/>
                  </w:tcMar>
                  <w:vAlign w:val="center"/>
                </w:tcPr>
                <w:p>
                  <w:pPr>
                    <w:jc w:val="center"/>
                    <w:rPr>
                      <w:color w:val="auto"/>
                      <w:szCs w:val="21"/>
                    </w:rPr>
                  </w:pPr>
                </w:p>
              </w:tc>
              <w:tc>
                <w:tcPr>
                  <w:tcW w:w="1860" w:type="dxa"/>
                  <w:shd w:val="clear" w:color="auto" w:fill="auto"/>
                  <w:tcMar>
                    <w:left w:w="17" w:type="dxa"/>
                    <w:right w:w="17" w:type="dxa"/>
                  </w:tcMar>
                  <w:vAlign w:val="center"/>
                </w:tcPr>
                <w:p>
                  <w:pPr>
                    <w:jc w:val="center"/>
                    <w:rPr>
                      <w:color w:val="auto"/>
                      <w:szCs w:val="21"/>
                    </w:rPr>
                  </w:pPr>
                  <w:r>
                    <w:rPr>
                      <w:color w:val="auto"/>
                      <w:szCs w:val="21"/>
                    </w:rPr>
                    <w:t>24</w:t>
                  </w:r>
                  <w:r>
                    <w:rPr>
                      <w:rFonts w:hAnsi="宋体"/>
                      <w:color w:val="auto"/>
                      <w:szCs w:val="21"/>
                    </w:rPr>
                    <w:t>小时平均</w:t>
                  </w:r>
                </w:p>
              </w:tc>
              <w:tc>
                <w:tcPr>
                  <w:tcW w:w="2163" w:type="dxa"/>
                  <w:shd w:val="clear" w:color="auto" w:fill="auto"/>
                  <w:tcMar>
                    <w:left w:w="17" w:type="dxa"/>
                    <w:right w:w="17" w:type="dxa"/>
                  </w:tcMar>
                  <w:vAlign w:val="center"/>
                </w:tcPr>
                <w:p>
                  <w:pPr>
                    <w:jc w:val="center"/>
                    <w:rPr>
                      <w:rFonts w:hint="eastAsia"/>
                      <w:color w:val="auto"/>
                      <w:szCs w:val="21"/>
                    </w:rPr>
                  </w:pPr>
                  <w:r>
                    <w:rPr>
                      <w:rFonts w:hint="eastAsia"/>
                      <w:color w:val="auto"/>
                      <w:szCs w:val="21"/>
                    </w:rPr>
                    <w:t>150</w:t>
                  </w:r>
                </w:p>
              </w:tc>
              <w:tc>
                <w:tcPr>
                  <w:tcW w:w="1910" w:type="dxa"/>
                  <w:vMerge w:val="continue"/>
                  <w:shd w:val="clear" w:color="auto" w:fill="auto"/>
                  <w:tcMar>
                    <w:left w:w="17" w:type="dxa"/>
                    <w:right w:w="17" w:type="dxa"/>
                  </w:tcMar>
                  <w:vAlign w:val="center"/>
                </w:tcPr>
                <w:p>
                  <w:pPr>
                    <w:jc w:val="center"/>
                    <w:rPr>
                      <w:color w:val="auto"/>
                      <w:szCs w:val="21"/>
                    </w:rPr>
                  </w:pPr>
                </w:p>
              </w:tc>
            </w:tr>
          </w:tbl>
          <w:p>
            <w:pPr>
              <w:adjustRightInd w:val="0"/>
              <w:spacing w:line="360" w:lineRule="auto"/>
              <w:ind w:firstLine="480" w:firstLineChars="200"/>
              <w:rPr>
                <w:rFonts w:hint="eastAsia"/>
                <w:color w:val="auto"/>
                <w:sz w:val="24"/>
              </w:rPr>
            </w:pPr>
            <w:r>
              <w:rPr>
                <w:rFonts w:hint="eastAsia"/>
                <w:bCs/>
                <w:color w:val="auto"/>
                <w:sz w:val="24"/>
              </w:rPr>
              <w:t>2、区域地表水水质执行</w:t>
            </w:r>
            <w:r>
              <w:rPr>
                <w:bCs/>
                <w:color w:val="auto"/>
                <w:sz w:val="24"/>
              </w:rPr>
              <w:t>《地表水环境质量标准》</w:t>
            </w:r>
            <w:r>
              <w:rPr>
                <w:rFonts w:hint="eastAsia"/>
                <w:bCs/>
                <w:color w:val="auto"/>
                <w:sz w:val="24"/>
              </w:rPr>
              <w:t>（</w:t>
            </w:r>
            <w:r>
              <w:rPr>
                <w:bCs/>
                <w:color w:val="auto"/>
                <w:sz w:val="24"/>
              </w:rPr>
              <w:t>GB3838-2002</w:t>
            </w:r>
            <w:r>
              <w:rPr>
                <w:rFonts w:hint="eastAsia"/>
                <w:bCs/>
                <w:color w:val="auto"/>
                <w:sz w:val="24"/>
              </w:rPr>
              <w:t>）中的</w:t>
            </w:r>
            <w:r>
              <w:rPr>
                <w:bCs/>
                <w:color w:val="auto"/>
                <w:sz w:val="24"/>
              </w:rPr>
              <w:t>Ⅲ类</w:t>
            </w:r>
            <w:r>
              <w:rPr>
                <w:rFonts w:hint="eastAsia"/>
                <w:bCs/>
                <w:color w:val="auto"/>
                <w:sz w:val="24"/>
              </w:rPr>
              <w:t>水体标准，具体标准见表</w:t>
            </w:r>
            <w:r>
              <w:rPr>
                <w:rFonts w:hint="eastAsia"/>
                <w:bCs/>
                <w:color w:val="auto"/>
                <w:sz w:val="24"/>
                <w:lang w:val="en-US" w:eastAsia="zh-CN"/>
              </w:rPr>
              <w:t>22</w:t>
            </w:r>
            <w:r>
              <w:rPr>
                <w:rFonts w:hint="eastAsia"/>
                <w:color w:val="auto"/>
                <w:sz w:val="24"/>
              </w:rPr>
              <w:t>。</w:t>
            </w:r>
          </w:p>
          <w:p>
            <w:pPr>
              <w:spacing w:line="360" w:lineRule="auto"/>
              <w:jc w:val="center"/>
              <w:rPr>
                <w:rFonts w:eastAsia="新宋体"/>
                <w:b/>
                <w:bCs/>
                <w:color w:val="auto"/>
                <w:szCs w:val="21"/>
              </w:rPr>
            </w:pPr>
            <w:r>
              <w:rPr>
                <w:rFonts w:hAnsi="新宋体" w:eastAsia="新宋体"/>
                <w:b/>
                <w:bCs/>
                <w:color w:val="auto"/>
                <w:szCs w:val="21"/>
              </w:rPr>
              <w:t>表</w:t>
            </w:r>
            <w:r>
              <w:rPr>
                <w:rFonts w:hint="eastAsia" w:hAnsi="新宋体" w:eastAsia="新宋体"/>
                <w:b/>
                <w:bCs/>
                <w:color w:val="auto"/>
                <w:szCs w:val="21"/>
                <w:lang w:val="en-US" w:eastAsia="zh-CN"/>
              </w:rPr>
              <w:t>22</w:t>
            </w:r>
            <w:r>
              <w:rPr>
                <w:rFonts w:eastAsia="新宋体"/>
                <w:b/>
                <w:bCs/>
                <w:color w:val="auto"/>
                <w:szCs w:val="21"/>
              </w:rPr>
              <w:t xml:space="preserve">  </w:t>
            </w:r>
            <w:r>
              <w:rPr>
                <w:rFonts w:hAnsi="新宋体" w:eastAsia="新宋体"/>
                <w:b/>
                <w:bCs/>
                <w:color w:val="auto"/>
                <w:szCs w:val="21"/>
              </w:rPr>
              <w:t>地表水环境质量标准值表</w:t>
            </w:r>
          </w:p>
          <w:tbl>
            <w:tblPr>
              <w:tblStyle w:val="14"/>
              <w:tblW w:w="742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25"/>
              <w:gridCol w:w="1582"/>
              <w:gridCol w:w="1556"/>
              <w:gridCol w:w="27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bCs/>
                      <w:color w:val="auto"/>
                      <w:szCs w:val="21"/>
                    </w:rPr>
                  </w:pPr>
                  <w:r>
                    <w:rPr>
                      <w:rFonts w:hint="eastAsia" w:hAnsi="宋体"/>
                      <w:bCs/>
                      <w:color w:val="auto"/>
                      <w:szCs w:val="21"/>
                    </w:rPr>
                    <w:t>序号</w:t>
                  </w:r>
                </w:p>
              </w:tc>
              <w:tc>
                <w:tcPr>
                  <w:tcW w:w="1582" w:type="dxa"/>
                  <w:shd w:val="clear" w:color="auto" w:fill="auto"/>
                  <w:vAlign w:val="center"/>
                </w:tcPr>
                <w:p>
                  <w:pPr>
                    <w:jc w:val="center"/>
                    <w:rPr>
                      <w:bCs/>
                      <w:color w:val="auto"/>
                      <w:szCs w:val="21"/>
                    </w:rPr>
                  </w:pPr>
                  <w:r>
                    <w:rPr>
                      <w:rFonts w:hint="eastAsia"/>
                      <w:bCs/>
                      <w:color w:val="auto"/>
                      <w:szCs w:val="21"/>
                    </w:rPr>
                    <w:t>项目</w:t>
                  </w:r>
                </w:p>
              </w:tc>
              <w:tc>
                <w:tcPr>
                  <w:tcW w:w="1556" w:type="dxa"/>
                  <w:shd w:val="clear" w:color="auto" w:fill="auto"/>
                  <w:vAlign w:val="center"/>
                </w:tcPr>
                <w:p>
                  <w:pPr>
                    <w:jc w:val="center"/>
                    <w:rPr>
                      <w:bCs/>
                      <w:color w:val="auto"/>
                      <w:szCs w:val="21"/>
                    </w:rPr>
                  </w:pPr>
                  <w:r>
                    <w:rPr>
                      <w:rFonts w:hint="eastAsia"/>
                      <w:bCs/>
                      <w:color w:val="auto"/>
                      <w:szCs w:val="21"/>
                    </w:rPr>
                    <w:t>单位</w:t>
                  </w:r>
                </w:p>
              </w:tc>
              <w:tc>
                <w:tcPr>
                  <w:tcW w:w="2759" w:type="dxa"/>
                  <w:tcBorders>
                    <w:left w:val="single" w:color="auto" w:sz="4" w:space="0"/>
                  </w:tcBorders>
                  <w:shd w:val="clear" w:color="auto" w:fill="auto"/>
                  <w:vAlign w:val="center"/>
                </w:tcPr>
                <w:p>
                  <w:pPr>
                    <w:jc w:val="center"/>
                    <w:rPr>
                      <w:rFonts w:hint="eastAsia"/>
                      <w:bCs/>
                      <w:color w:val="auto"/>
                      <w:szCs w:val="21"/>
                    </w:rPr>
                  </w:pPr>
                  <w:r>
                    <w:rPr>
                      <w:bCs/>
                      <w:color w:val="auto"/>
                      <w:szCs w:val="21"/>
                    </w:rPr>
                    <w:t>GB3838-2002</w:t>
                  </w:r>
                  <w:r>
                    <w:rPr>
                      <w:rFonts w:hint="eastAsia" w:ascii="宋体" w:hAnsi="宋体" w:cs="宋体"/>
                      <w:bCs/>
                      <w:color w:val="auto"/>
                      <w:szCs w:val="21"/>
                    </w:rPr>
                    <w:t>Ⅲ</w:t>
                  </w:r>
                  <w:r>
                    <w:rPr>
                      <w:bCs/>
                      <w:color w:val="auto"/>
                      <w:szCs w:val="21"/>
                    </w:rPr>
                    <w:t>类标准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Ansi="宋体"/>
                      <w:bCs/>
                      <w:color w:val="auto"/>
                      <w:szCs w:val="21"/>
                    </w:rPr>
                  </w:pPr>
                  <w:r>
                    <w:rPr>
                      <w:rFonts w:hint="eastAsia" w:hAnsi="宋体"/>
                      <w:bCs/>
                      <w:color w:val="auto"/>
                      <w:szCs w:val="21"/>
                    </w:rPr>
                    <w:t>1</w:t>
                  </w:r>
                </w:p>
              </w:tc>
              <w:tc>
                <w:tcPr>
                  <w:tcW w:w="1582" w:type="dxa"/>
                  <w:shd w:val="clear" w:color="auto" w:fill="auto"/>
                  <w:vAlign w:val="center"/>
                </w:tcPr>
                <w:p>
                  <w:pPr>
                    <w:jc w:val="center"/>
                    <w:rPr>
                      <w:rFonts w:hint="eastAsia"/>
                      <w:bCs/>
                      <w:color w:val="auto"/>
                      <w:szCs w:val="21"/>
                    </w:rPr>
                  </w:pPr>
                  <w:r>
                    <w:rPr>
                      <w:rFonts w:hint="eastAsia"/>
                      <w:bCs/>
                      <w:color w:val="auto"/>
                      <w:szCs w:val="21"/>
                    </w:rPr>
                    <w:t>p</w:t>
                  </w:r>
                  <w:r>
                    <w:rPr>
                      <w:bCs/>
                      <w:color w:val="auto"/>
                      <w:szCs w:val="21"/>
                    </w:rPr>
                    <w:t>H</w:t>
                  </w:r>
                </w:p>
              </w:tc>
              <w:tc>
                <w:tcPr>
                  <w:tcW w:w="1556" w:type="dxa"/>
                  <w:shd w:val="clear" w:color="auto" w:fill="auto"/>
                  <w:vAlign w:val="center"/>
                </w:tcPr>
                <w:p>
                  <w:pPr>
                    <w:jc w:val="center"/>
                    <w:rPr>
                      <w:bCs/>
                      <w:color w:val="auto"/>
                      <w:szCs w:val="21"/>
                    </w:rPr>
                  </w:pPr>
                  <w:r>
                    <w:rPr>
                      <w:bCs/>
                      <w:color w:val="auto"/>
                      <w:szCs w:val="21"/>
                    </w:rPr>
                    <w:t>无量纲</w:t>
                  </w:r>
                </w:p>
              </w:tc>
              <w:tc>
                <w:tcPr>
                  <w:tcW w:w="2759" w:type="dxa"/>
                  <w:tcBorders>
                    <w:left w:val="single" w:color="auto" w:sz="4" w:space="0"/>
                  </w:tcBorders>
                  <w:shd w:val="clear" w:color="auto" w:fill="auto"/>
                  <w:vAlign w:val="center"/>
                </w:tcPr>
                <w:p>
                  <w:pPr>
                    <w:jc w:val="center"/>
                    <w:rPr>
                      <w:bCs/>
                      <w:color w:val="auto"/>
                      <w:szCs w:val="21"/>
                    </w:rPr>
                  </w:pPr>
                  <w:r>
                    <w:rPr>
                      <w:bCs/>
                      <w:color w:val="auto"/>
                      <w:szCs w:val="21"/>
                    </w:rPr>
                    <w:t>6</w:t>
                  </w:r>
                  <w:r>
                    <w:rPr>
                      <w:rFonts w:hint="eastAsia"/>
                      <w:bCs/>
                      <w:color w:val="auto"/>
                      <w:szCs w:val="21"/>
                    </w:rPr>
                    <w:t>~</w:t>
                  </w:r>
                  <w:r>
                    <w:rPr>
                      <w:bCs/>
                      <w:color w:val="auto"/>
                      <w:szCs w:val="21"/>
                    </w:rPr>
                    <w:t>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2</w:t>
                  </w:r>
                </w:p>
              </w:tc>
              <w:tc>
                <w:tcPr>
                  <w:tcW w:w="1582" w:type="dxa"/>
                  <w:shd w:val="clear" w:color="auto" w:fill="auto"/>
                  <w:vAlign w:val="center"/>
                </w:tcPr>
                <w:p>
                  <w:pPr>
                    <w:jc w:val="center"/>
                    <w:rPr>
                      <w:rFonts w:hint="eastAsia"/>
                      <w:bCs/>
                      <w:color w:val="auto"/>
                      <w:szCs w:val="21"/>
                    </w:rPr>
                  </w:pPr>
                  <w:r>
                    <w:rPr>
                      <w:rFonts w:hint="eastAsia"/>
                      <w:bCs/>
                      <w:color w:val="auto"/>
                      <w:szCs w:val="21"/>
                    </w:rPr>
                    <w:t>SS</w:t>
                  </w:r>
                </w:p>
              </w:tc>
              <w:tc>
                <w:tcPr>
                  <w:tcW w:w="1556" w:type="dxa"/>
                  <w:shd w:val="clear" w:color="auto" w:fill="auto"/>
                  <w:vAlign w:val="center"/>
                </w:tcPr>
                <w:p>
                  <w:pPr>
                    <w:jc w:val="center"/>
                    <w:rPr>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rFonts w:hint="eastAsia"/>
                      <w:bCs/>
                      <w:color w:val="auto"/>
                      <w:szCs w:val="21"/>
                    </w:rPr>
                  </w:pPr>
                  <w:r>
                    <w:rPr>
                      <w:rFonts w:hint="eastAsia"/>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3</w:t>
                  </w:r>
                </w:p>
              </w:tc>
              <w:tc>
                <w:tcPr>
                  <w:tcW w:w="1582" w:type="dxa"/>
                  <w:shd w:val="clear" w:color="auto" w:fill="auto"/>
                  <w:vAlign w:val="center"/>
                </w:tcPr>
                <w:p>
                  <w:pPr>
                    <w:jc w:val="center"/>
                    <w:rPr>
                      <w:rFonts w:hint="eastAsia"/>
                      <w:bCs/>
                      <w:color w:val="auto"/>
                      <w:szCs w:val="21"/>
                    </w:rPr>
                  </w:pPr>
                  <w:r>
                    <w:rPr>
                      <w:bCs/>
                      <w:color w:val="auto"/>
                      <w:szCs w:val="21"/>
                    </w:rPr>
                    <w:t>COD</w:t>
                  </w:r>
                </w:p>
              </w:tc>
              <w:tc>
                <w:tcPr>
                  <w:tcW w:w="1556" w:type="dxa"/>
                  <w:shd w:val="clear" w:color="auto" w:fill="auto"/>
                  <w:vAlign w:val="center"/>
                </w:tcPr>
                <w:p>
                  <w:pPr>
                    <w:jc w:val="center"/>
                    <w:rPr>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bCs/>
                      <w:color w:val="auto"/>
                      <w:szCs w:val="21"/>
                    </w:rPr>
                  </w:pPr>
                  <w:r>
                    <w:rPr>
                      <w:bCs/>
                      <w:color w:val="auto"/>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4</w:t>
                  </w:r>
                </w:p>
              </w:tc>
              <w:tc>
                <w:tcPr>
                  <w:tcW w:w="1582" w:type="dxa"/>
                  <w:shd w:val="clear" w:color="auto" w:fill="auto"/>
                  <w:vAlign w:val="center"/>
                </w:tcPr>
                <w:p>
                  <w:pPr>
                    <w:jc w:val="center"/>
                    <w:rPr>
                      <w:bCs/>
                      <w:color w:val="auto"/>
                      <w:szCs w:val="21"/>
                    </w:rPr>
                  </w:pPr>
                  <w:r>
                    <w:rPr>
                      <w:rFonts w:hint="eastAsia"/>
                      <w:color w:val="auto"/>
                      <w:szCs w:val="21"/>
                    </w:rPr>
                    <w:t>BOD</w:t>
                  </w:r>
                  <w:r>
                    <w:rPr>
                      <w:rFonts w:hint="eastAsia"/>
                      <w:color w:val="auto"/>
                      <w:szCs w:val="21"/>
                      <w:vertAlign w:val="subscript"/>
                    </w:rPr>
                    <w:t>5</w:t>
                  </w:r>
                </w:p>
              </w:tc>
              <w:tc>
                <w:tcPr>
                  <w:tcW w:w="1556" w:type="dxa"/>
                  <w:shd w:val="clear" w:color="auto" w:fill="auto"/>
                  <w:vAlign w:val="center"/>
                </w:tcPr>
                <w:p>
                  <w:pPr>
                    <w:jc w:val="center"/>
                    <w:rPr>
                      <w:rFonts w:hint="eastAsia"/>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bCs/>
                      <w:color w:val="auto"/>
                      <w:szCs w:val="21"/>
                    </w:rPr>
                  </w:pPr>
                  <w:r>
                    <w:rPr>
                      <w:color w:val="auto"/>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5</w:t>
                  </w:r>
                </w:p>
              </w:tc>
              <w:tc>
                <w:tcPr>
                  <w:tcW w:w="1582" w:type="dxa"/>
                  <w:shd w:val="clear" w:color="auto" w:fill="auto"/>
                  <w:vAlign w:val="center"/>
                </w:tcPr>
                <w:p>
                  <w:pPr>
                    <w:jc w:val="center"/>
                    <w:rPr>
                      <w:rFonts w:hint="eastAsia"/>
                      <w:bCs/>
                      <w:color w:val="auto"/>
                      <w:szCs w:val="21"/>
                    </w:rPr>
                  </w:pPr>
                  <w:r>
                    <w:rPr>
                      <w:bCs/>
                      <w:color w:val="auto"/>
                      <w:szCs w:val="21"/>
                    </w:rPr>
                    <w:t>NH</w:t>
                  </w:r>
                  <w:r>
                    <w:rPr>
                      <w:bCs/>
                      <w:color w:val="auto"/>
                      <w:szCs w:val="21"/>
                      <w:vertAlign w:val="subscript"/>
                    </w:rPr>
                    <w:t>3</w:t>
                  </w:r>
                  <w:r>
                    <w:rPr>
                      <w:bCs/>
                      <w:color w:val="auto"/>
                      <w:szCs w:val="21"/>
                    </w:rPr>
                    <w:t>-N</w:t>
                  </w:r>
                </w:p>
              </w:tc>
              <w:tc>
                <w:tcPr>
                  <w:tcW w:w="1556" w:type="dxa"/>
                  <w:shd w:val="clear" w:color="auto" w:fill="auto"/>
                  <w:vAlign w:val="center"/>
                </w:tcPr>
                <w:p>
                  <w:pPr>
                    <w:jc w:val="center"/>
                    <w:rPr>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bCs/>
                      <w:color w:val="auto"/>
                      <w:szCs w:val="21"/>
                    </w:rPr>
                  </w:pPr>
                  <w:r>
                    <w:rPr>
                      <w:bCs/>
                      <w:color w:val="auto"/>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6</w:t>
                  </w:r>
                </w:p>
              </w:tc>
              <w:tc>
                <w:tcPr>
                  <w:tcW w:w="1582" w:type="dxa"/>
                  <w:shd w:val="clear" w:color="auto" w:fill="auto"/>
                  <w:vAlign w:val="center"/>
                </w:tcPr>
                <w:p>
                  <w:pPr>
                    <w:jc w:val="center"/>
                    <w:rPr>
                      <w:rFonts w:hint="eastAsia"/>
                      <w:bCs/>
                      <w:color w:val="auto"/>
                      <w:szCs w:val="21"/>
                    </w:rPr>
                  </w:pPr>
                  <w:r>
                    <w:rPr>
                      <w:rFonts w:hint="eastAsia"/>
                      <w:bCs/>
                      <w:color w:val="auto"/>
                      <w:szCs w:val="21"/>
                    </w:rPr>
                    <w:t>石油类</w:t>
                  </w:r>
                </w:p>
              </w:tc>
              <w:tc>
                <w:tcPr>
                  <w:tcW w:w="1556" w:type="dxa"/>
                  <w:shd w:val="clear" w:color="auto" w:fill="auto"/>
                  <w:vAlign w:val="center"/>
                </w:tcPr>
                <w:p>
                  <w:pPr>
                    <w:jc w:val="center"/>
                    <w:rPr>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bCs/>
                      <w:color w:val="auto"/>
                      <w:szCs w:val="21"/>
                    </w:rPr>
                  </w:pPr>
                  <w:r>
                    <w:rPr>
                      <w:color w:val="auto"/>
                      <w:szCs w:val="21"/>
                    </w:rPr>
                    <w:t>≤0.05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25" w:type="dxa"/>
                  <w:shd w:val="clear" w:color="auto" w:fill="auto"/>
                  <w:vAlign w:val="center"/>
                </w:tcPr>
                <w:p>
                  <w:pPr>
                    <w:jc w:val="center"/>
                    <w:rPr>
                      <w:rFonts w:hint="eastAsia" w:hAnsi="宋体"/>
                      <w:bCs/>
                      <w:color w:val="auto"/>
                      <w:szCs w:val="21"/>
                    </w:rPr>
                  </w:pPr>
                  <w:r>
                    <w:rPr>
                      <w:rFonts w:hint="eastAsia" w:hAnsi="宋体"/>
                      <w:bCs/>
                      <w:color w:val="auto"/>
                      <w:szCs w:val="21"/>
                    </w:rPr>
                    <w:t>7</w:t>
                  </w:r>
                </w:p>
              </w:tc>
              <w:tc>
                <w:tcPr>
                  <w:tcW w:w="1582" w:type="dxa"/>
                  <w:shd w:val="clear" w:color="auto" w:fill="auto"/>
                  <w:vAlign w:val="center"/>
                </w:tcPr>
                <w:p>
                  <w:pPr>
                    <w:jc w:val="center"/>
                    <w:rPr>
                      <w:rFonts w:hint="eastAsia"/>
                      <w:bCs/>
                      <w:color w:val="auto"/>
                      <w:szCs w:val="21"/>
                    </w:rPr>
                  </w:pPr>
                  <w:r>
                    <w:rPr>
                      <w:rFonts w:hint="eastAsia"/>
                      <w:color w:val="auto"/>
                      <w:szCs w:val="21"/>
                    </w:rPr>
                    <w:t>总磷</w:t>
                  </w:r>
                </w:p>
              </w:tc>
              <w:tc>
                <w:tcPr>
                  <w:tcW w:w="1556" w:type="dxa"/>
                  <w:shd w:val="clear" w:color="auto" w:fill="auto"/>
                  <w:vAlign w:val="center"/>
                </w:tcPr>
                <w:p>
                  <w:pPr>
                    <w:jc w:val="center"/>
                    <w:rPr>
                      <w:bCs/>
                      <w:color w:val="auto"/>
                      <w:szCs w:val="21"/>
                    </w:rPr>
                  </w:pPr>
                  <w:r>
                    <w:rPr>
                      <w:rFonts w:hint="eastAsia"/>
                      <w:bCs/>
                      <w:color w:val="auto"/>
                      <w:szCs w:val="21"/>
                    </w:rPr>
                    <w:t>mg/L</w:t>
                  </w:r>
                </w:p>
              </w:tc>
              <w:tc>
                <w:tcPr>
                  <w:tcW w:w="2759" w:type="dxa"/>
                  <w:tcBorders>
                    <w:left w:val="single" w:color="auto" w:sz="4" w:space="0"/>
                  </w:tcBorders>
                  <w:shd w:val="clear" w:color="auto" w:fill="auto"/>
                  <w:vAlign w:val="center"/>
                </w:tcPr>
                <w:p>
                  <w:pPr>
                    <w:jc w:val="center"/>
                    <w:rPr>
                      <w:bCs/>
                      <w:color w:val="auto"/>
                      <w:szCs w:val="21"/>
                    </w:rPr>
                  </w:pPr>
                  <w:r>
                    <w:rPr>
                      <w:color w:val="auto"/>
                      <w:szCs w:val="21"/>
                    </w:rPr>
                    <w:t>≤</w:t>
                  </w:r>
                  <w:r>
                    <w:rPr>
                      <w:rFonts w:hint="eastAsia"/>
                      <w:color w:val="auto"/>
                      <w:szCs w:val="21"/>
                    </w:rPr>
                    <w:t>0.2</w:t>
                  </w:r>
                </w:p>
              </w:tc>
            </w:tr>
          </w:tbl>
          <w:p>
            <w:pPr>
              <w:adjustRightInd w:val="0"/>
              <w:spacing w:line="360" w:lineRule="auto"/>
              <w:ind w:firstLine="480" w:firstLineChars="200"/>
              <w:rPr>
                <w:rFonts w:hint="eastAsia"/>
                <w:bCs/>
                <w:color w:val="auto"/>
                <w:sz w:val="24"/>
              </w:rPr>
            </w:pPr>
            <w:r>
              <w:rPr>
                <w:rFonts w:hint="eastAsia"/>
                <w:bCs/>
                <w:color w:val="auto"/>
                <w:sz w:val="24"/>
              </w:rPr>
              <w:t>3、声环境质量执行</w:t>
            </w:r>
            <w:r>
              <w:rPr>
                <w:bCs/>
                <w:color w:val="auto"/>
                <w:sz w:val="24"/>
              </w:rPr>
              <w:t>《声环境质量标准》</w:t>
            </w:r>
            <w:r>
              <w:rPr>
                <w:rFonts w:hint="eastAsia"/>
                <w:bCs/>
                <w:color w:val="auto"/>
                <w:sz w:val="24"/>
              </w:rPr>
              <w:t>（</w:t>
            </w:r>
            <w:r>
              <w:rPr>
                <w:bCs/>
                <w:color w:val="auto"/>
                <w:sz w:val="24"/>
              </w:rPr>
              <w:t>GB3096-2008</w:t>
            </w:r>
            <w:r>
              <w:rPr>
                <w:rFonts w:hint="eastAsia"/>
                <w:bCs/>
                <w:color w:val="auto"/>
                <w:sz w:val="24"/>
              </w:rPr>
              <w:t>）中的2</w:t>
            </w:r>
            <w:r>
              <w:rPr>
                <w:bCs/>
                <w:color w:val="auto"/>
                <w:sz w:val="24"/>
              </w:rPr>
              <w:t>类和</w:t>
            </w:r>
            <w:r>
              <w:rPr>
                <w:rFonts w:hint="eastAsia"/>
                <w:bCs/>
                <w:color w:val="auto"/>
                <w:sz w:val="24"/>
              </w:rPr>
              <w:t>4a类区域标准，具体标准见表</w:t>
            </w:r>
            <w:r>
              <w:rPr>
                <w:rFonts w:hint="eastAsia"/>
                <w:bCs/>
                <w:color w:val="auto"/>
                <w:sz w:val="24"/>
                <w:lang w:val="en-US" w:eastAsia="zh-CN"/>
              </w:rPr>
              <w:t>23</w:t>
            </w:r>
            <w:r>
              <w:rPr>
                <w:rFonts w:hint="eastAsia"/>
                <w:bCs/>
                <w:color w:val="auto"/>
                <w:sz w:val="24"/>
              </w:rPr>
              <w:t>。</w:t>
            </w:r>
          </w:p>
          <w:p>
            <w:pPr>
              <w:spacing w:line="360" w:lineRule="auto"/>
              <w:jc w:val="center"/>
              <w:rPr>
                <w:b/>
                <w:color w:val="auto"/>
                <w:szCs w:val="21"/>
              </w:rPr>
            </w:pPr>
            <w:r>
              <w:rPr>
                <w:rFonts w:hAnsi="宋体"/>
                <w:b/>
                <w:color w:val="auto"/>
                <w:szCs w:val="21"/>
              </w:rPr>
              <w:t>表</w:t>
            </w:r>
            <w:r>
              <w:rPr>
                <w:rFonts w:hint="eastAsia" w:hAnsi="宋体"/>
                <w:b/>
                <w:color w:val="auto"/>
                <w:szCs w:val="21"/>
                <w:lang w:val="en-US" w:eastAsia="zh-CN"/>
              </w:rPr>
              <w:t>23</w:t>
            </w:r>
            <w:r>
              <w:rPr>
                <w:b/>
                <w:color w:val="auto"/>
                <w:szCs w:val="21"/>
              </w:rPr>
              <w:t xml:space="preserve"> </w:t>
            </w:r>
            <w:r>
              <w:rPr>
                <w:rFonts w:hAnsi="宋体"/>
                <w:b/>
                <w:color w:val="auto"/>
                <w:szCs w:val="21"/>
              </w:rPr>
              <w:t>声环境质量标准</w:t>
            </w:r>
            <w:r>
              <w:rPr>
                <w:rFonts w:hAnsi="新宋体" w:eastAsia="新宋体"/>
                <w:b/>
                <w:bCs/>
                <w:color w:val="auto"/>
                <w:szCs w:val="21"/>
              </w:rPr>
              <w:t>值表</w:t>
            </w:r>
          </w:p>
          <w:tbl>
            <w:tblPr>
              <w:tblStyle w:val="14"/>
              <w:tblW w:w="742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26"/>
              <w:gridCol w:w="1897"/>
              <w:gridCol w:w="18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6" w:hRule="atLeast"/>
                <w:jc w:val="center"/>
              </w:trPr>
              <w:tc>
                <w:tcPr>
                  <w:tcW w:w="3626" w:type="dxa"/>
                  <w:tcBorders>
                    <w:tl2br w:val="single" w:color="auto" w:sz="4" w:space="0"/>
                  </w:tcBorders>
                  <w:shd w:val="clear" w:color="auto" w:fill="auto"/>
                  <w:vAlign w:val="center"/>
                </w:tcPr>
                <w:p>
                  <w:pPr>
                    <w:spacing w:line="240" w:lineRule="exact"/>
                    <w:jc w:val="center"/>
                    <w:rPr>
                      <w:color w:val="auto"/>
                      <w:szCs w:val="21"/>
                    </w:rPr>
                  </w:pPr>
                  <w:r>
                    <w:rPr>
                      <w:color w:val="auto"/>
                      <w:szCs w:val="21"/>
                    </w:rPr>
                    <w:t xml:space="preserve">                 </w:t>
                  </w:r>
                  <w:r>
                    <w:rPr>
                      <w:rFonts w:hint="eastAsia"/>
                      <w:color w:val="auto"/>
                      <w:szCs w:val="21"/>
                    </w:rPr>
                    <w:t xml:space="preserve">        </w:t>
                  </w:r>
                  <w:r>
                    <w:rPr>
                      <w:rFonts w:hAnsi="宋体"/>
                      <w:color w:val="auto"/>
                      <w:szCs w:val="21"/>
                    </w:rPr>
                    <w:t>时段</w:t>
                  </w:r>
                </w:p>
                <w:p>
                  <w:pPr>
                    <w:spacing w:line="240" w:lineRule="exact"/>
                    <w:rPr>
                      <w:color w:val="auto"/>
                      <w:szCs w:val="21"/>
                    </w:rPr>
                  </w:pPr>
                  <w:r>
                    <w:rPr>
                      <w:rFonts w:hAnsi="宋体"/>
                      <w:color w:val="auto"/>
                      <w:szCs w:val="21"/>
                    </w:rPr>
                    <w:t>声环境功能区类别</w:t>
                  </w:r>
                </w:p>
              </w:tc>
              <w:tc>
                <w:tcPr>
                  <w:tcW w:w="1897" w:type="dxa"/>
                  <w:shd w:val="clear" w:color="auto" w:fill="auto"/>
                  <w:vAlign w:val="center"/>
                </w:tcPr>
                <w:p>
                  <w:pPr>
                    <w:spacing w:line="240" w:lineRule="exact"/>
                    <w:jc w:val="center"/>
                    <w:rPr>
                      <w:color w:val="auto"/>
                      <w:szCs w:val="21"/>
                    </w:rPr>
                  </w:pPr>
                  <w:r>
                    <w:rPr>
                      <w:rFonts w:hAnsi="宋体"/>
                      <w:color w:val="auto"/>
                      <w:szCs w:val="21"/>
                    </w:rPr>
                    <w:t>昼间</w:t>
                  </w:r>
                </w:p>
              </w:tc>
              <w:tc>
                <w:tcPr>
                  <w:tcW w:w="1899" w:type="dxa"/>
                  <w:shd w:val="clear" w:color="auto" w:fill="auto"/>
                  <w:vAlign w:val="center"/>
                </w:tcPr>
                <w:p>
                  <w:pPr>
                    <w:spacing w:line="240" w:lineRule="exact"/>
                    <w:jc w:val="center"/>
                    <w:rPr>
                      <w:color w:val="auto"/>
                      <w:szCs w:val="21"/>
                    </w:rPr>
                  </w:pPr>
                  <w:r>
                    <w:rPr>
                      <w:rFonts w:hAnsi="宋体"/>
                      <w:color w:val="auto"/>
                      <w:szCs w:val="21"/>
                    </w:rPr>
                    <w:t>夜间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626" w:type="dxa"/>
                  <w:shd w:val="clear" w:color="auto" w:fill="auto"/>
                  <w:vAlign w:val="center"/>
                </w:tcPr>
                <w:p>
                  <w:pPr>
                    <w:jc w:val="center"/>
                    <w:rPr>
                      <w:color w:val="auto"/>
                      <w:szCs w:val="21"/>
                    </w:rPr>
                  </w:pPr>
                  <w:r>
                    <w:rPr>
                      <w:rFonts w:hint="eastAsia"/>
                      <w:color w:val="auto"/>
                      <w:szCs w:val="21"/>
                    </w:rPr>
                    <w:t>2</w:t>
                  </w:r>
                  <w:r>
                    <w:rPr>
                      <w:rFonts w:hAnsi="宋体"/>
                      <w:color w:val="auto"/>
                      <w:szCs w:val="21"/>
                    </w:rPr>
                    <w:t>类</w:t>
                  </w:r>
                </w:p>
              </w:tc>
              <w:tc>
                <w:tcPr>
                  <w:tcW w:w="1897" w:type="dxa"/>
                  <w:shd w:val="clear" w:color="auto" w:fill="auto"/>
                  <w:vAlign w:val="center"/>
                </w:tcPr>
                <w:p>
                  <w:pPr>
                    <w:jc w:val="center"/>
                    <w:rPr>
                      <w:color w:val="auto"/>
                      <w:szCs w:val="21"/>
                    </w:rPr>
                  </w:pPr>
                  <w:r>
                    <w:rPr>
                      <w:color w:val="auto"/>
                      <w:szCs w:val="21"/>
                    </w:rPr>
                    <w:t>6</w:t>
                  </w:r>
                  <w:r>
                    <w:rPr>
                      <w:rFonts w:hint="eastAsia"/>
                      <w:color w:val="auto"/>
                      <w:szCs w:val="21"/>
                    </w:rPr>
                    <w:t>0dB(A)</w:t>
                  </w:r>
                </w:p>
              </w:tc>
              <w:tc>
                <w:tcPr>
                  <w:tcW w:w="1899" w:type="dxa"/>
                  <w:shd w:val="clear" w:color="auto" w:fill="auto"/>
                  <w:vAlign w:val="center"/>
                </w:tcPr>
                <w:p>
                  <w:pPr>
                    <w:jc w:val="center"/>
                    <w:rPr>
                      <w:color w:val="auto"/>
                      <w:szCs w:val="21"/>
                    </w:rPr>
                  </w:pPr>
                  <w:r>
                    <w:rPr>
                      <w:rFonts w:hint="eastAsia"/>
                      <w:color w:val="auto"/>
                      <w:szCs w:val="21"/>
                    </w:rPr>
                    <w:t>50dB(A)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626" w:type="dxa"/>
                  <w:shd w:val="clear" w:color="auto" w:fill="auto"/>
                  <w:vAlign w:val="center"/>
                </w:tcPr>
                <w:p>
                  <w:pPr>
                    <w:jc w:val="center"/>
                    <w:rPr>
                      <w:rFonts w:hint="eastAsia"/>
                      <w:color w:val="auto"/>
                      <w:szCs w:val="21"/>
                    </w:rPr>
                  </w:pPr>
                  <w:r>
                    <w:rPr>
                      <w:rFonts w:hint="eastAsia"/>
                      <w:color w:val="auto"/>
                      <w:szCs w:val="21"/>
                    </w:rPr>
                    <w:t>4a类</w:t>
                  </w:r>
                </w:p>
              </w:tc>
              <w:tc>
                <w:tcPr>
                  <w:tcW w:w="1897" w:type="dxa"/>
                  <w:shd w:val="clear" w:color="auto" w:fill="auto"/>
                  <w:vAlign w:val="center"/>
                </w:tcPr>
                <w:p>
                  <w:pPr>
                    <w:jc w:val="center"/>
                    <w:rPr>
                      <w:color w:val="auto"/>
                      <w:szCs w:val="21"/>
                    </w:rPr>
                  </w:pPr>
                  <w:r>
                    <w:rPr>
                      <w:rFonts w:hint="eastAsia"/>
                      <w:color w:val="auto"/>
                      <w:szCs w:val="21"/>
                    </w:rPr>
                    <w:t>70dB(A)</w:t>
                  </w:r>
                </w:p>
              </w:tc>
              <w:tc>
                <w:tcPr>
                  <w:tcW w:w="1899" w:type="dxa"/>
                  <w:shd w:val="clear" w:color="auto" w:fill="auto"/>
                  <w:vAlign w:val="center"/>
                </w:tcPr>
                <w:p>
                  <w:pPr>
                    <w:jc w:val="center"/>
                    <w:rPr>
                      <w:color w:val="auto"/>
                      <w:szCs w:val="21"/>
                    </w:rPr>
                  </w:pPr>
                  <w:r>
                    <w:rPr>
                      <w:rFonts w:hint="eastAsia"/>
                      <w:color w:val="auto"/>
                      <w:szCs w:val="21"/>
                    </w:rPr>
                    <w:t>55dB(A)</w:t>
                  </w:r>
                </w:p>
              </w:tc>
            </w:tr>
          </w:tbl>
          <w:p>
            <w:pPr>
              <w:adjustRightInd w:val="0"/>
              <w:spacing w:line="360" w:lineRule="auto"/>
              <w:ind w:firstLine="482" w:firstLineChars="200"/>
              <w:rPr>
                <w:rFonts w:hint="eastAsia"/>
                <w:b/>
                <w:bCs/>
                <w:color w:val="auto"/>
                <w:sz w:val="24"/>
              </w:rPr>
            </w:pPr>
          </w:p>
          <w:p>
            <w:pPr>
              <w:adjustRightInd w:val="0"/>
              <w:spacing w:line="360" w:lineRule="auto"/>
              <w:ind w:firstLine="482" w:firstLineChars="200"/>
              <w:rPr>
                <w:rFonts w:hint="eastAsia"/>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61" w:hRule="atLeast"/>
          <w:jc w:val="center"/>
        </w:trPr>
        <w:tc>
          <w:tcPr>
            <w:tcW w:w="860" w:type="dxa"/>
            <w:tcBorders>
              <w:top w:val="single" w:color="auto" w:sz="4" w:space="0"/>
              <w:left w:val="single" w:color="auto" w:sz="4" w:space="0"/>
              <w:bottom w:val="single" w:color="auto" w:sz="4" w:space="0"/>
              <w:right w:val="single" w:color="auto" w:sz="4" w:space="0"/>
            </w:tcBorders>
            <w:textDirection w:val="tbRlV"/>
            <w:vAlign w:val="center"/>
          </w:tcPr>
          <w:p>
            <w:pPr>
              <w:spacing w:line="360" w:lineRule="auto"/>
              <w:ind w:left="113" w:leftChars="54" w:right="113" w:firstLine="840" w:firstLineChars="300"/>
              <w:jc w:val="center"/>
              <w:rPr>
                <w:color w:val="auto"/>
                <w:sz w:val="28"/>
              </w:rPr>
            </w:pPr>
            <w:r>
              <w:rPr>
                <w:color w:val="auto"/>
                <w:sz w:val="28"/>
              </w:rPr>
              <w:t>污染物排放标准</w:t>
            </w:r>
          </w:p>
        </w:tc>
        <w:tc>
          <w:tcPr>
            <w:tcW w:w="7668"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480" w:firstLineChars="200"/>
              <w:rPr>
                <w:rFonts w:hint="eastAsia"/>
                <w:bCs/>
                <w:color w:val="auto"/>
                <w:sz w:val="24"/>
              </w:rPr>
            </w:pPr>
            <w:r>
              <w:rPr>
                <w:rFonts w:hint="eastAsia"/>
                <w:bCs/>
                <w:color w:val="auto"/>
                <w:sz w:val="24"/>
              </w:rPr>
              <w:t>1、施工期废气执行《大气污染物综合排放标准》（GB16297-1996）表2中相关标准限值；具体标准限值见表</w:t>
            </w:r>
            <w:r>
              <w:rPr>
                <w:rFonts w:hint="eastAsia"/>
                <w:bCs/>
                <w:color w:val="auto"/>
                <w:sz w:val="24"/>
                <w:lang w:val="en-US" w:eastAsia="zh-CN"/>
              </w:rPr>
              <w:t>24</w:t>
            </w:r>
            <w:r>
              <w:rPr>
                <w:rFonts w:hint="eastAsia"/>
                <w:bCs/>
                <w:color w:val="auto"/>
                <w:sz w:val="24"/>
              </w:rPr>
              <w:t>。</w:t>
            </w:r>
          </w:p>
          <w:p>
            <w:pPr>
              <w:spacing w:line="360" w:lineRule="auto"/>
              <w:jc w:val="center"/>
              <w:rPr>
                <w:b/>
                <w:color w:val="auto"/>
                <w:szCs w:val="21"/>
              </w:rPr>
            </w:pPr>
            <w:r>
              <w:rPr>
                <w:rFonts w:hAnsi="宋体"/>
                <w:b/>
                <w:color w:val="auto"/>
                <w:szCs w:val="21"/>
              </w:rPr>
              <w:t>表</w:t>
            </w:r>
            <w:r>
              <w:rPr>
                <w:rFonts w:hint="eastAsia" w:hAnsi="宋体"/>
                <w:b/>
                <w:color w:val="auto"/>
                <w:szCs w:val="21"/>
                <w:lang w:val="en-US" w:eastAsia="zh-CN"/>
              </w:rPr>
              <w:t>24</w:t>
            </w:r>
            <w:r>
              <w:rPr>
                <w:b/>
                <w:color w:val="auto"/>
                <w:szCs w:val="21"/>
              </w:rPr>
              <w:t xml:space="preserve">  </w:t>
            </w:r>
            <w:r>
              <w:rPr>
                <w:rFonts w:hint="eastAsia"/>
                <w:b/>
                <w:color w:val="auto"/>
                <w:szCs w:val="21"/>
              </w:rPr>
              <w:t>大气污染物综合排放</w:t>
            </w:r>
            <w:r>
              <w:rPr>
                <w:rFonts w:hAnsi="宋体"/>
                <w:b/>
                <w:color w:val="auto"/>
                <w:szCs w:val="21"/>
              </w:rPr>
              <w:t>标准</w:t>
            </w:r>
            <w:r>
              <w:rPr>
                <w:rFonts w:hAnsi="新宋体" w:eastAsia="新宋体"/>
                <w:b/>
                <w:bCs/>
                <w:color w:val="auto"/>
                <w:szCs w:val="21"/>
              </w:rPr>
              <w:t>值表</w:t>
            </w:r>
          </w:p>
          <w:tbl>
            <w:tblPr>
              <w:tblStyle w:val="14"/>
              <w:tblW w:w="74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7"/>
              <w:gridCol w:w="1288"/>
              <w:gridCol w:w="851"/>
              <w:gridCol w:w="1134"/>
              <w:gridCol w:w="23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7" w:type="dxa"/>
                  <w:vMerge w:val="restart"/>
                  <w:shd w:val="clear" w:color="auto" w:fill="auto"/>
                  <w:vAlign w:val="center"/>
                </w:tcPr>
                <w:p>
                  <w:pPr>
                    <w:jc w:val="center"/>
                    <w:rPr>
                      <w:rFonts w:hint="eastAsia"/>
                      <w:bCs/>
                      <w:color w:val="auto"/>
                      <w:szCs w:val="21"/>
                    </w:rPr>
                  </w:pPr>
                  <w:r>
                    <w:rPr>
                      <w:rFonts w:hint="eastAsia"/>
                      <w:bCs/>
                      <w:color w:val="auto"/>
                      <w:szCs w:val="21"/>
                    </w:rPr>
                    <w:t>项目</w:t>
                  </w:r>
                </w:p>
              </w:tc>
              <w:tc>
                <w:tcPr>
                  <w:tcW w:w="1288" w:type="dxa"/>
                  <w:vMerge w:val="restart"/>
                  <w:shd w:val="clear" w:color="auto" w:fill="auto"/>
                  <w:vAlign w:val="center"/>
                </w:tcPr>
                <w:p>
                  <w:pPr>
                    <w:jc w:val="center"/>
                    <w:rPr>
                      <w:rFonts w:hint="eastAsia"/>
                      <w:bCs/>
                      <w:color w:val="auto"/>
                      <w:szCs w:val="21"/>
                    </w:rPr>
                  </w:pPr>
                  <w:r>
                    <w:rPr>
                      <w:rFonts w:hint="eastAsia"/>
                      <w:bCs/>
                      <w:color w:val="auto"/>
                      <w:szCs w:val="21"/>
                    </w:rPr>
                    <w:t>最高允许排放浓度</w:t>
                  </w:r>
                </w:p>
              </w:tc>
              <w:tc>
                <w:tcPr>
                  <w:tcW w:w="1985" w:type="dxa"/>
                  <w:gridSpan w:val="2"/>
                  <w:tcBorders>
                    <w:right w:val="single" w:color="auto" w:sz="4" w:space="0"/>
                  </w:tcBorders>
                  <w:shd w:val="clear" w:color="auto" w:fill="auto"/>
                  <w:vAlign w:val="center"/>
                </w:tcPr>
                <w:p>
                  <w:pPr>
                    <w:jc w:val="center"/>
                    <w:rPr>
                      <w:rFonts w:hint="eastAsia"/>
                      <w:bCs/>
                      <w:color w:val="auto"/>
                      <w:szCs w:val="21"/>
                    </w:rPr>
                  </w:pPr>
                  <w:r>
                    <w:rPr>
                      <w:rFonts w:hAnsi="宋体"/>
                      <w:color w:val="auto"/>
                      <w:szCs w:val="21"/>
                    </w:rPr>
                    <w:t>最高允许排放速率</w:t>
                  </w:r>
                </w:p>
              </w:tc>
              <w:tc>
                <w:tcPr>
                  <w:tcW w:w="2342" w:type="dxa"/>
                  <w:vMerge w:val="restart"/>
                  <w:tcBorders>
                    <w:left w:val="single" w:color="auto" w:sz="4" w:space="0"/>
                  </w:tcBorders>
                  <w:shd w:val="clear" w:color="auto" w:fill="auto"/>
                  <w:vAlign w:val="center"/>
                </w:tcPr>
                <w:p>
                  <w:pPr>
                    <w:jc w:val="center"/>
                    <w:rPr>
                      <w:rFonts w:hint="eastAsia"/>
                      <w:bCs/>
                      <w:color w:val="auto"/>
                      <w:szCs w:val="21"/>
                    </w:rPr>
                  </w:pPr>
                  <w:r>
                    <w:rPr>
                      <w:rFonts w:hAnsi="宋体"/>
                      <w:color w:val="auto"/>
                      <w:szCs w:val="21"/>
                    </w:rPr>
                    <w:t>无组织监控浓度限值（周界外浓度最高点）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7" w:type="dxa"/>
                  <w:vMerge w:val="continue"/>
                  <w:shd w:val="clear" w:color="auto" w:fill="auto"/>
                  <w:vAlign w:val="center"/>
                </w:tcPr>
                <w:p>
                  <w:pPr>
                    <w:jc w:val="center"/>
                    <w:rPr>
                      <w:rFonts w:hint="eastAsia"/>
                      <w:bCs/>
                      <w:color w:val="auto"/>
                      <w:szCs w:val="21"/>
                    </w:rPr>
                  </w:pPr>
                </w:p>
              </w:tc>
              <w:tc>
                <w:tcPr>
                  <w:tcW w:w="1288" w:type="dxa"/>
                  <w:vMerge w:val="continue"/>
                  <w:shd w:val="clear" w:color="auto" w:fill="auto"/>
                  <w:vAlign w:val="center"/>
                </w:tcPr>
                <w:p>
                  <w:pPr>
                    <w:jc w:val="center"/>
                    <w:rPr>
                      <w:rFonts w:hint="eastAsia"/>
                      <w:bCs/>
                      <w:color w:val="auto"/>
                      <w:szCs w:val="21"/>
                    </w:rPr>
                  </w:pPr>
                </w:p>
              </w:tc>
              <w:tc>
                <w:tcPr>
                  <w:tcW w:w="851" w:type="dxa"/>
                  <w:tcBorders>
                    <w:right w:val="single" w:color="auto" w:sz="4" w:space="0"/>
                  </w:tcBorders>
                  <w:shd w:val="clear" w:color="auto" w:fill="auto"/>
                  <w:vAlign w:val="center"/>
                </w:tcPr>
                <w:p>
                  <w:pPr>
                    <w:jc w:val="center"/>
                    <w:rPr>
                      <w:rFonts w:hint="eastAsia"/>
                      <w:bCs/>
                      <w:color w:val="auto"/>
                      <w:szCs w:val="21"/>
                    </w:rPr>
                  </w:pPr>
                  <w:r>
                    <w:rPr>
                      <w:rFonts w:hAnsi="宋体"/>
                      <w:color w:val="auto"/>
                      <w:szCs w:val="21"/>
                    </w:rPr>
                    <w:t>排气筒</w:t>
                  </w:r>
                </w:p>
              </w:tc>
              <w:tc>
                <w:tcPr>
                  <w:tcW w:w="1134" w:type="dxa"/>
                  <w:tcBorders>
                    <w:left w:val="single" w:color="auto" w:sz="4" w:space="0"/>
                    <w:right w:val="single" w:color="auto" w:sz="4" w:space="0"/>
                  </w:tcBorders>
                  <w:shd w:val="clear" w:color="auto" w:fill="auto"/>
                  <w:vAlign w:val="center"/>
                </w:tcPr>
                <w:p>
                  <w:pPr>
                    <w:jc w:val="center"/>
                    <w:rPr>
                      <w:rFonts w:hint="eastAsia"/>
                      <w:bCs/>
                      <w:color w:val="auto"/>
                      <w:szCs w:val="21"/>
                    </w:rPr>
                  </w:pPr>
                  <w:r>
                    <w:rPr>
                      <w:rFonts w:hint="eastAsia"/>
                      <w:bCs/>
                      <w:color w:val="auto"/>
                      <w:szCs w:val="21"/>
                    </w:rPr>
                    <w:t>二级</w:t>
                  </w:r>
                </w:p>
              </w:tc>
              <w:tc>
                <w:tcPr>
                  <w:tcW w:w="2342" w:type="dxa"/>
                  <w:vMerge w:val="continue"/>
                  <w:tcBorders>
                    <w:left w:val="single" w:color="auto" w:sz="4" w:space="0"/>
                  </w:tcBorders>
                  <w:shd w:val="clear" w:color="auto" w:fill="auto"/>
                  <w:vAlign w:val="center"/>
                </w:tcPr>
                <w:p>
                  <w:pPr>
                    <w:jc w:val="center"/>
                    <w:rPr>
                      <w:rFonts w:hint="eastAsia"/>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7" w:type="dxa"/>
                  <w:shd w:val="clear" w:color="auto" w:fill="auto"/>
                  <w:vAlign w:val="center"/>
                </w:tcPr>
                <w:p>
                  <w:pPr>
                    <w:jc w:val="center"/>
                    <w:rPr>
                      <w:rFonts w:hint="eastAsia"/>
                      <w:bCs/>
                      <w:color w:val="auto"/>
                      <w:szCs w:val="21"/>
                    </w:rPr>
                  </w:pPr>
                  <w:r>
                    <w:rPr>
                      <w:rFonts w:hint="eastAsia"/>
                      <w:bCs/>
                      <w:color w:val="auto"/>
                      <w:szCs w:val="21"/>
                    </w:rPr>
                    <w:t>颗粒物</w:t>
                  </w:r>
                </w:p>
              </w:tc>
              <w:tc>
                <w:tcPr>
                  <w:tcW w:w="1288" w:type="dxa"/>
                  <w:shd w:val="clear" w:color="auto" w:fill="auto"/>
                  <w:vAlign w:val="center"/>
                </w:tcPr>
                <w:p>
                  <w:pPr>
                    <w:jc w:val="center"/>
                    <w:rPr>
                      <w:rFonts w:hint="eastAsia"/>
                      <w:bCs/>
                      <w:color w:val="auto"/>
                      <w:szCs w:val="21"/>
                    </w:rPr>
                  </w:pPr>
                  <w:r>
                    <w:rPr>
                      <w:rFonts w:hint="eastAsia"/>
                      <w:bCs/>
                      <w:color w:val="auto"/>
                      <w:szCs w:val="21"/>
                    </w:rPr>
                    <w:t>120mg/</w:t>
                  </w:r>
                  <w:r>
                    <w:rPr>
                      <w:rFonts w:hint="eastAsia"/>
                      <w:bCs/>
                      <w:color w:val="auto"/>
                      <w:szCs w:val="21"/>
                      <w:lang w:eastAsia="zh-CN"/>
                    </w:rPr>
                    <w:t>m³</w:t>
                  </w:r>
                </w:p>
              </w:tc>
              <w:tc>
                <w:tcPr>
                  <w:tcW w:w="851" w:type="dxa"/>
                  <w:tcBorders>
                    <w:right w:val="single" w:color="auto" w:sz="4" w:space="0"/>
                  </w:tcBorders>
                  <w:shd w:val="clear" w:color="auto" w:fill="auto"/>
                  <w:vAlign w:val="center"/>
                </w:tcPr>
                <w:p>
                  <w:pPr>
                    <w:jc w:val="center"/>
                    <w:rPr>
                      <w:color w:val="auto"/>
                      <w:szCs w:val="21"/>
                    </w:rPr>
                  </w:pPr>
                  <w:r>
                    <w:rPr>
                      <w:color w:val="auto"/>
                      <w:szCs w:val="21"/>
                    </w:rPr>
                    <w:t>15</w:t>
                  </w:r>
                  <w:r>
                    <w:rPr>
                      <w:rFonts w:hint="eastAsia"/>
                      <w:color w:val="auto"/>
                      <w:szCs w:val="21"/>
                    </w:rPr>
                    <w:t>m</w:t>
                  </w:r>
                </w:p>
              </w:tc>
              <w:tc>
                <w:tcPr>
                  <w:tcW w:w="1134" w:type="dxa"/>
                  <w:tcBorders>
                    <w:left w:val="single" w:color="auto" w:sz="4" w:space="0"/>
                    <w:right w:val="single" w:color="auto" w:sz="4" w:space="0"/>
                  </w:tcBorders>
                  <w:shd w:val="clear" w:color="auto" w:fill="auto"/>
                  <w:vAlign w:val="center"/>
                </w:tcPr>
                <w:p>
                  <w:pPr>
                    <w:jc w:val="center"/>
                    <w:rPr>
                      <w:color w:val="auto"/>
                      <w:szCs w:val="21"/>
                    </w:rPr>
                  </w:pPr>
                  <w:r>
                    <w:rPr>
                      <w:color w:val="auto"/>
                      <w:szCs w:val="21"/>
                    </w:rPr>
                    <w:t>3.5</w:t>
                  </w:r>
                  <w:r>
                    <w:rPr>
                      <w:rFonts w:hint="eastAsia"/>
                      <w:color w:val="auto"/>
                      <w:szCs w:val="21"/>
                    </w:rPr>
                    <w:t>kg/h</w:t>
                  </w:r>
                </w:p>
              </w:tc>
              <w:tc>
                <w:tcPr>
                  <w:tcW w:w="2342" w:type="dxa"/>
                  <w:tcBorders>
                    <w:left w:val="single" w:color="auto" w:sz="4" w:space="0"/>
                  </w:tcBorders>
                  <w:shd w:val="clear" w:color="auto" w:fill="auto"/>
                  <w:vAlign w:val="center"/>
                </w:tcPr>
                <w:p>
                  <w:pPr>
                    <w:jc w:val="center"/>
                    <w:rPr>
                      <w:rFonts w:hint="eastAsia"/>
                      <w:bCs/>
                      <w:color w:val="auto"/>
                      <w:szCs w:val="21"/>
                    </w:rPr>
                  </w:pPr>
                  <w:r>
                    <w:rPr>
                      <w:rFonts w:hint="eastAsia"/>
                      <w:bCs/>
                      <w:color w:val="auto"/>
                      <w:szCs w:val="21"/>
                    </w:rPr>
                    <w:t>1.0</w:t>
                  </w:r>
                  <w:r>
                    <w:rPr>
                      <w:color w:val="auto"/>
                      <w:szCs w:val="21"/>
                    </w:rPr>
                    <w:t>mg/</w:t>
                  </w:r>
                  <w:r>
                    <w:rPr>
                      <w:rFonts w:hint="eastAsia"/>
                      <w:color w:val="auto"/>
                      <w:szCs w:val="21"/>
                      <w:lang w:eastAsia="zh-CN"/>
                    </w:rPr>
                    <w:t>m³</w:t>
                  </w:r>
                </w:p>
              </w:tc>
            </w:tr>
          </w:tbl>
          <w:p>
            <w:pPr>
              <w:adjustRightInd w:val="0"/>
              <w:spacing w:line="360" w:lineRule="auto"/>
              <w:ind w:firstLine="480" w:firstLineChars="200"/>
              <w:rPr>
                <w:rFonts w:hint="eastAsia"/>
                <w:bCs/>
                <w:color w:val="auto"/>
                <w:sz w:val="24"/>
              </w:rPr>
            </w:pPr>
            <w:r>
              <w:rPr>
                <w:rFonts w:hint="eastAsia"/>
                <w:bCs/>
                <w:color w:val="auto"/>
                <w:sz w:val="24"/>
              </w:rPr>
              <w:t>2、本项目建成运行后无废水产生；施工期废水执行《污水综合排放标准》（GB8978-1996）中三级标准。具体标准见表</w:t>
            </w:r>
            <w:r>
              <w:rPr>
                <w:rFonts w:hint="eastAsia"/>
                <w:bCs/>
                <w:color w:val="auto"/>
                <w:sz w:val="24"/>
                <w:lang w:val="en-US" w:eastAsia="zh-CN"/>
              </w:rPr>
              <w:t>25</w:t>
            </w:r>
            <w:r>
              <w:rPr>
                <w:rFonts w:hint="eastAsia"/>
                <w:bCs/>
                <w:color w:val="auto"/>
                <w:sz w:val="24"/>
              </w:rPr>
              <w:t>。</w:t>
            </w:r>
          </w:p>
          <w:p>
            <w:pPr>
              <w:spacing w:line="360" w:lineRule="auto"/>
              <w:jc w:val="center"/>
              <w:rPr>
                <w:color w:val="auto"/>
                <w:szCs w:val="21"/>
              </w:rPr>
            </w:pPr>
            <w:r>
              <w:rPr>
                <w:rFonts w:hAnsi="宋体"/>
                <w:b/>
                <w:color w:val="auto"/>
                <w:szCs w:val="21"/>
              </w:rPr>
              <w:t>表</w:t>
            </w:r>
            <w:r>
              <w:rPr>
                <w:rFonts w:hint="eastAsia" w:hAnsi="宋体"/>
                <w:b/>
                <w:color w:val="auto"/>
                <w:szCs w:val="21"/>
                <w:lang w:val="en-US" w:eastAsia="zh-CN"/>
              </w:rPr>
              <w:t>25</w:t>
            </w:r>
            <w:r>
              <w:rPr>
                <w:b/>
                <w:color w:val="auto"/>
                <w:szCs w:val="21"/>
              </w:rPr>
              <w:t xml:space="preserve">  </w:t>
            </w:r>
            <w:r>
              <w:rPr>
                <w:rFonts w:hint="eastAsia"/>
                <w:b/>
                <w:color w:val="auto"/>
                <w:szCs w:val="21"/>
              </w:rPr>
              <w:t>水污染物排放</w:t>
            </w:r>
            <w:r>
              <w:rPr>
                <w:rFonts w:hAnsi="宋体"/>
                <w:b/>
                <w:color w:val="auto"/>
                <w:szCs w:val="21"/>
              </w:rPr>
              <w:t>标准</w:t>
            </w:r>
            <w:r>
              <w:rPr>
                <w:rFonts w:hAnsi="新宋体" w:eastAsia="新宋体"/>
                <w:b/>
                <w:bCs/>
                <w:color w:val="auto"/>
                <w:szCs w:val="21"/>
              </w:rPr>
              <w:t>值表</w:t>
            </w:r>
            <w:r>
              <w:rPr>
                <w:rFonts w:hint="eastAsia" w:hAnsi="新宋体" w:eastAsia="新宋体"/>
                <w:bCs/>
                <w:color w:val="auto"/>
                <w:szCs w:val="21"/>
              </w:rPr>
              <w:t>（单位：mg/L）</w:t>
            </w:r>
          </w:p>
          <w:tbl>
            <w:tblPr>
              <w:tblStyle w:val="14"/>
              <w:tblW w:w="742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34"/>
              <w:gridCol w:w="957"/>
              <w:gridCol w:w="957"/>
              <w:gridCol w:w="959"/>
              <w:gridCol w:w="956"/>
              <w:gridCol w:w="9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34" w:type="dxa"/>
                  <w:shd w:val="clear" w:color="auto" w:fill="auto"/>
                  <w:tcMar>
                    <w:left w:w="17" w:type="dxa"/>
                    <w:right w:w="17" w:type="dxa"/>
                  </w:tcMar>
                  <w:vAlign w:val="center"/>
                </w:tcPr>
                <w:p>
                  <w:pPr>
                    <w:jc w:val="center"/>
                    <w:rPr>
                      <w:bCs/>
                      <w:color w:val="auto"/>
                      <w:szCs w:val="21"/>
                    </w:rPr>
                  </w:pPr>
                  <w:r>
                    <w:rPr>
                      <w:rFonts w:hAnsi="宋体"/>
                      <w:bCs/>
                      <w:color w:val="auto"/>
                      <w:szCs w:val="21"/>
                    </w:rPr>
                    <w:t>项目</w:t>
                  </w:r>
                </w:p>
              </w:tc>
              <w:tc>
                <w:tcPr>
                  <w:tcW w:w="957" w:type="dxa"/>
                  <w:shd w:val="clear" w:color="auto" w:fill="auto"/>
                  <w:tcMar>
                    <w:left w:w="17" w:type="dxa"/>
                    <w:right w:w="17" w:type="dxa"/>
                  </w:tcMar>
                  <w:vAlign w:val="center"/>
                </w:tcPr>
                <w:p>
                  <w:pPr>
                    <w:jc w:val="center"/>
                    <w:rPr>
                      <w:bCs/>
                      <w:color w:val="auto"/>
                      <w:szCs w:val="21"/>
                    </w:rPr>
                  </w:pPr>
                  <w:r>
                    <w:rPr>
                      <w:rFonts w:hint="eastAsia"/>
                      <w:bCs/>
                      <w:color w:val="auto"/>
                      <w:szCs w:val="21"/>
                    </w:rPr>
                    <w:t>p</w:t>
                  </w:r>
                  <w:r>
                    <w:rPr>
                      <w:bCs/>
                      <w:color w:val="auto"/>
                      <w:szCs w:val="21"/>
                    </w:rPr>
                    <w:t>H</w:t>
                  </w:r>
                </w:p>
              </w:tc>
              <w:tc>
                <w:tcPr>
                  <w:tcW w:w="957" w:type="dxa"/>
                  <w:shd w:val="clear" w:color="auto" w:fill="auto"/>
                  <w:tcMar>
                    <w:left w:w="17" w:type="dxa"/>
                    <w:right w:w="17" w:type="dxa"/>
                  </w:tcMar>
                  <w:vAlign w:val="center"/>
                </w:tcPr>
                <w:p>
                  <w:pPr>
                    <w:jc w:val="center"/>
                    <w:rPr>
                      <w:rFonts w:hint="eastAsia"/>
                      <w:bCs/>
                      <w:color w:val="auto"/>
                      <w:szCs w:val="21"/>
                    </w:rPr>
                  </w:pPr>
                  <w:r>
                    <w:rPr>
                      <w:rFonts w:hint="eastAsia"/>
                      <w:bCs/>
                      <w:color w:val="auto"/>
                      <w:szCs w:val="21"/>
                    </w:rPr>
                    <w:t>SS</w:t>
                  </w:r>
                </w:p>
              </w:tc>
              <w:tc>
                <w:tcPr>
                  <w:tcW w:w="959" w:type="dxa"/>
                  <w:shd w:val="clear" w:color="auto" w:fill="auto"/>
                  <w:tcMar>
                    <w:left w:w="17" w:type="dxa"/>
                    <w:right w:w="17" w:type="dxa"/>
                  </w:tcMar>
                  <w:vAlign w:val="center"/>
                </w:tcPr>
                <w:p>
                  <w:pPr>
                    <w:jc w:val="center"/>
                    <w:rPr>
                      <w:bCs/>
                      <w:color w:val="auto"/>
                      <w:szCs w:val="21"/>
                    </w:rPr>
                  </w:pPr>
                  <w:r>
                    <w:rPr>
                      <w:bCs/>
                      <w:color w:val="auto"/>
                      <w:szCs w:val="21"/>
                    </w:rPr>
                    <w:t>COD</w:t>
                  </w:r>
                </w:p>
              </w:tc>
              <w:tc>
                <w:tcPr>
                  <w:tcW w:w="956" w:type="dxa"/>
                  <w:shd w:val="clear" w:color="auto" w:fill="auto"/>
                  <w:tcMar>
                    <w:left w:w="17" w:type="dxa"/>
                    <w:right w:w="17" w:type="dxa"/>
                  </w:tcMar>
                  <w:vAlign w:val="center"/>
                </w:tcPr>
                <w:p>
                  <w:pPr>
                    <w:jc w:val="center"/>
                    <w:rPr>
                      <w:bCs/>
                      <w:color w:val="auto"/>
                      <w:szCs w:val="21"/>
                    </w:rPr>
                  </w:pPr>
                  <w:r>
                    <w:rPr>
                      <w:bCs/>
                      <w:color w:val="auto"/>
                      <w:szCs w:val="21"/>
                    </w:rPr>
                    <w:t>BOD</w:t>
                  </w:r>
                  <w:r>
                    <w:rPr>
                      <w:bCs/>
                      <w:color w:val="auto"/>
                      <w:szCs w:val="21"/>
                      <w:vertAlign w:val="subscript"/>
                    </w:rPr>
                    <w:t>5</w:t>
                  </w:r>
                </w:p>
              </w:tc>
              <w:tc>
                <w:tcPr>
                  <w:tcW w:w="959" w:type="dxa"/>
                  <w:tcMar>
                    <w:left w:w="17" w:type="dxa"/>
                    <w:right w:w="17" w:type="dxa"/>
                  </w:tcMar>
                  <w:vAlign w:val="center"/>
                </w:tcPr>
                <w:p>
                  <w:pPr>
                    <w:jc w:val="center"/>
                    <w:rPr>
                      <w:bCs/>
                      <w:color w:val="auto"/>
                      <w:szCs w:val="21"/>
                    </w:rPr>
                  </w:pPr>
                  <w:r>
                    <w:rPr>
                      <w:bCs/>
                      <w:color w:val="auto"/>
                      <w:szCs w:val="21"/>
                    </w:rPr>
                    <w:t>NH</w:t>
                  </w:r>
                  <w:r>
                    <w:rPr>
                      <w:bCs/>
                      <w:color w:val="auto"/>
                      <w:szCs w:val="21"/>
                      <w:vertAlign w:val="subscript"/>
                    </w:rPr>
                    <w:t>3</w:t>
                  </w:r>
                  <w:r>
                    <w:rPr>
                      <w:bCs/>
                      <w:color w:val="auto"/>
                      <w:szCs w:val="21"/>
                    </w:rPr>
                    <w:t>-N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34" w:type="dxa"/>
                  <w:shd w:val="clear" w:color="auto" w:fill="auto"/>
                  <w:tcMar>
                    <w:left w:w="17" w:type="dxa"/>
                    <w:right w:w="17" w:type="dxa"/>
                  </w:tcMar>
                  <w:vAlign w:val="center"/>
                </w:tcPr>
                <w:p>
                  <w:pPr>
                    <w:jc w:val="center"/>
                    <w:rPr>
                      <w:rFonts w:hint="eastAsia"/>
                      <w:bCs/>
                      <w:color w:val="auto"/>
                      <w:szCs w:val="21"/>
                    </w:rPr>
                  </w:pPr>
                  <w:r>
                    <w:rPr>
                      <w:rFonts w:hint="eastAsia"/>
                      <w:bCs/>
                      <w:color w:val="auto"/>
                      <w:szCs w:val="21"/>
                    </w:rPr>
                    <w:t>GB8978-1996三级</w:t>
                  </w:r>
                </w:p>
              </w:tc>
              <w:tc>
                <w:tcPr>
                  <w:tcW w:w="957" w:type="dxa"/>
                  <w:shd w:val="clear" w:color="auto" w:fill="auto"/>
                  <w:tcMar>
                    <w:left w:w="17" w:type="dxa"/>
                    <w:right w:w="17" w:type="dxa"/>
                  </w:tcMar>
                  <w:vAlign w:val="center"/>
                </w:tcPr>
                <w:p>
                  <w:pPr>
                    <w:jc w:val="center"/>
                    <w:rPr>
                      <w:rFonts w:hint="eastAsia"/>
                      <w:bCs/>
                      <w:color w:val="auto"/>
                      <w:szCs w:val="21"/>
                    </w:rPr>
                  </w:pPr>
                  <w:r>
                    <w:rPr>
                      <w:rFonts w:hint="eastAsia"/>
                      <w:bCs/>
                      <w:color w:val="auto"/>
                      <w:szCs w:val="21"/>
                    </w:rPr>
                    <w:t>6~9</w:t>
                  </w:r>
                </w:p>
              </w:tc>
              <w:tc>
                <w:tcPr>
                  <w:tcW w:w="957" w:type="dxa"/>
                  <w:shd w:val="clear" w:color="auto" w:fill="auto"/>
                  <w:tcMar>
                    <w:left w:w="17" w:type="dxa"/>
                    <w:right w:w="17" w:type="dxa"/>
                  </w:tcMar>
                  <w:vAlign w:val="center"/>
                </w:tcPr>
                <w:p>
                  <w:pPr>
                    <w:jc w:val="center"/>
                    <w:rPr>
                      <w:rFonts w:hint="eastAsia"/>
                      <w:bCs/>
                      <w:color w:val="auto"/>
                      <w:szCs w:val="21"/>
                    </w:rPr>
                  </w:pPr>
                  <w:r>
                    <w:rPr>
                      <w:bCs/>
                      <w:color w:val="auto"/>
                      <w:szCs w:val="21"/>
                    </w:rPr>
                    <w:t>≤</w:t>
                  </w:r>
                  <w:r>
                    <w:rPr>
                      <w:rFonts w:hint="eastAsia"/>
                      <w:bCs/>
                      <w:color w:val="auto"/>
                      <w:szCs w:val="21"/>
                    </w:rPr>
                    <w:t>400</w:t>
                  </w:r>
                </w:p>
              </w:tc>
              <w:tc>
                <w:tcPr>
                  <w:tcW w:w="959" w:type="dxa"/>
                  <w:shd w:val="clear" w:color="auto" w:fill="auto"/>
                  <w:tcMar>
                    <w:left w:w="17" w:type="dxa"/>
                    <w:right w:w="17" w:type="dxa"/>
                  </w:tcMar>
                  <w:vAlign w:val="center"/>
                </w:tcPr>
                <w:p>
                  <w:pPr>
                    <w:jc w:val="center"/>
                    <w:rPr>
                      <w:rFonts w:hint="eastAsia"/>
                      <w:bCs/>
                      <w:color w:val="auto"/>
                      <w:szCs w:val="21"/>
                    </w:rPr>
                  </w:pPr>
                  <w:r>
                    <w:rPr>
                      <w:bCs/>
                      <w:color w:val="auto"/>
                      <w:szCs w:val="21"/>
                    </w:rPr>
                    <w:t>≤</w:t>
                  </w:r>
                  <w:r>
                    <w:rPr>
                      <w:rFonts w:hint="eastAsia"/>
                      <w:bCs/>
                      <w:color w:val="auto"/>
                      <w:szCs w:val="21"/>
                    </w:rPr>
                    <w:t>500</w:t>
                  </w:r>
                </w:p>
              </w:tc>
              <w:tc>
                <w:tcPr>
                  <w:tcW w:w="956" w:type="dxa"/>
                  <w:shd w:val="clear" w:color="auto" w:fill="auto"/>
                  <w:tcMar>
                    <w:left w:w="17" w:type="dxa"/>
                    <w:right w:w="17" w:type="dxa"/>
                  </w:tcMar>
                  <w:vAlign w:val="center"/>
                </w:tcPr>
                <w:p>
                  <w:pPr>
                    <w:jc w:val="center"/>
                    <w:rPr>
                      <w:bCs/>
                      <w:color w:val="auto"/>
                      <w:szCs w:val="21"/>
                    </w:rPr>
                  </w:pPr>
                  <w:r>
                    <w:rPr>
                      <w:bCs/>
                      <w:color w:val="auto"/>
                      <w:szCs w:val="21"/>
                    </w:rPr>
                    <w:t>≤</w:t>
                  </w:r>
                  <w:r>
                    <w:rPr>
                      <w:rFonts w:hint="eastAsia"/>
                      <w:bCs/>
                      <w:color w:val="auto"/>
                      <w:szCs w:val="21"/>
                    </w:rPr>
                    <w:t>300</w:t>
                  </w:r>
                </w:p>
              </w:tc>
              <w:tc>
                <w:tcPr>
                  <w:tcW w:w="959" w:type="dxa"/>
                  <w:tcMar>
                    <w:left w:w="17" w:type="dxa"/>
                    <w:right w:w="17" w:type="dxa"/>
                  </w:tcMar>
                  <w:vAlign w:val="center"/>
                </w:tcPr>
                <w:p>
                  <w:pPr>
                    <w:jc w:val="center"/>
                    <w:rPr>
                      <w:bCs/>
                      <w:color w:val="auto"/>
                      <w:szCs w:val="21"/>
                    </w:rPr>
                  </w:pPr>
                  <w:r>
                    <w:rPr>
                      <w:rFonts w:hint="eastAsia"/>
                      <w:bCs/>
                      <w:color w:val="auto"/>
                      <w:szCs w:val="21"/>
                    </w:rPr>
                    <w:t>/</w:t>
                  </w:r>
                </w:p>
              </w:tc>
            </w:tr>
          </w:tbl>
          <w:p>
            <w:pPr>
              <w:adjustRightInd w:val="0"/>
              <w:spacing w:line="360" w:lineRule="auto"/>
              <w:ind w:firstLine="480" w:firstLineChars="200"/>
              <w:rPr>
                <w:rFonts w:hint="eastAsia"/>
                <w:bCs/>
                <w:color w:val="auto"/>
                <w:sz w:val="24"/>
              </w:rPr>
            </w:pPr>
            <w:r>
              <w:rPr>
                <w:rFonts w:hint="eastAsia"/>
                <w:bCs/>
                <w:color w:val="auto"/>
                <w:sz w:val="24"/>
              </w:rPr>
              <w:t>3、</w:t>
            </w:r>
            <w:r>
              <w:rPr>
                <w:rFonts w:hint="eastAsia"/>
                <w:color w:val="auto"/>
                <w:sz w:val="24"/>
              </w:rPr>
              <w:t>施工期噪声执行《建筑施工场界环境噪声排放标准》（</w:t>
            </w:r>
            <w:r>
              <w:rPr>
                <w:color w:val="auto"/>
                <w:sz w:val="24"/>
              </w:rPr>
              <w:t>GB12523-2011</w:t>
            </w:r>
            <w:r>
              <w:rPr>
                <w:rFonts w:hint="eastAsia"/>
                <w:color w:val="auto"/>
                <w:sz w:val="24"/>
              </w:rPr>
              <w:t>）标准；</w:t>
            </w:r>
            <w:r>
              <w:rPr>
                <w:rFonts w:hint="eastAsia"/>
                <w:bCs/>
                <w:color w:val="auto"/>
                <w:sz w:val="24"/>
              </w:rPr>
              <w:t>营运期噪声执行</w:t>
            </w:r>
            <w:r>
              <w:rPr>
                <w:bCs/>
                <w:color w:val="auto"/>
                <w:sz w:val="24"/>
              </w:rPr>
              <w:t>《工业企业厂界环境噪声排放标准》</w:t>
            </w:r>
            <w:r>
              <w:rPr>
                <w:rFonts w:hint="eastAsia"/>
                <w:bCs/>
                <w:color w:val="auto"/>
                <w:sz w:val="24"/>
              </w:rPr>
              <w:t>（</w:t>
            </w:r>
            <w:r>
              <w:rPr>
                <w:bCs/>
                <w:color w:val="auto"/>
                <w:sz w:val="24"/>
              </w:rPr>
              <w:t>GB12348-2008</w:t>
            </w:r>
            <w:r>
              <w:rPr>
                <w:rFonts w:hint="eastAsia"/>
                <w:bCs/>
                <w:color w:val="auto"/>
                <w:sz w:val="24"/>
              </w:rPr>
              <w:t>）2、4</w:t>
            </w:r>
            <w:r>
              <w:rPr>
                <w:bCs/>
                <w:color w:val="auto"/>
                <w:sz w:val="24"/>
              </w:rPr>
              <w:t>类</w:t>
            </w:r>
            <w:r>
              <w:rPr>
                <w:rFonts w:hint="eastAsia"/>
                <w:bCs/>
                <w:color w:val="auto"/>
                <w:sz w:val="24"/>
              </w:rPr>
              <w:t>标准。具体标准见表</w:t>
            </w:r>
            <w:r>
              <w:rPr>
                <w:rFonts w:hint="eastAsia"/>
                <w:bCs/>
                <w:color w:val="auto"/>
                <w:sz w:val="24"/>
                <w:lang w:val="en-US" w:eastAsia="zh-CN"/>
              </w:rPr>
              <w:t>26</w:t>
            </w:r>
            <w:r>
              <w:rPr>
                <w:rFonts w:hint="eastAsia"/>
                <w:bCs/>
                <w:color w:val="auto"/>
                <w:sz w:val="24"/>
              </w:rPr>
              <w:t>。</w:t>
            </w:r>
          </w:p>
          <w:p>
            <w:pPr>
              <w:spacing w:line="360" w:lineRule="auto"/>
              <w:jc w:val="center"/>
              <w:rPr>
                <w:b/>
                <w:color w:val="auto"/>
                <w:szCs w:val="21"/>
              </w:rPr>
            </w:pPr>
            <w:r>
              <w:rPr>
                <w:rFonts w:hAnsi="宋体"/>
                <w:b/>
                <w:color w:val="auto"/>
                <w:szCs w:val="21"/>
              </w:rPr>
              <w:t>表</w:t>
            </w:r>
            <w:r>
              <w:rPr>
                <w:rFonts w:hint="eastAsia"/>
                <w:b/>
                <w:color w:val="auto"/>
                <w:szCs w:val="21"/>
                <w:lang w:val="en-US" w:eastAsia="zh-CN"/>
              </w:rPr>
              <w:t>26</w:t>
            </w:r>
            <w:r>
              <w:rPr>
                <w:b/>
                <w:color w:val="auto"/>
                <w:szCs w:val="21"/>
              </w:rPr>
              <w:t xml:space="preserve"> </w:t>
            </w:r>
            <w:r>
              <w:rPr>
                <w:rFonts w:hint="eastAsia"/>
                <w:b/>
                <w:color w:val="auto"/>
                <w:szCs w:val="21"/>
              </w:rPr>
              <w:t>噪声排放</w:t>
            </w:r>
            <w:r>
              <w:rPr>
                <w:rFonts w:hAnsi="宋体"/>
                <w:b/>
                <w:color w:val="auto"/>
                <w:szCs w:val="21"/>
              </w:rPr>
              <w:t>标准</w:t>
            </w:r>
            <w:r>
              <w:rPr>
                <w:rFonts w:hAnsi="新宋体" w:eastAsia="新宋体"/>
                <w:b/>
                <w:bCs/>
                <w:color w:val="auto"/>
                <w:szCs w:val="21"/>
              </w:rPr>
              <w:t>值表</w:t>
            </w:r>
          </w:p>
          <w:tbl>
            <w:tblPr>
              <w:tblStyle w:val="14"/>
              <w:tblW w:w="742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8"/>
              <w:gridCol w:w="1379"/>
              <w:gridCol w:w="2333"/>
              <w:gridCol w:w="23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6" w:hRule="atLeast"/>
                <w:jc w:val="center"/>
              </w:trPr>
              <w:tc>
                <w:tcPr>
                  <w:tcW w:w="2757" w:type="dxa"/>
                  <w:gridSpan w:val="2"/>
                  <w:shd w:val="clear" w:color="auto" w:fill="auto"/>
                  <w:vAlign w:val="center"/>
                </w:tcPr>
                <w:p>
                  <w:pPr>
                    <w:spacing w:line="240" w:lineRule="exact"/>
                    <w:jc w:val="center"/>
                    <w:rPr>
                      <w:rFonts w:hint="eastAsia"/>
                      <w:color w:val="auto"/>
                      <w:szCs w:val="21"/>
                    </w:rPr>
                  </w:pPr>
                  <w:r>
                    <w:rPr>
                      <w:rFonts w:hint="eastAsia" w:hAnsi="宋体"/>
                      <w:color w:val="auto"/>
                      <w:szCs w:val="21"/>
                    </w:rPr>
                    <w:t>项目</w:t>
                  </w:r>
                </w:p>
              </w:tc>
              <w:tc>
                <w:tcPr>
                  <w:tcW w:w="2333" w:type="dxa"/>
                  <w:shd w:val="clear" w:color="auto" w:fill="auto"/>
                  <w:vAlign w:val="center"/>
                </w:tcPr>
                <w:p>
                  <w:pPr>
                    <w:spacing w:line="240" w:lineRule="exact"/>
                    <w:jc w:val="center"/>
                    <w:rPr>
                      <w:color w:val="auto"/>
                      <w:szCs w:val="21"/>
                    </w:rPr>
                  </w:pPr>
                  <w:r>
                    <w:rPr>
                      <w:rFonts w:hAnsi="宋体"/>
                      <w:color w:val="auto"/>
                      <w:szCs w:val="21"/>
                    </w:rPr>
                    <w:t>昼间</w:t>
                  </w:r>
                </w:p>
              </w:tc>
              <w:tc>
                <w:tcPr>
                  <w:tcW w:w="2332" w:type="dxa"/>
                  <w:shd w:val="clear" w:color="auto" w:fill="auto"/>
                  <w:vAlign w:val="center"/>
                </w:tcPr>
                <w:p>
                  <w:pPr>
                    <w:spacing w:line="240" w:lineRule="exact"/>
                    <w:jc w:val="center"/>
                    <w:rPr>
                      <w:color w:val="auto"/>
                      <w:szCs w:val="21"/>
                    </w:rPr>
                  </w:pPr>
                  <w:r>
                    <w:rPr>
                      <w:rFonts w:hAnsi="宋体"/>
                      <w:color w:val="auto"/>
                      <w:szCs w:val="21"/>
                    </w:rPr>
                    <w:t>夜间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757" w:type="dxa"/>
                  <w:gridSpan w:val="2"/>
                  <w:shd w:val="clear" w:color="auto" w:fill="auto"/>
                  <w:vAlign w:val="center"/>
                </w:tcPr>
                <w:p>
                  <w:pPr>
                    <w:jc w:val="center"/>
                    <w:rPr>
                      <w:color w:val="auto"/>
                      <w:szCs w:val="21"/>
                    </w:rPr>
                  </w:pPr>
                  <w:r>
                    <w:rPr>
                      <w:rFonts w:hint="eastAsia"/>
                      <w:color w:val="auto"/>
                      <w:szCs w:val="21"/>
                    </w:rPr>
                    <w:t>施工期</w:t>
                  </w:r>
                </w:p>
              </w:tc>
              <w:tc>
                <w:tcPr>
                  <w:tcW w:w="2333" w:type="dxa"/>
                  <w:shd w:val="clear" w:color="auto" w:fill="auto"/>
                  <w:vAlign w:val="center"/>
                </w:tcPr>
                <w:p>
                  <w:pPr>
                    <w:jc w:val="center"/>
                    <w:rPr>
                      <w:color w:val="auto"/>
                      <w:szCs w:val="21"/>
                    </w:rPr>
                  </w:pPr>
                  <w:r>
                    <w:rPr>
                      <w:rFonts w:hint="eastAsia"/>
                      <w:color w:val="auto"/>
                      <w:szCs w:val="21"/>
                    </w:rPr>
                    <w:t>70dB(A)</w:t>
                  </w:r>
                </w:p>
              </w:tc>
              <w:tc>
                <w:tcPr>
                  <w:tcW w:w="2332" w:type="dxa"/>
                  <w:shd w:val="clear" w:color="auto" w:fill="auto"/>
                  <w:vAlign w:val="center"/>
                </w:tcPr>
                <w:p>
                  <w:pPr>
                    <w:jc w:val="center"/>
                    <w:rPr>
                      <w:color w:val="auto"/>
                      <w:szCs w:val="21"/>
                    </w:rPr>
                  </w:pPr>
                  <w:r>
                    <w:rPr>
                      <w:color w:val="auto"/>
                      <w:szCs w:val="21"/>
                    </w:rPr>
                    <w:t>5</w:t>
                  </w:r>
                  <w:r>
                    <w:rPr>
                      <w:rFonts w:hint="eastAsia"/>
                      <w:color w:val="auto"/>
                      <w:szCs w:val="21"/>
                    </w:rPr>
                    <w:t>5dB(A)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378" w:type="dxa"/>
                  <w:vMerge w:val="restart"/>
                  <w:shd w:val="clear" w:color="auto" w:fill="auto"/>
                  <w:vAlign w:val="center"/>
                </w:tcPr>
                <w:p>
                  <w:pPr>
                    <w:jc w:val="center"/>
                    <w:rPr>
                      <w:rFonts w:hint="eastAsia"/>
                      <w:color w:val="auto"/>
                      <w:szCs w:val="21"/>
                    </w:rPr>
                  </w:pPr>
                  <w:r>
                    <w:rPr>
                      <w:rFonts w:hint="eastAsia"/>
                      <w:color w:val="auto"/>
                      <w:szCs w:val="21"/>
                    </w:rPr>
                    <w:t>营运期</w:t>
                  </w:r>
                </w:p>
              </w:tc>
              <w:tc>
                <w:tcPr>
                  <w:tcW w:w="1379" w:type="dxa"/>
                  <w:shd w:val="clear" w:color="auto" w:fill="auto"/>
                  <w:vAlign w:val="center"/>
                </w:tcPr>
                <w:p>
                  <w:pPr>
                    <w:jc w:val="center"/>
                    <w:rPr>
                      <w:color w:val="auto"/>
                      <w:szCs w:val="21"/>
                    </w:rPr>
                  </w:pPr>
                  <w:r>
                    <w:rPr>
                      <w:rFonts w:hint="eastAsia"/>
                      <w:color w:val="auto"/>
                      <w:szCs w:val="21"/>
                    </w:rPr>
                    <w:t>2</w:t>
                  </w:r>
                  <w:r>
                    <w:rPr>
                      <w:rFonts w:hAnsi="宋体"/>
                      <w:color w:val="auto"/>
                      <w:szCs w:val="21"/>
                    </w:rPr>
                    <w:t>类</w:t>
                  </w:r>
                </w:p>
              </w:tc>
              <w:tc>
                <w:tcPr>
                  <w:tcW w:w="2333" w:type="dxa"/>
                  <w:shd w:val="clear" w:color="auto" w:fill="auto"/>
                  <w:vAlign w:val="center"/>
                </w:tcPr>
                <w:p>
                  <w:pPr>
                    <w:jc w:val="center"/>
                    <w:rPr>
                      <w:color w:val="auto"/>
                      <w:szCs w:val="21"/>
                    </w:rPr>
                  </w:pPr>
                  <w:r>
                    <w:rPr>
                      <w:color w:val="auto"/>
                      <w:szCs w:val="21"/>
                    </w:rPr>
                    <w:t>6</w:t>
                  </w:r>
                  <w:r>
                    <w:rPr>
                      <w:rFonts w:hint="eastAsia"/>
                      <w:color w:val="auto"/>
                      <w:szCs w:val="21"/>
                    </w:rPr>
                    <w:t>0dB(A)</w:t>
                  </w:r>
                </w:p>
              </w:tc>
              <w:tc>
                <w:tcPr>
                  <w:tcW w:w="2332" w:type="dxa"/>
                  <w:shd w:val="clear" w:color="auto" w:fill="auto"/>
                  <w:vAlign w:val="center"/>
                </w:tcPr>
                <w:p>
                  <w:pPr>
                    <w:jc w:val="center"/>
                    <w:rPr>
                      <w:color w:val="auto"/>
                      <w:szCs w:val="21"/>
                    </w:rPr>
                  </w:pPr>
                  <w:r>
                    <w:rPr>
                      <w:color w:val="auto"/>
                      <w:szCs w:val="21"/>
                    </w:rPr>
                    <w:t>5</w:t>
                  </w:r>
                  <w:r>
                    <w:rPr>
                      <w:rFonts w:hint="eastAsia"/>
                      <w:color w:val="auto"/>
                      <w:szCs w:val="21"/>
                    </w:rPr>
                    <w:t>0dB(A)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378" w:type="dxa"/>
                  <w:vMerge w:val="continue"/>
                  <w:shd w:val="clear" w:color="auto" w:fill="auto"/>
                  <w:vAlign w:val="center"/>
                </w:tcPr>
                <w:p>
                  <w:pPr>
                    <w:jc w:val="center"/>
                    <w:rPr>
                      <w:rFonts w:hint="eastAsia"/>
                      <w:color w:val="auto"/>
                      <w:szCs w:val="21"/>
                    </w:rPr>
                  </w:pPr>
                </w:p>
              </w:tc>
              <w:tc>
                <w:tcPr>
                  <w:tcW w:w="1379" w:type="dxa"/>
                  <w:shd w:val="clear" w:color="auto" w:fill="auto"/>
                  <w:vAlign w:val="center"/>
                </w:tcPr>
                <w:p>
                  <w:pPr>
                    <w:jc w:val="center"/>
                    <w:rPr>
                      <w:rFonts w:hint="eastAsia"/>
                      <w:color w:val="auto"/>
                      <w:szCs w:val="21"/>
                    </w:rPr>
                  </w:pPr>
                  <w:r>
                    <w:rPr>
                      <w:rFonts w:hint="eastAsia"/>
                      <w:color w:val="auto"/>
                      <w:szCs w:val="21"/>
                    </w:rPr>
                    <w:t>4类</w:t>
                  </w:r>
                </w:p>
              </w:tc>
              <w:tc>
                <w:tcPr>
                  <w:tcW w:w="2333" w:type="dxa"/>
                  <w:shd w:val="clear" w:color="auto" w:fill="auto"/>
                  <w:vAlign w:val="center"/>
                </w:tcPr>
                <w:p>
                  <w:pPr>
                    <w:jc w:val="center"/>
                    <w:rPr>
                      <w:color w:val="auto"/>
                      <w:szCs w:val="21"/>
                    </w:rPr>
                  </w:pPr>
                  <w:r>
                    <w:rPr>
                      <w:rFonts w:hint="eastAsia"/>
                      <w:color w:val="auto"/>
                      <w:szCs w:val="21"/>
                    </w:rPr>
                    <w:t>70dB(A)</w:t>
                  </w:r>
                </w:p>
              </w:tc>
              <w:tc>
                <w:tcPr>
                  <w:tcW w:w="2332" w:type="dxa"/>
                  <w:shd w:val="clear" w:color="auto" w:fill="auto"/>
                  <w:vAlign w:val="center"/>
                </w:tcPr>
                <w:p>
                  <w:pPr>
                    <w:jc w:val="center"/>
                    <w:rPr>
                      <w:color w:val="auto"/>
                      <w:szCs w:val="21"/>
                    </w:rPr>
                  </w:pPr>
                  <w:r>
                    <w:rPr>
                      <w:color w:val="auto"/>
                      <w:szCs w:val="21"/>
                    </w:rPr>
                    <w:t>5</w:t>
                  </w:r>
                  <w:r>
                    <w:rPr>
                      <w:rFonts w:hint="eastAsia"/>
                      <w:color w:val="auto"/>
                      <w:szCs w:val="21"/>
                    </w:rPr>
                    <w:t>5dB(A)</w:t>
                  </w:r>
                </w:p>
              </w:tc>
            </w:tr>
          </w:tbl>
          <w:p>
            <w:pPr>
              <w:adjustRightInd w:val="0"/>
              <w:spacing w:line="360" w:lineRule="auto"/>
              <w:ind w:firstLine="480" w:firstLineChars="200"/>
              <w:rPr>
                <w:rFonts w:hint="eastAsia"/>
                <w:b/>
                <w:bCs/>
                <w:color w:val="auto"/>
                <w:sz w:val="28"/>
              </w:rPr>
            </w:pPr>
            <w:r>
              <w:rPr>
                <w:rFonts w:hint="eastAsia"/>
                <w:bCs/>
                <w:color w:val="auto"/>
                <w:sz w:val="24"/>
              </w:rPr>
              <w:t>4、固体废物执行</w:t>
            </w:r>
            <w:r>
              <w:rPr>
                <w:bCs/>
                <w:color w:val="auto"/>
                <w:sz w:val="24"/>
              </w:rPr>
              <w:t>《一般工业固体废物贮存、处置场污染控制标准》</w:t>
            </w:r>
            <w:r>
              <w:rPr>
                <w:rFonts w:hint="eastAsia"/>
                <w:bCs/>
                <w:color w:val="auto"/>
                <w:sz w:val="24"/>
              </w:rPr>
              <w:t>（</w:t>
            </w:r>
            <w:r>
              <w:rPr>
                <w:bCs/>
                <w:color w:val="auto"/>
                <w:sz w:val="24"/>
              </w:rPr>
              <w:t>GB18599</w:t>
            </w:r>
            <w:r>
              <w:rPr>
                <w:rFonts w:hint="eastAsia"/>
                <w:bCs/>
                <w:color w:val="auto"/>
                <w:sz w:val="24"/>
              </w:rPr>
              <w:t>-</w:t>
            </w:r>
            <w:r>
              <w:rPr>
                <w:bCs/>
                <w:color w:val="auto"/>
                <w:sz w:val="24"/>
              </w:rPr>
              <w:t>2001</w:t>
            </w:r>
            <w:r>
              <w:rPr>
                <w:rFonts w:hint="eastAsia"/>
                <w:bCs/>
                <w:color w:val="auto"/>
                <w:sz w:val="24"/>
              </w:rPr>
              <w:t>）及2013年修改单。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27" w:hRule="atLeast"/>
          <w:jc w:val="center"/>
        </w:trPr>
        <w:tc>
          <w:tcPr>
            <w:tcW w:w="860" w:type="dxa"/>
            <w:tcBorders>
              <w:top w:val="single" w:color="auto" w:sz="4" w:space="0"/>
              <w:left w:val="single" w:color="auto" w:sz="4" w:space="0"/>
              <w:bottom w:val="single" w:color="auto" w:sz="4" w:space="0"/>
              <w:right w:val="single" w:color="auto" w:sz="4" w:space="0"/>
            </w:tcBorders>
            <w:textDirection w:val="tbRlV"/>
            <w:vAlign w:val="center"/>
          </w:tcPr>
          <w:p>
            <w:pPr>
              <w:spacing w:line="360" w:lineRule="auto"/>
              <w:ind w:left="113" w:leftChars="54" w:right="113"/>
              <w:jc w:val="center"/>
              <w:rPr>
                <w:color w:val="auto"/>
                <w:sz w:val="28"/>
              </w:rPr>
            </w:pPr>
            <w:r>
              <w:rPr>
                <w:color w:val="auto"/>
                <w:sz w:val="28"/>
              </w:rPr>
              <w:t>总量控制指标</w:t>
            </w:r>
          </w:p>
        </w:tc>
        <w:tc>
          <w:tcPr>
            <w:tcW w:w="7668"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hint="eastAsia"/>
                <w:color w:val="auto"/>
                <w:sz w:val="24"/>
              </w:rPr>
            </w:pPr>
            <w:r>
              <w:rPr>
                <w:rFonts w:hint="eastAsia"/>
                <w:color w:val="auto"/>
                <w:sz w:val="24"/>
              </w:rPr>
              <w:t>本项目为公益性工程建设，无需设置总量控制指标。</w:t>
            </w:r>
          </w:p>
          <w:p>
            <w:pPr>
              <w:adjustRightInd w:val="0"/>
              <w:spacing w:line="360" w:lineRule="auto"/>
              <w:ind w:firstLine="480" w:firstLineChars="200"/>
              <w:rPr>
                <w:rFonts w:hint="eastAsia"/>
                <w:bCs/>
                <w:color w:val="auto"/>
                <w:sz w:val="24"/>
              </w:rPr>
            </w:pPr>
          </w:p>
        </w:tc>
      </w:tr>
    </w:tbl>
    <w:p>
      <w:pPr>
        <w:spacing w:line="360" w:lineRule="auto"/>
        <w:outlineLvl w:val="0"/>
        <w:rPr>
          <w:rFonts w:hint="eastAsia"/>
          <w:b/>
          <w:bCs/>
          <w:color w:val="auto"/>
          <w:sz w:val="28"/>
        </w:rPr>
      </w:pPr>
      <w:r>
        <w:rPr>
          <w:b/>
          <w:bCs/>
          <w:color w:val="auto"/>
          <w:sz w:val="28"/>
        </w:rPr>
        <w:br w:type="page"/>
      </w:r>
      <w:r>
        <w:rPr>
          <w:b/>
          <w:bCs/>
          <w:color w:val="auto"/>
          <w:sz w:val="28"/>
        </w:rPr>
        <w:t>建设项目工程分析</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spacing w:line="360" w:lineRule="auto"/>
              <w:rPr>
                <w:color w:val="auto"/>
                <w:sz w:val="28"/>
              </w:rPr>
            </w:pPr>
            <w:r>
              <w:rPr>
                <w:color w:val="auto"/>
                <w:sz w:val="28"/>
              </w:rPr>
              <w:t>工艺流程简述</w:t>
            </w:r>
            <w:r>
              <w:rPr>
                <w:rFonts w:hint="eastAsia"/>
                <w:color w:val="auto"/>
                <w:sz w:val="28"/>
              </w:rPr>
              <w:t>（图示）</w:t>
            </w:r>
            <w:r>
              <w:rPr>
                <w:color w:val="auto"/>
                <w:sz w:val="28"/>
              </w:rPr>
              <w:t>：</w:t>
            </w:r>
          </w:p>
          <w:p>
            <w:pPr>
              <w:numPr>
                <w:ilvl w:val="0"/>
                <w:numId w:val="8"/>
              </w:numPr>
              <w:adjustRightInd w:val="0"/>
              <w:spacing w:line="360" w:lineRule="auto"/>
              <w:ind w:left="360" w:leftChars="0" w:hanging="360" w:firstLineChars="0"/>
              <w:rPr>
                <w:rFonts w:hint="eastAsia"/>
                <w:b/>
                <w:color w:val="auto"/>
                <w:sz w:val="24"/>
                <w:lang w:val="en-US" w:eastAsia="zh-CN"/>
              </w:rPr>
            </w:pPr>
            <w:r>
              <w:rPr>
                <w:rFonts w:hint="eastAsia"/>
                <w:b/>
                <w:color w:val="auto"/>
                <w:sz w:val="24"/>
                <w:lang w:val="en-US" w:eastAsia="zh-CN"/>
              </w:rPr>
              <w:t>施工期工艺流程</w:t>
            </w:r>
          </w:p>
          <w:p>
            <w:pPr>
              <w:adjustRightInd w:val="0"/>
              <w:spacing w:line="360" w:lineRule="auto"/>
              <w:rPr>
                <w:rFonts w:hint="eastAsia"/>
                <w:b/>
                <w:color w:val="auto"/>
                <w:sz w:val="24"/>
                <w:lang w:val="en-US" w:eastAsia="zh-CN"/>
              </w:rPr>
            </w:pPr>
            <w:r>
              <w:rPr>
                <w:rFonts w:hint="eastAsia"/>
                <w:b/>
                <w:color w:val="auto"/>
                <w:sz w:val="24"/>
                <w:lang w:val="en-US" w:eastAsia="zh-CN"/>
              </w:rPr>
              <w:t>1.1净水厂</w:t>
            </w:r>
          </w:p>
          <w:p>
            <w:pPr>
              <w:spacing w:line="360" w:lineRule="auto"/>
              <w:ind w:firstLine="480" w:firstLineChars="200"/>
              <w:rPr>
                <w:color w:val="auto"/>
                <w:sz w:val="24"/>
              </w:rPr>
            </w:pPr>
            <w:r>
              <w:rPr>
                <w:rFonts w:hint="eastAsia"/>
                <w:color w:val="auto"/>
                <w:sz w:val="24"/>
              </w:rPr>
              <w:t>本工程净水厂</w:t>
            </w:r>
            <w:r>
              <w:rPr>
                <w:color w:val="auto"/>
                <w:sz w:val="24"/>
              </w:rPr>
              <w:t>施工期工艺流程及产污示意图见图</w:t>
            </w:r>
            <w:r>
              <w:rPr>
                <w:rFonts w:hint="eastAsia"/>
                <w:color w:val="auto"/>
                <w:sz w:val="24"/>
                <w:lang w:val="en-US" w:eastAsia="zh-CN"/>
              </w:rPr>
              <w:t>1</w:t>
            </w:r>
            <w:r>
              <w:rPr>
                <w:color w:val="auto"/>
                <w:sz w:val="24"/>
              </w:rPr>
              <w:t>。</w:t>
            </w:r>
          </w:p>
          <w:p>
            <w:pPr>
              <w:spacing w:line="360" w:lineRule="auto"/>
              <w:ind w:firstLine="353" w:firstLineChars="147"/>
              <w:rPr>
                <w:color w:val="auto"/>
                <w:kern w:val="0"/>
              </w:rPr>
            </w:pPr>
            <w:r>
              <w:rPr>
                <w:bCs/>
                <w:color w:val="auto"/>
                <w:sz w:val="24"/>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6221730</wp:posOffset>
                      </wp:positionV>
                      <wp:extent cx="4114800" cy="315595"/>
                      <wp:effectExtent l="0" t="0" r="0" b="0"/>
                      <wp:wrapNone/>
                      <wp:docPr id="69" name="矩形 2"/>
                      <wp:cNvGraphicFramePr/>
                      <a:graphic xmlns:a="http://schemas.openxmlformats.org/drawingml/2006/main">
                        <a:graphicData uri="http://schemas.microsoft.com/office/word/2010/wordprocessingShape">
                          <wps:wsp>
                            <wps:cNvSpPr/>
                            <wps:spPr>
                              <a:xfrm>
                                <a:off x="0" y="0"/>
                                <a:ext cx="4114800" cy="315595"/>
                              </a:xfrm>
                              <a:prstGeom prst="rect">
                                <a:avLst/>
                              </a:prstGeom>
                              <a:solidFill>
                                <a:srgbClr val="FFFFFF">
                                  <a:alpha val="0"/>
                                </a:srgbClr>
                              </a:solidFill>
                              <a:ln w="9525">
                                <a:noFill/>
                              </a:ln>
                            </wps:spPr>
                            <wps:txbx>
                              <w:txbxContent>
                                <w:p>
                                  <w:pPr>
                                    <w:rPr>
                                      <w:b/>
                                      <w:sz w:val="24"/>
                                    </w:rPr>
                                  </w:pPr>
                                  <w:r>
                                    <w:rPr>
                                      <w:rFonts w:hint="eastAsia"/>
                                      <w:b/>
                                      <w:sz w:val="24"/>
                                    </w:rPr>
                                    <w:t xml:space="preserve">图 </w:t>
                                  </w:r>
                                  <w:r>
                                    <w:rPr>
                                      <w:rFonts w:hint="eastAsia"/>
                                      <w:b/>
                                      <w:sz w:val="24"/>
                                      <w:lang w:val="en-US" w:eastAsia="zh-CN"/>
                                    </w:rPr>
                                    <w:t>1</w:t>
                                  </w:r>
                                  <w:r>
                                    <w:rPr>
                                      <w:rFonts w:hint="eastAsia"/>
                                      <w:b/>
                                      <w:sz w:val="24"/>
                                    </w:rPr>
                                    <w:t xml:space="preserve">     净水厂施工期工艺流程及污染环节图</w:t>
                                  </w:r>
                                </w:p>
                              </w:txbxContent>
                            </wps:txbx>
                            <wps:bodyPr upright="1"/>
                          </wps:wsp>
                        </a:graphicData>
                      </a:graphic>
                    </wp:anchor>
                  </w:drawing>
                </mc:Choice>
                <mc:Fallback>
                  <w:pict>
                    <v:rect id="矩形 2" o:spid="_x0000_s1026" o:spt="1" style="position:absolute;left:0pt;margin-left:72pt;margin-top:489.9pt;height:24.85pt;width:324pt;z-index:251662336;mso-width-relative:page;mso-height-relative:page;" fillcolor="#FFFFFF" filled="t" stroked="f" coordsize="21600,21600" o:gfxdata="UEsDBAoAAAAAAIdO4kAAAAAAAAAAAAAAAAAEAAAAZHJzL1BLAwQUAAAACACHTuJA1WDDtdoAAAAM&#10;AQAADwAAAGRycy9kb3ducmV2LnhtbE2PMU/DMBCFdyT+g3VI3ajTtFAc4nSgzcDAQArq6sbXJCI+&#10;R7Hbhn/PMcH47j29+16+mVwvLjiGzpOGxTwBgVR721Gj4WNf3j+BCNGQNb0n1PCNATbF7U1uMuuv&#10;9I6XKjaCSyhkRkMb45BJGeoWnQlzPyCxd/KjM5Hl2Eg7miuXu16mSfIonemIP7RmwJcW66/q7DRU&#10;5ad9U4e4PPipbHav2+1pN+y1nt0tkmcQEaf4F4ZffEaHgpmO/kw2iJ71asVboga1VryBE2uV8uXI&#10;VpKqB5BFLv+PKH4AUEsDBBQAAAAIAIdO4kBQU+MarwEAAEMDAAAOAAAAZHJzL2Uyb0RvYy54bWyt&#10;UkuO2zAM3RfoHQTtG9vpeDAx4syig3RTtANM5wCKLNsC9AOpiZ3TFOiuh+hxil6jlJxm+tkV9YIW&#10;KeqR75Hb29kadlSA2ruWV6uSM+Wk77QbWv74cf/qhjOMwnXCeKdaflLIb3cvX2yn0Ki1H73pFDAC&#10;cdhMoeVjjKEpCpSjsgJXPihHl70HKyK5MBQdiInQrSnWZXldTB66AF4qRIreLZd8l/H7Xsn4oe9R&#10;RWZaTr3FbCHbQ7LFbiuaAUQYtTy3If6hCyu0o6IXqDsRBXsC/ReU1RI8+j6upLeF73stVeZAbKry&#10;DzYPowgqcyFxMFxkwv8HK98f74HpruXXG86csDSj75++fPv6ma2TOFPAhnIewj2cPaRjYjr3YNOf&#10;OLA5C3q6CKrmyCQFr6rq6qYk3SXdva7qelMn0OL5dQCMb5W3LB1aDjSwrKM4vsO4pP5MScXQG93t&#10;tTHZgeHwxgA7ChruPn/LWxNGsUTzgKkcLqm59G8YxrGp5Zt6Xeenzifwpa5xlJ74L4zTKc6H+SzD&#10;wXcnUu4pgB5G6rzKxFISTSrXOW9VWoVf/Qz6vPu7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Vg&#10;w7XaAAAADAEAAA8AAAAAAAAAAQAgAAAAIgAAAGRycy9kb3ducmV2LnhtbFBLAQIUABQAAAAIAIdO&#10;4kBQU+MarwEAAEMDAAAOAAAAAAAAAAEAIAAAACkBAABkcnMvZTJvRG9jLnhtbFBLBQYAAAAABgAG&#10;AFkBAABKBQAAAAA=&#10;">
                      <v:fill on="t" opacity="0f" focussize="0,0"/>
                      <v:stroke on="f"/>
                      <v:imagedata o:title=""/>
                      <o:lock v:ext="edit" aspectratio="f"/>
                      <v:textbox>
                        <w:txbxContent>
                          <w:p>
                            <w:pPr>
                              <w:rPr>
                                <w:b/>
                                <w:sz w:val="24"/>
                              </w:rPr>
                            </w:pPr>
                            <w:r>
                              <w:rPr>
                                <w:rFonts w:hint="eastAsia"/>
                                <w:b/>
                                <w:sz w:val="24"/>
                              </w:rPr>
                              <w:t xml:space="preserve">图 </w:t>
                            </w:r>
                            <w:r>
                              <w:rPr>
                                <w:rFonts w:hint="eastAsia"/>
                                <w:b/>
                                <w:sz w:val="24"/>
                                <w:lang w:val="en-US" w:eastAsia="zh-CN"/>
                              </w:rPr>
                              <w:t>1</w:t>
                            </w:r>
                            <w:r>
                              <w:rPr>
                                <w:rFonts w:hint="eastAsia"/>
                                <w:b/>
                                <w:sz w:val="24"/>
                              </w:rPr>
                              <w:t xml:space="preserve">     净水厂施工期工艺流程及污染环节图</w:t>
                            </w:r>
                          </w:p>
                        </w:txbxContent>
                      </v:textbox>
                    </v:rect>
                  </w:pict>
                </mc:Fallback>
              </mc:AlternateContent>
            </w:r>
            <w:r>
              <w:rPr>
                <w:bCs/>
                <w:color w:val="auto"/>
                <w:sz w:val="24"/>
              </w:rPr>
              <mc:AlternateContent>
                <mc:Choice Requires="wpg">
                  <w:drawing>
                    <wp:inline distT="0" distB="0" distL="114300" distR="114300">
                      <wp:extent cx="5495925" cy="6637020"/>
                      <wp:effectExtent l="0" t="0" r="0" b="0"/>
                      <wp:docPr id="68" name="组合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Rot="1" noChangeAspect="1"/>
                            </wpg:cNvGrpSpPr>
                            <wpg:grpSpPr>
                              <a:xfrm>
                                <a:off x="0" y="0"/>
                                <a:ext cx="5495925" cy="6637020"/>
                                <a:chOff x="1894" y="1404"/>
                                <a:chExt cx="8345" cy="9570"/>
                              </a:xfrm>
                            </wpg:grpSpPr>
                            <wps:wsp>
                              <wps:cNvPr id="4" name="图片 4"/>
                              <wps:cNvSpPr>
                                <a:spLocks noChangeAspect="1" noTextEdit="1"/>
                              </wps:cNvSpPr>
                              <wps:spPr>
                                <a:xfrm>
                                  <a:off x="1894" y="1404"/>
                                  <a:ext cx="8345" cy="9570"/>
                                </a:xfrm>
                                <a:prstGeom prst="rect">
                                  <a:avLst/>
                                </a:prstGeom>
                                <a:noFill/>
                                <a:ln w="9525">
                                  <a:noFill/>
                                </a:ln>
                              </wps:spPr>
                              <wps:bodyPr upright="1"/>
                            </wps:wsp>
                            <wps:wsp>
                              <wps:cNvPr id="5" name="矩形 5"/>
                              <wps:cNvSpPr/>
                              <wps:spPr>
                                <a:xfrm>
                                  <a:off x="4313" y="5148"/>
                                  <a:ext cx="1200" cy="426"/>
                                </a:xfrm>
                                <a:prstGeom prst="rect">
                                  <a:avLst/>
                                </a:prstGeom>
                                <a:solidFill>
                                  <a:srgbClr val="FFFFFF">
                                    <a:alpha val="0"/>
                                  </a:srgbClr>
                                </a:solidFill>
                                <a:ln w="0">
                                  <a:noFill/>
                                </a:ln>
                              </wps:spPr>
                              <wps:txbx>
                                <w:txbxContent>
                                  <w:p>
                                    <w:pPr>
                                      <w:spacing w:line="200" w:lineRule="atLeast"/>
                                      <w:jc w:val="left"/>
                                    </w:pPr>
                                    <w:r>
                                      <w:rPr>
                                        <w:rFonts w:hint="eastAsia" w:ascii="宋体" w:hAnsi="宋体"/>
                                        <w:sz w:val="21"/>
                                        <w:szCs w:val="21"/>
                                      </w:rPr>
                                      <w:t>清理杂物</w:t>
                                    </w:r>
                                  </w:p>
                                </w:txbxContent>
                              </wps:txbx>
                              <wps:bodyPr upright="1"/>
                            </wps:wsp>
                            <wps:wsp>
                              <wps:cNvPr id="6" name="矩形 6"/>
                              <wps:cNvSpPr/>
                              <wps:spPr>
                                <a:xfrm>
                                  <a:off x="5735" y="1513"/>
                                  <a:ext cx="846" cy="39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策 划</w:t>
                                    </w:r>
                                  </w:p>
                                </w:txbxContent>
                              </wps:txbx>
                              <wps:bodyPr upright="1"/>
                            </wps:wsp>
                            <wps:wsp>
                              <wps:cNvPr id="7" name="直线 7"/>
                              <wps:cNvCnPr/>
                              <wps:spPr>
                                <a:xfrm>
                                  <a:off x="6173" y="1965"/>
                                  <a:ext cx="1" cy="312"/>
                                </a:xfrm>
                                <a:prstGeom prst="line">
                                  <a:avLst/>
                                </a:prstGeom>
                                <a:ln w="9525" cap="flat" cmpd="sng">
                                  <a:solidFill>
                                    <a:srgbClr val="000000"/>
                                  </a:solidFill>
                                  <a:prstDash val="solid"/>
                                  <a:headEnd type="none" w="med" len="med"/>
                                  <a:tailEnd type="triangle" w="med" len="med"/>
                                </a:ln>
                              </wps:spPr>
                              <wps:bodyPr upright="1"/>
                            </wps:wsp>
                            <wps:wsp>
                              <wps:cNvPr id="8" name="矩形 8"/>
                              <wps:cNvSpPr/>
                              <wps:spPr>
                                <a:xfrm>
                                  <a:off x="5605" y="2324"/>
                                  <a:ext cx="1175" cy="423"/>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sz w:val="21"/>
                                        <w:szCs w:val="21"/>
                                      </w:rPr>
                                      <w:t>厂址比选</w:t>
                                    </w:r>
                                  </w:p>
                                </w:txbxContent>
                              </wps:txbx>
                              <wps:bodyPr upright="1"/>
                            </wps:wsp>
                            <wps:wsp>
                              <wps:cNvPr id="9" name="直线 9"/>
                              <wps:cNvCnPr/>
                              <wps:spPr>
                                <a:xfrm>
                                  <a:off x="6199" y="2761"/>
                                  <a:ext cx="1" cy="311"/>
                                </a:xfrm>
                                <a:prstGeom prst="line">
                                  <a:avLst/>
                                </a:prstGeom>
                                <a:ln w="9525" cap="flat" cmpd="sng">
                                  <a:solidFill>
                                    <a:srgbClr val="000000"/>
                                  </a:solidFill>
                                  <a:prstDash val="solid"/>
                                  <a:headEnd type="none" w="med" len="med"/>
                                  <a:tailEnd type="triangle" w="med" len="med"/>
                                </a:ln>
                              </wps:spPr>
                              <wps:bodyPr upright="1"/>
                            </wps:wsp>
                            <wps:wsp>
                              <wps:cNvPr id="10" name="矩形 10"/>
                              <wps:cNvSpPr/>
                              <wps:spPr>
                                <a:xfrm>
                                  <a:off x="5663" y="3134"/>
                                  <a:ext cx="1147"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sz w:val="21"/>
                                        <w:szCs w:val="21"/>
                                      </w:rPr>
                                      <w:t>地质勘探</w:t>
                                    </w:r>
                                  </w:p>
                                </w:txbxContent>
                              </wps:txbx>
                              <wps:bodyPr upright="1"/>
                            </wps:wsp>
                            <wps:wsp>
                              <wps:cNvPr id="11" name="直线 11"/>
                              <wps:cNvCnPr/>
                              <wps:spPr>
                                <a:xfrm>
                                  <a:off x="6199" y="3541"/>
                                  <a:ext cx="1" cy="311"/>
                                </a:xfrm>
                                <a:prstGeom prst="line">
                                  <a:avLst/>
                                </a:prstGeom>
                                <a:ln w="9525" cap="flat" cmpd="sng">
                                  <a:solidFill>
                                    <a:srgbClr val="000000"/>
                                  </a:solidFill>
                                  <a:prstDash val="solid"/>
                                  <a:headEnd type="none" w="med" len="med"/>
                                  <a:tailEnd type="triangle" w="med" len="med"/>
                                </a:ln>
                              </wps:spPr>
                              <wps:bodyPr upright="1"/>
                            </wps:wsp>
                            <wps:wsp>
                              <wps:cNvPr id="12" name="矩形 12"/>
                              <wps:cNvSpPr/>
                              <wps:spPr>
                                <a:xfrm>
                                  <a:off x="5149" y="3853"/>
                                  <a:ext cx="2205"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sz w:val="21"/>
                                        <w:szCs w:val="21"/>
                                      </w:rPr>
                                      <w:t>方案设计、工程设计</w:t>
                                    </w:r>
                                  </w:p>
                                </w:txbxContent>
                              </wps:txbx>
                              <wps:bodyPr upright="1"/>
                            </wps:wsp>
                            <wps:wsp>
                              <wps:cNvPr id="13" name="直线 13"/>
                              <wps:cNvCnPr/>
                              <wps:spPr>
                                <a:xfrm>
                                  <a:off x="6199" y="4321"/>
                                  <a:ext cx="1" cy="312"/>
                                </a:xfrm>
                                <a:prstGeom prst="line">
                                  <a:avLst/>
                                </a:prstGeom>
                                <a:ln w="9525" cap="flat" cmpd="sng">
                                  <a:solidFill>
                                    <a:srgbClr val="000000"/>
                                  </a:solidFill>
                                  <a:prstDash val="solid"/>
                                  <a:headEnd type="none" w="med" len="med"/>
                                  <a:tailEnd type="triangle" w="med" len="med"/>
                                </a:ln>
                              </wps:spPr>
                              <wps:bodyPr upright="1"/>
                            </wps:wsp>
                            <wps:wsp>
                              <wps:cNvPr id="14" name="矩形 14"/>
                              <wps:cNvSpPr/>
                              <wps:spPr>
                                <a:xfrm>
                                  <a:off x="5851" y="4625"/>
                                  <a:ext cx="756" cy="3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征地</w:t>
                                    </w:r>
                                  </w:p>
                                </w:txbxContent>
                              </wps:txbx>
                              <wps:bodyPr upright="1"/>
                            </wps:wsp>
                            <wps:wsp>
                              <wps:cNvPr id="15" name="直线 15"/>
                              <wps:cNvCnPr/>
                              <wps:spPr>
                                <a:xfrm>
                                  <a:off x="6199" y="5101"/>
                                  <a:ext cx="1" cy="312"/>
                                </a:xfrm>
                                <a:prstGeom prst="line">
                                  <a:avLst/>
                                </a:prstGeom>
                                <a:ln w="9525" cap="flat" cmpd="sng">
                                  <a:solidFill>
                                    <a:srgbClr val="000000"/>
                                  </a:solidFill>
                                  <a:prstDash val="solid"/>
                                  <a:headEnd type="none" w="med" len="med"/>
                                  <a:tailEnd type="triangle" w="med" len="med"/>
                                </a:ln>
                              </wps:spPr>
                              <wps:bodyPr upright="1"/>
                            </wps:wsp>
                            <wps:wsp>
                              <wps:cNvPr id="16" name="矩形 16"/>
                              <wps:cNvSpPr/>
                              <wps:spPr>
                                <a:xfrm>
                                  <a:off x="5674" y="5473"/>
                                  <a:ext cx="1148"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sz w:val="21"/>
                                        <w:szCs w:val="21"/>
                                      </w:rPr>
                                    </w:pPr>
                                    <w:r>
                                      <w:rPr>
                                        <w:rFonts w:hint="eastAsia" w:ascii="宋体" w:hAnsi="宋体"/>
                                        <w:sz w:val="21"/>
                                        <w:szCs w:val="21"/>
                                      </w:rPr>
                                      <w:t>场地平整</w:t>
                                    </w:r>
                                  </w:p>
                                </w:txbxContent>
                              </wps:txbx>
                              <wps:bodyPr upright="1"/>
                            </wps:wsp>
                            <wps:wsp>
                              <wps:cNvPr id="17" name="直线 17"/>
                              <wps:cNvCnPr/>
                              <wps:spPr>
                                <a:xfrm>
                                  <a:off x="6201" y="5969"/>
                                  <a:ext cx="2" cy="313"/>
                                </a:xfrm>
                                <a:prstGeom prst="line">
                                  <a:avLst/>
                                </a:prstGeom>
                                <a:ln w="9525" cap="flat" cmpd="sng">
                                  <a:solidFill>
                                    <a:srgbClr val="000000"/>
                                  </a:solidFill>
                                  <a:prstDash val="solid"/>
                                  <a:headEnd type="none" w="med" len="med"/>
                                  <a:tailEnd type="triangle" w="med" len="med"/>
                                </a:ln>
                              </wps:spPr>
                              <wps:bodyPr upright="1"/>
                            </wps:wsp>
                            <wps:wsp>
                              <wps:cNvPr id="18" name="矩形 18"/>
                              <wps:cNvSpPr/>
                              <wps:spPr>
                                <a:xfrm>
                                  <a:off x="5618" y="6327"/>
                                  <a:ext cx="1381" cy="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sz w:val="21"/>
                                        <w:szCs w:val="21"/>
                                      </w:rPr>
                                      <w:t>土石方工程</w:t>
                                    </w:r>
                                  </w:p>
                                </w:txbxContent>
                              </wps:txbx>
                              <wps:bodyPr upright="1"/>
                            </wps:wsp>
                            <wps:wsp>
                              <wps:cNvPr id="19" name="直线 19"/>
                              <wps:cNvCnPr/>
                              <wps:spPr>
                                <a:xfrm>
                                  <a:off x="6201" y="6781"/>
                                  <a:ext cx="2" cy="311"/>
                                </a:xfrm>
                                <a:prstGeom prst="line">
                                  <a:avLst/>
                                </a:prstGeom>
                                <a:ln w="9525" cap="flat" cmpd="sng">
                                  <a:solidFill>
                                    <a:srgbClr val="000000"/>
                                  </a:solidFill>
                                  <a:prstDash val="solid"/>
                                  <a:headEnd type="none" w="med" len="med"/>
                                  <a:tailEnd type="triangle" w="med" len="med"/>
                                </a:ln>
                              </wps:spPr>
                              <wps:bodyPr upright="1"/>
                            </wps:wsp>
                            <wps:wsp>
                              <wps:cNvPr id="20" name="矩形 20"/>
                              <wps:cNvSpPr/>
                              <wps:spPr>
                                <a:xfrm>
                                  <a:off x="5645" y="7136"/>
                                  <a:ext cx="1147"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主体工程</w:t>
                                    </w:r>
                                  </w:p>
                                </w:txbxContent>
                              </wps:txbx>
                              <wps:bodyPr upright="1"/>
                            </wps:wsp>
                            <wps:wsp>
                              <wps:cNvPr id="21" name="直线 21"/>
                              <wps:cNvCnPr/>
                              <wps:spPr>
                                <a:xfrm>
                                  <a:off x="6187" y="7597"/>
                                  <a:ext cx="1" cy="312"/>
                                </a:xfrm>
                                <a:prstGeom prst="line">
                                  <a:avLst/>
                                </a:prstGeom>
                                <a:ln w="9525" cap="flat" cmpd="sng">
                                  <a:solidFill>
                                    <a:srgbClr val="000000"/>
                                  </a:solidFill>
                                  <a:prstDash val="solid"/>
                                  <a:headEnd type="none" w="med" len="med"/>
                                  <a:tailEnd type="triangle" w="med" len="med"/>
                                </a:ln>
                              </wps:spPr>
                              <wps:bodyPr upright="1"/>
                            </wps:wsp>
                            <wps:wsp>
                              <wps:cNvPr id="22" name="矩形 22"/>
                              <wps:cNvSpPr/>
                              <wps:spPr>
                                <a:xfrm>
                                  <a:off x="5642" y="7979"/>
                                  <a:ext cx="1147"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sz w:val="21"/>
                                        <w:szCs w:val="21"/>
                                      </w:rPr>
                                      <w:t>装饰工程</w:t>
                                    </w:r>
                                  </w:p>
                                </w:txbxContent>
                              </wps:txbx>
                              <wps:bodyPr upright="1"/>
                            </wps:wsp>
                            <wps:wsp>
                              <wps:cNvPr id="23" name="直线 23"/>
                              <wps:cNvCnPr/>
                              <wps:spPr>
                                <a:xfrm>
                                  <a:off x="6187" y="8412"/>
                                  <a:ext cx="1" cy="312"/>
                                </a:xfrm>
                                <a:prstGeom prst="line">
                                  <a:avLst/>
                                </a:prstGeom>
                                <a:ln w="9525" cap="flat" cmpd="sng">
                                  <a:solidFill>
                                    <a:srgbClr val="000000"/>
                                  </a:solidFill>
                                  <a:prstDash val="solid"/>
                                  <a:headEnd type="none" w="med" len="med"/>
                                  <a:tailEnd type="triangle" w="med" len="med"/>
                                </a:ln>
                              </wps:spPr>
                              <wps:bodyPr upright="1"/>
                            </wps:wsp>
                            <wps:wsp>
                              <wps:cNvPr id="24" name="矩形 24"/>
                              <wps:cNvSpPr/>
                              <wps:spPr>
                                <a:xfrm>
                                  <a:off x="5634" y="8801"/>
                                  <a:ext cx="1148"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sz w:val="21"/>
                                        <w:szCs w:val="21"/>
                                      </w:rPr>
                                      <w:t>竣工验收</w:t>
                                    </w:r>
                                  </w:p>
                                </w:txbxContent>
                              </wps:txbx>
                              <wps:bodyPr upright="1"/>
                            </wps:wsp>
                            <wps:wsp>
                              <wps:cNvPr id="25" name="直线 25"/>
                              <wps:cNvCnPr/>
                              <wps:spPr>
                                <a:xfrm>
                                  <a:off x="6199" y="9249"/>
                                  <a:ext cx="1" cy="313"/>
                                </a:xfrm>
                                <a:prstGeom prst="line">
                                  <a:avLst/>
                                </a:prstGeom>
                                <a:ln w="9525" cap="flat" cmpd="sng">
                                  <a:solidFill>
                                    <a:srgbClr val="000000"/>
                                  </a:solidFill>
                                  <a:prstDash val="solid"/>
                                  <a:headEnd type="none" w="med" len="med"/>
                                  <a:tailEnd type="triangle" w="med" len="med"/>
                                </a:ln>
                              </wps:spPr>
                              <wps:bodyPr upright="1"/>
                            </wps:wsp>
                            <wps:wsp>
                              <wps:cNvPr id="26" name="矩形 26"/>
                              <wps:cNvSpPr/>
                              <wps:spPr>
                                <a:xfrm>
                                  <a:off x="5629" y="9551"/>
                                  <a:ext cx="1147" cy="4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投入运营</w:t>
                                    </w:r>
                                  </w:p>
                                </w:txbxContent>
                              </wps:txbx>
                              <wps:bodyPr upright="1"/>
                            </wps:wsp>
                            <wps:wsp>
                              <wps:cNvPr id="27" name="自选图形 27"/>
                              <wps:cNvSpPr/>
                              <wps:spPr>
                                <a:xfrm>
                                  <a:off x="3679" y="1825"/>
                                  <a:ext cx="420" cy="3120"/>
                                </a:xfrm>
                                <a:prstGeom prst="leftBrace">
                                  <a:avLst>
                                    <a:gd name="adj1" fmla="val 61904"/>
                                    <a:gd name="adj2" fmla="val 50000"/>
                                  </a:avLst>
                                </a:prstGeom>
                                <a:noFill/>
                                <a:ln w="9525" cap="flat" cmpd="sng">
                                  <a:solidFill>
                                    <a:srgbClr val="000000"/>
                                  </a:solidFill>
                                  <a:prstDash val="solid"/>
                                  <a:headEnd type="none" w="med" len="med"/>
                                  <a:tailEnd type="none" w="med" len="med"/>
                                </a:ln>
                              </wps:spPr>
                              <wps:bodyPr upright="1"/>
                            </wps:wsp>
                            <wps:wsp>
                              <wps:cNvPr id="28" name="自选图形 28"/>
                              <wps:cNvSpPr/>
                              <wps:spPr>
                                <a:xfrm>
                                  <a:off x="5374" y="5142"/>
                                  <a:ext cx="184" cy="905"/>
                                </a:xfrm>
                                <a:prstGeom prst="rightBrace">
                                  <a:avLst>
                                    <a:gd name="adj1" fmla="val 40987"/>
                                    <a:gd name="adj2" fmla="val 50000"/>
                                  </a:avLst>
                                </a:prstGeom>
                                <a:noFill/>
                                <a:ln w="9525" cap="flat" cmpd="sng">
                                  <a:solidFill>
                                    <a:srgbClr val="000000"/>
                                  </a:solidFill>
                                  <a:prstDash val="solid"/>
                                  <a:headEnd type="none" w="med" len="med"/>
                                  <a:tailEnd type="none" w="med" len="med"/>
                                </a:ln>
                              </wps:spPr>
                              <wps:bodyPr upright="1"/>
                            </wps:wsp>
                            <wps:wsp>
                              <wps:cNvPr id="29" name="矩形 29"/>
                              <wps:cNvSpPr/>
                              <wps:spPr>
                                <a:xfrm>
                                  <a:off x="4281" y="5413"/>
                                  <a:ext cx="1198" cy="426"/>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三通一平</w:t>
                                    </w:r>
                                  </w:p>
                                </w:txbxContent>
                              </wps:txbx>
                              <wps:bodyPr upright="1"/>
                            </wps:wsp>
                            <wps:wsp>
                              <wps:cNvPr id="30" name="矩形 30"/>
                              <wps:cNvSpPr/>
                              <wps:spPr>
                                <a:xfrm>
                                  <a:off x="4281" y="5705"/>
                                  <a:ext cx="1198" cy="376"/>
                                </a:xfrm>
                                <a:prstGeom prst="rect">
                                  <a:avLst/>
                                </a:prstGeom>
                                <a:solidFill>
                                  <a:srgbClr val="FFFFFF">
                                    <a:alpha val="0"/>
                                  </a:srgbClr>
                                </a:solidFill>
                                <a:ln w="0">
                                  <a:noFill/>
                                </a:ln>
                              </wps:spPr>
                              <wps:txbx>
                                <w:txbxContent>
                                  <w:p>
                                    <w:pPr>
                                      <w:spacing w:line="200" w:lineRule="atLeast"/>
                                      <w:jc w:val="left"/>
                                    </w:pPr>
                                    <w:r>
                                      <w:rPr>
                                        <w:rFonts w:hint="eastAsia" w:ascii="宋体" w:hAnsi="宋体"/>
                                        <w:sz w:val="21"/>
                                        <w:szCs w:val="21"/>
                                      </w:rPr>
                                      <w:t>施工设施</w:t>
                                    </w:r>
                                  </w:p>
                                </w:txbxContent>
                              </wps:txbx>
                              <wps:bodyPr upright="1"/>
                            </wps:wsp>
                            <wps:wsp>
                              <wps:cNvPr id="31" name="自选图形 31"/>
                              <wps:cNvSpPr/>
                              <wps:spPr>
                                <a:xfrm>
                                  <a:off x="7738" y="5270"/>
                                  <a:ext cx="210" cy="780"/>
                                </a:xfrm>
                                <a:prstGeom prst="leftBrace">
                                  <a:avLst>
                                    <a:gd name="adj1" fmla="val 30952"/>
                                    <a:gd name="adj2" fmla="val 50000"/>
                                  </a:avLst>
                                </a:prstGeom>
                                <a:noFill/>
                                <a:ln w="9525" cap="flat" cmpd="sng">
                                  <a:solidFill>
                                    <a:srgbClr val="000000"/>
                                  </a:solidFill>
                                  <a:prstDash val="solid"/>
                                  <a:headEnd type="none" w="med" len="med"/>
                                  <a:tailEnd type="none" w="med" len="med"/>
                                </a:ln>
                              </wps:spPr>
                              <wps:bodyPr upright="1"/>
                            </wps:wsp>
                            <wps:wsp>
                              <wps:cNvPr id="32" name="自选图形 32"/>
                              <wps:cNvSpPr/>
                              <wps:spPr>
                                <a:xfrm>
                                  <a:off x="7744" y="6224"/>
                                  <a:ext cx="210" cy="780"/>
                                </a:xfrm>
                                <a:prstGeom prst="leftBrace">
                                  <a:avLst>
                                    <a:gd name="adj1" fmla="val 30952"/>
                                    <a:gd name="adj2" fmla="val 50000"/>
                                  </a:avLst>
                                </a:prstGeom>
                                <a:noFill/>
                                <a:ln w="9525" cap="flat" cmpd="sng">
                                  <a:solidFill>
                                    <a:srgbClr val="000000"/>
                                  </a:solidFill>
                                  <a:prstDash val="solid"/>
                                  <a:headEnd type="none" w="med" len="med"/>
                                  <a:tailEnd type="none" w="med" len="med"/>
                                </a:ln>
                              </wps:spPr>
                              <wps:bodyPr upright="1"/>
                            </wps:wsp>
                            <wps:wsp>
                              <wps:cNvPr id="33" name="自选图形 33"/>
                              <wps:cNvSpPr/>
                              <wps:spPr>
                                <a:xfrm>
                                  <a:off x="7774" y="7129"/>
                                  <a:ext cx="210" cy="781"/>
                                </a:xfrm>
                                <a:prstGeom prst="leftBrace">
                                  <a:avLst>
                                    <a:gd name="adj1" fmla="val 30992"/>
                                    <a:gd name="adj2" fmla="val 50000"/>
                                  </a:avLst>
                                </a:prstGeom>
                                <a:noFill/>
                                <a:ln w="9525" cap="flat" cmpd="sng">
                                  <a:solidFill>
                                    <a:srgbClr val="000000"/>
                                  </a:solidFill>
                                  <a:prstDash val="solid"/>
                                  <a:headEnd type="none" w="med" len="med"/>
                                  <a:tailEnd type="none" w="med" len="med"/>
                                </a:ln>
                              </wps:spPr>
                              <wps:bodyPr upright="1"/>
                            </wps:wsp>
                            <wps:wsp>
                              <wps:cNvPr id="34" name="自选图形 34"/>
                              <wps:cNvSpPr/>
                              <wps:spPr>
                                <a:xfrm>
                                  <a:off x="7738" y="7993"/>
                                  <a:ext cx="210" cy="781"/>
                                </a:xfrm>
                                <a:prstGeom prst="leftBrace">
                                  <a:avLst>
                                    <a:gd name="adj1" fmla="val 30992"/>
                                    <a:gd name="adj2" fmla="val 50000"/>
                                  </a:avLst>
                                </a:prstGeom>
                                <a:noFill/>
                                <a:ln w="9525" cap="flat" cmpd="sng">
                                  <a:solidFill>
                                    <a:srgbClr val="000000"/>
                                  </a:solidFill>
                                  <a:prstDash val="solid"/>
                                  <a:headEnd type="none" w="med" len="med"/>
                                  <a:tailEnd type="none" w="med" len="med"/>
                                </a:ln>
                              </wps:spPr>
                              <wps:bodyPr upright="1"/>
                            </wps:wsp>
                            <wps:wsp>
                              <wps:cNvPr id="35" name="自选图形 35"/>
                              <wps:cNvSpPr/>
                              <wps:spPr>
                                <a:xfrm>
                                  <a:off x="7730" y="9035"/>
                                  <a:ext cx="229" cy="940"/>
                                </a:xfrm>
                                <a:prstGeom prst="leftBrace">
                                  <a:avLst>
                                    <a:gd name="adj1" fmla="val 34206"/>
                                    <a:gd name="adj2" fmla="val 50000"/>
                                  </a:avLst>
                                </a:prstGeom>
                                <a:noFill/>
                                <a:ln w="9525" cap="flat" cmpd="sng">
                                  <a:solidFill>
                                    <a:srgbClr val="000000"/>
                                  </a:solidFill>
                                  <a:prstDash val="solid"/>
                                  <a:headEnd type="none" w="med" len="med"/>
                                  <a:tailEnd type="none" w="med" len="med"/>
                                </a:ln>
                              </wps:spPr>
                              <wps:bodyPr upright="1"/>
                            </wps:wsp>
                            <wps:wsp>
                              <wps:cNvPr id="36" name="自选图形 36"/>
                              <wps:cNvSpPr/>
                              <wps:spPr>
                                <a:xfrm>
                                  <a:off x="5274" y="6112"/>
                                  <a:ext cx="284" cy="890"/>
                                </a:xfrm>
                                <a:prstGeom prst="rightBrace">
                                  <a:avLst>
                                    <a:gd name="adj1" fmla="val 26115"/>
                                    <a:gd name="adj2" fmla="val 50000"/>
                                  </a:avLst>
                                </a:prstGeom>
                                <a:noFill/>
                                <a:ln w="9525" cap="flat" cmpd="sng">
                                  <a:solidFill>
                                    <a:srgbClr val="000000"/>
                                  </a:solidFill>
                                  <a:prstDash val="solid"/>
                                  <a:headEnd type="none" w="med" len="med"/>
                                  <a:tailEnd type="none" w="med" len="med"/>
                                </a:ln>
                              </wps:spPr>
                              <wps:bodyPr upright="1"/>
                            </wps:wsp>
                            <wps:wsp>
                              <wps:cNvPr id="37" name="矩形 37"/>
                              <wps:cNvSpPr/>
                              <wps:spPr>
                                <a:xfrm>
                                  <a:off x="4099" y="6098"/>
                                  <a:ext cx="1428" cy="424"/>
                                </a:xfrm>
                                <a:prstGeom prst="rect">
                                  <a:avLst/>
                                </a:prstGeom>
                                <a:solidFill>
                                  <a:srgbClr val="FFFFFF">
                                    <a:alpha val="0"/>
                                  </a:srgbClr>
                                </a:solidFill>
                                <a:ln w="0">
                                  <a:noFill/>
                                </a:ln>
                              </wps:spPr>
                              <wps:txbx>
                                <w:txbxContent>
                                  <w:p>
                                    <w:pPr>
                                      <w:spacing w:line="200" w:lineRule="atLeast"/>
                                      <w:jc w:val="left"/>
                                    </w:pPr>
                                    <w:r>
                                      <w:rPr>
                                        <w:rFonts w:hint="eastAsia" w:ascii="宋体" w:hAnsi="宋体"/>
                                        <w:sz w:val="21"/>
                                        <w:szCs w:val="21"/>
                                      </w:rPr>
                                      <w:t>土石方开挖</w:t>
                                    </w:r>
                                  </w:p>
                                </w:txbxContent>
                              </wps:txbx>
                              <wps:bodyPr upright="1"/>
                            </wps:wsp>
                            <wps:wsp>
                              <wps:cNvPr id="38" name="矩形 38"/>
                              <wps:cNvSpPr/>
                              <wps:spPr>
                                <a:xfrm>
                                  <a:off x="3889" y="6566"/>
                                  <a:ext cx="1659" cy="423"/>
                                </a:xfrm>
                                <a:prstGeom prst="rect">
                                  <a:avLst/>
                                </a:prstGeom>
                                <a:solidFill>
                                  <a:srgbClr val="FFFFFF">
                                    <a:alpha val="0"/>
                                  </a:srgbClr>
                                </a:solidFill>
                                <a:ln w="0">
                                  <a:noFill/>
                                </a:ln>
                              </wps:spPr>
                              <wps:txbx>
                                <w:txbxContent>
                                  <w:p>
                                    <w:pPr>
                                      <w:spacing w:line="200" w:lineRule="atLeast"/>
                                      <w:jc w:val="left"/>
                                    </w:pPr>
                                    <w:r>
                                      <w:rPr>
                                        <w:rFonts w:hint="eastAsia" w:ascii="宋体" w:hAnsi="宋体"/>
                                        <w:sz w:val="21"/>
                                        <w:szCs w:val="21"/>
                                      </w:rPr>
                                      <w:t>基础工程浇注</w:t>
                                    </w:r>
                                  </w:p>
                                </w:txbxContent>
                              </wps:txbx>
                              <wps:bodyPr upright="1"/>
                            </wps:wsp>
                            <wps:wsp>
                              <wps:cNvPr id="39" name="矩形 39"/>
                              <wps:cNvSpPr/>
                              <wps:spPr>
                                <a:xfrm>
                                  <a:off x="3820" y="7517"/>
                                  <a:ext cx="1659" cy="424"/>
                                </a:xfrm>
                                <a:prstGeom prst="rect">
                                  <a:avLst/>
                                </a:prstGeom>
                                <a:solidFill>
                                  <a:srgbClr val="FFFFFF">
                                    <a:alpha val="0"/>
                                  </a:srgbClr>
                                </a:solidFill>
                                <a:ln w="0">
                                  <a:noFill/>
                                </a:ln>
                              </wps:spPr>
                              <wps:txbx>
                                <w:txbxContent>
                                  <w:p>
                                    <w:pPr>
                                      <w:spacing w:line="200" w:lineRule="atLeast"/>
                                      <w:ind w:firstLine="210" w:firstLineChars="100"/>
                                      <w:jc w:val="left"/>
                                      <w:rPr>
                                        <w:sz w:val="21"/>
                                        <w:szCs w:val="21"/>
                                      </w:rPr>
                                    </w:pPr>
                                    <w:r>
                                      <w:rPr>
                                        <w:rFonts w:hint="eastAsia" w:ascii="宋体" w:hAnsi="宋体"/>
                                        <w:sz w:val="21"/>
                                        <w:szCs w:val="21"/>
                                      </w:rPr>
                                      <w:t>砼浇注工程</w:t>
                                    </w:r>
                                  </w:p>
                                </w:txbxContent>
                              </wps:txbx>
                              <wps:bodyPr upright="1"/>
                            </wps:wsp>
                            <wps:wsp>
                              <wps:cNvPr id="40" name="自选图形 40"/>
                              <wps:cNvSpPr/>
                              <wps:spPr>
                                <a:xfrm>
                                  <a:off x="5322" y="7033"/>
                                  <a:ext cx="205" cy="1007"/>
                                </a:xfrm>
                                <a:prstGeom prst="rightBrace">
                                  <a:avLst>
                                    <a:gd name="adj1" fmla="val 40934"/>
                                    <a:gd name="adj2" fmla="val 50000"/>
                                  </a:avLst>
                                </a:prstGeom>
                                <a:noFill/>
                                <a:ln w="9525" cap="flat" cmpd="sng">
                                  <a:solidFill>
                                    <a:srgbClr val="000000"/>
                                  </a:solidFill>
                                  <a:prstDash val="solid"/>
                                  <a:headEnd type="none" w="med" len="med"/>
                                  <a:tailEnd type="none" w="med" len="med"/>
                                </a:ln>
                              </wps:spPr>
                              <wps:bodyPr upright="1"/>
                            </wps:wsp>
                            <wps:wsp>
                              <wps:cNvPr id="41" name="矩形 41"/>
                              <wps:cNvSpPr/>
                              <wps:spPr>
                                <a:xfrm>
                                  <a:off x="4051" y="7033"/>
                                  <a:ext cx="1428" cy="373"/>
                                </a:xfrm>
                                <a:prstGeom prst="rect">
                                  <a:avLst/>
                                </a:prstGeom>
                                <a:solidFill>
                                  <a:srgbClr val="FFFFFF">
                                    <a:alpha val="0"/>
                                  </a:srgbClr>
                                </a:solidFill>
                                <a:ln w="0">
                                  <a:noFill/>
                                </a:ln>
                              </wps:spPr>
                              <wps:txbx>
                                <w:txbxContent>
                                  <w:p>
                                    <w:pPr>
                                      <w:spacing w:line="200" w:lineRule="atLeast"/>
                                      <w:ind w:firstLine="105" w:firstLineChars="50"/>
                                      <w:jc w:val="left"/>
                                    </w:pPr>
                                    <w:r>
                                      <w:rPr>
                                        <w:rFonts w:hint="eastAsia" w:ascii="宋体" w:hAnsi="宋体"/>
                                        <w:sz w:val="21"/>
                                        <w:szCs w:val="21"/>
                                      </w:rPr>
                                      <w:t>钢筋工程</w:t>
                                    </w:r>
                                  </w:p>
                                </w:txbxContent>
                              </wps:txbx>
                              <wps:bodyPr upright="1"/>
                            </wps:wsp>
                            <wps:wsp>
                              <wps:cNvPr id="42" name="矩形 42"/>
                              <wps:cNvSpPr/>
                              <wps:spPr>
                                <a:xfrm>
                                  <a:off x="3946" y="7274"/>
                                  <a:ext cx="1428" cy="371"/>
                                </a:xfrm>
                                <a:prstGeom prst="rect">
                                  <a:avLst/>
                                </a:prstGeom>
                                <a:solidFill>
                                  <a:srgbClr val="FFFFFF">
                                    <a:alpha val="0"/>
                                  </a:srgbClr>
                                </a:solidFill>
                                <a:ln w="0">
                                  <a:noFill/>
                                </a:ln>
                              </wps:spPr>
                              <wps:txbx>
                                <w:txbxContent>
                                  <w:p>
                                    <w:pPr>
                                      <w:spacing w:line="200" w:lineRule="atLeast"/>
                                      <w:ind w:firstLine="210" w:firstLineChars="100"/>
                                      <w:jc w:val="left"/>
                                      <w:rPr>
                                        <w:sz w:val="21"/>
                                        <w:szCs w:val="21"/>
                                      </w:rPr>
                                    </w:pPr>
                                    <w:r>
                                      <w:rPr>
                                        <w:rFonts w:hint="eastAsia" w:ascii="宋体" w:hAnsi="宋体"/>
                                        <w:sz w:val="21"/>
                                        <w:szCs w:val="21"/>
                                      </w:rPr>
                                      <w:t>模板工程</w:t>
                                    </w:r>
                                  </w:p>
                                </w:txbxContent>
                              </wps:txbx>
                              <wps:bodyPr upright="1"/>
                            </wps:wsp>
                            <wps:wsp>
                              <wps:cNvPr id="43" name="矩形 43"/>
                              <wps:cNvSpPr/>
                              <wps:spPr>
                                <a:xfrm>
                                  <a:off x="3854" y="7737"/>
                                  <a:ext cx="1659" cy="424"/>
                                </a:xfrm>
                                <a:prstGeom prst="rect">
                                  <a:avLst/>
                                </a:prstGeom>
                                <a:solidFill>
                                  <a:srgbClr val="FFFFFF">
                                    <a:alpha val="0"/>
                                  </a:srgbClr>
                                </a:solidFill>
                                <a:ln w="0">
                                  <a:noFill/>
                                </a:ln>
                              </wps:spPr>
                              <wps:txbx>
                                <w:txbxContent>
                                  <w:p>
                                    <w:pPr>
                                      <w:spacing w:line="200" w:lineRule="atLeast"/>
                                      <w:ind w:firstLine="315" w:firstLineChars="150"/>
                                      <w:jc w:val="left"/>
                                      <w:rPr>
                                        <w:sz w:val="21"/>
                                        <w:szCs w:val="21"/>
                                      </w:rPr>
                                    </w:pPr>
                                    <w:r>
                                      <w:rPr>
                                        <w:rFonts w:hint="eastAsia" w:ascii="宋体" w:hAnsi="宋体"/>
                                        <w:sz w:val="21"/>
                                        <w:szCs w:val="21"/>
                                      </w:rPr>
                                      <w:t>砌体工程</w:t>
                                    </w:r>
                                  </w:p>
                                </w:txbxContent>
                              </wps:txbx>
                              <wps:bodyPr upright="1"/>
                            </wps:wsp>
                            <wps:wsp>
                              <wps:cNvPr id="44" name="自选图形 44"/>
                              <wps:cNvSpPr/>
                              <wps:spPr>
                                <a:xfrm>
                                  <a:off x="5343" y="8097"/>
                                  <a:ext cx="236" cy="984"/>
                                </a:xfrm>
                                <a:prstGeom prst="rightBrace">
                                  <a:avLst>
                                    <a:gd name="adj1" fmla="val 34745"/>
                                    <a:gd name="adj2" fmla="val 26958"/>
                                  </a:avLst>
                                </a:prstGeom>
                                <a:noFill/>
                                <a:ln w="9525" cap="flat" cmpd="sng">
                                  <a:solidFill>
                                    <a:srgbClr val="000000"/>
                                  </a:solidFill>
                                  <a:prstDash val="solid"/>
                                  <a:headEnd type="none" w="med" len="med"/>
                                  <a:tailEnd type="none" w="med" len="med"/>
                                </a:ln>
                              </wps:spPr>
                              <wps:bodyPr upright="1"/>
                            </wps:wsp>
                            <wps:wsp>
                              <wps:cNvPr id="45" name="矩形 45"/>
                              <wps:cNvSpPr/>
                              <wps:spPr>
                                <a:xfrm>
                                  <a:off x="4051" y="8169"/>
                                  <a:ext cx="1428" cy="371"/>
                                </a:xfrm>
                                <a:prstGeom prst="rect">
                                  <a:avLst/>
                                </a:prstGeom>
                                <a:solidFill>
                                  <a:srgbClr val="FFFFFF">
                                    <a:alpha val="0"/>
                                  </a:srgbClr>
                                </a:solidFill>
                                <a:ln w="0">
                                  <a:noFill/>
                                </a:ln>
                              </wps:spPr>
                              <wps:txbx>
                                <w:txbxContent>
                                  <w:p>
                                    <w:pPr>
                                      <w:spacing w:line="200" w:lineRule="atLeast"/>
                                      <w:ind w:firstLine="210" w:firstLineChars="100"/>
                                      <w:jc w:val="left"/>
                                      <w:rPr>
                                        <w:sz w:val="21"/>
                                        <w:szCs w:val="21"/>
                                      </w:rPr>
                                    </w:pPr>
                                    <w:r>
                                      <w:rPr>
                                        <w:rFonts w:hint="eastAsia" w:ascii="宋体" w:hAnsi="宋体"/>
                                        <w:sz w:val="21"/>
                                        <w:szCs w:val="21"/>
                                      </w:rPr>
                                      <w:t>外部装饰</w:t>
                                    </w:r>
                                  </w:p>
                                </w:txbxContent>
                              </wps:txbx>
                              <wps:bodyPr upright="1"/>
                            </wps:wsp>
                            <wps:wsp>
                              <wps:cNvPr id="46" name="矩形 46"/>
                              <wps:cNvSpPr/>
                              <wps:spPr>
                                <a:xfrm>
                                  <a:off x="4031" y="8401"/>
                                  <a:ext cx="1428" cy="373"/>
                                </a:xfrm>
                                <a:prstGeom prst="rect">
                                  <a:avLst/>
                                </a:prstGeom>
                                <a:solidFill>
                                  <a:srgbClr val="FFFFFF">
                                    <a:alpha val="0"/>
                                  </a:srgbClr>
                                </a:solidFill>
                                <a:ln w="0">
                                  <a:noFill/>
                                </a:ln>
                              </wps:spPr>
                              <wps:txbx>
                                <w:txbxContent>
                                  <w:p>
                                    <w:pPr>
                                      <w:spacing w:line="200" w:lineRule="atLeast"/>
                                      <w:ind w:firstLine="210" w:firstLineChars="100"/>
                                      <w:jc w:val="left"/>
                                      <w:rPr>
                                        <w:sz w:val="21"/>
                                        <w:szCs w:val="21"/>
                                      </w:rPr>
                                    </w:pPr>
                                    <w:r>
                                      <w:rPr>
                                        <w:rFonts w:hint="eastAsia" w:ascii="宋体" w:hAnsi="宋体"/>
                                        <w:sz w:val="21"/>
                                        <w:szCs w:val="21"/>
                                      </w:rPr>
                                      <w:t>内部装饰</w:t>
                                    </w:r>
                                  </w:p>
                                </w:txbxContent>
                              </wps:txbx>
                              <wps:bodyPr upright="1"/>
                            </wps:wsp>
                            <wps:wsp>
                              <wps:cNvPr id="47" name="矩形 47"/>
                              <wps:cNvSpPr/>
                              <wps:spPr>
                                <a:xfrm>
                                  <a:off x="4027" y="8664"/>
                                  <a:ext cx="1428" cy="371"/>
                                </a:xfrm>
                                <a:prstGeom prst="rect">
                                  <a:avLst/>
                                </a:prstGeom>
                                <a:solidFill>
                                  <a:srgbClr val="FFFFFF">
                                    <a:alpha val="0"/>
                                  </a:srgbClr>
                                </a:solidFill>
                                <a:ln w="0">
                                  <a:noFill/>
                                </a:ln>
                              </wps:spPr>
                              <wps:txbx>
                                <w:txbxContent>
                                  <w:p>
                                    <w:pPr>
                                      <w:spacing w:line="200" w:lineRule="atLeast"/>
                                      <w:ind w:firstLine="210" w:firstLineChars="100"/>
                                      <w:jc w:val="left"/>
                                    </w:pPr>
                                    <w:r>
                                      <w:rPr>
                                        <w:rFonts w:hint="eastAsia" w:ascii="宋体" w:hAnsi="宋体"/>
                                        <w:sz w:val="21"/>
                                        <w:szCs w:val="21"/>
                                      </w:rPr>
                                      <w:t>场地平整</w:t>
                                    </w:r>
                                  </w:p>
                                </w:txbxContent>
                              </wps:txbx>
                              <wps:bodyPr upright="1"/>
                            </wps:wsp>
                            <wps:wsp>
                              <wps:cNvPr id="48" name="矩形 48"/>
                              <wps:cNvSpPr/>
                              <wps:spPr>
                                <a:xfrm>
                                  <a:off x="8104" y="5031"/>
                                  <a:ext cx="881" cy="421"/>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扬尘</w:t>
                                    </w:r>
                                  </w:p>
                                </w:txbxContent>
                              </wps:txbx>
                              <wps:bodyPr upright="1"/>
                            </wps:wsp>
                            <wps:wsp>
                              <wps:cNvPr id="49" name="矩形 49"/>
                              <wps:cNvSpPr/>
                              <wps:spPr>
                                <a:xfrm>
                                  <a:off x="8120" y="5427"/>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噪声</w:t>
                                    </w:r>
                                  </w:p>
                                </w:txbxContent>
                              </wps:txbx>
                              <wps:bodyPr upright="1"/>
                            </wps:wsp>
                            <wps:wsp>
                              <wps:cNvPr id="50" name="矩形 50"/>
                              <wps:cNvSpPr/>
                              <wps:spPr>
                                <a:xfrm>
                                  <a:off x="8120" y="6091"/>
                                  <a:ext cx="881" cy="422"/>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扬尘</w:t>
                                    </w:r>
                                  </w:p>
                                </w:txbxContent>
                              </wps:txbx>
                              <wps:bodyPr upright="1"/>
                            </wps:wsp>
                            <wps:wsp>
                              <wps:cNvPr id="51" name="矩形 51"/>
                              <wps:cNvSpPr/>
                              <wps:spPr>
                                <a:xfrm>
                                  <a:off x="8103" y="6397"/>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噪声</w:t>
                                    </w:r>
                                  </w:p>
                                </w:txbxContent>
                              </wps:txbx>
                              <wps:bodyPr upright="1"/>
                            </wps:wsp>
                            <wps:wsp>
                              <wps:cNvPr id="52" name="矩形 52"/>
                              <wps:cNvSpPr/>
                              <wps:spPr>
                                <a:xfrm>
                                  <a:off x="8120" y="7004"/>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噪声</w:t>
                                    </w:r>
                                  </w:p>
                                </w:txbxContent>
                              </wps:txbx>
                              <wps:bodyPr upright="1"/>
                            </wps:wsp>
                            <wps:wsp>
                              <wps:cNvPr id="53" name="矩形 53"/>
                              <wps:cNvSpPr/>
                              <wps:spPr>
                                <a:xfrm>
                                  <a:off x="8120" y="7302"/>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废渣</w:t>
                                    </w:r>
                                  </w:p>
                                </w:txbxContent>
                              </wps:txbx>
                              <wps:bodyPr upright="1"/>
                            </wps:wsp>
                            <wps:wsp>
                              <wps:cNvPr id="54" name="矩形 54"/>
                              <wps:cNvSpPr/>
                              <wps:spPr>
                                <a:xfrm>
                                  <a:off x="8120" y="7613"/>
                                  <a:ext cx="1346"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振动、废气</w:t>
                                    </w:r>
                                  </w:p>
                                </w:txbxContent>
                              </wps:txbx>
                              <wps:bodyPr upright="1"/>
                            </wps:wsp>
                            <wps:wsp>
                              <wps:cNvPr id="55" name="矩形 55"/>
                              <wps:cNvSpPr/>
                              <wps:spPr>
                                <a:xfrm>
                                  <a:off x="8120" y="7978"/>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噪声</w:t>
                                    </w:r>
                                  </w:p>
                                </w:txbxContent>
                              </wps:txbx>
                              <wps:bodyPr upright="1"/>
                            </wps:wsp>
                            <wps:wsp>
                              <wps:cNvPr id="56" name="矩形 56"/>
                              <wps:cNvSpPr/>
                              <wps:spPr>
                                <a:xfrm>
                                  <a:off x="8120" y="8351"/>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废渣</w:t>
                                    </w:r>
                                  </w:p>
                                </w:txbxContent>
                              </wps:txbx>
                              <wps:bodyPr upright="1"/>
                            </wps:wsp>
                            <wps:wsp>
                              <wps:cNvPr id="57" name="矩形 57"/>
                              <wps:cNvSpPr/>
                              <wps:spPr>
                                <a:xfrm>
                                  <a:off x="8120" y="8890"/>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噪声</w:t>
                                    </w:r>
                                  </w:p>
                                </w:txbxContent>
                              </wps:txbx>
                              <wps:bodyPr upright="1"/>
                            </wps:wsp>
                            <wps:wsp>
                              <wps:cNvPr id="58" name="矩形 58"/>
                              <wps:cNvSpPr/>
                              <wps:spPr>
                                <a:xfrm>
                                  <a:off x="8120" y="9706"/>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废渣</w:t>
                                    </w:r>
                                  </w:p>
                                </w:txbxContent>
                              </wps:txbx>
                              <wps:bodyPr upright="1"/>
                            </wps:wsp>
                            <wps:wsp>
                              <wps:cNvPr id="59" name="矩形 59"/>
                              <wps:cNvSpPr/>
                              <wps:spPr>
                                <a:xfrm>
                                  <a:off x="8120" y="9192"/>
                                  <a:ext cx="881"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废水</w:t>
                                    </w:r>
                                  </w:p>
                                </w:txbxContent>
                              </wps:txbx>
                              <wps:bodyPr upright="1"/>
                            </wps:wsp>
                            <wps:wsp>
                              <wps:cNvPr id="60" name="矩形 60"/>
                              <wps:cNvSpPr/>
                              <wps:spPr>
                                <a:xfrm>
                                  <a:off x="8120" y="9428"/>
                                  <a:ext cx="881" cy="422"/>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废气</w:t>
                                    </w:r>
                                  </w:p>
                                </w:txbxContent>
                              </wps:txbx>
                              <wps:bodyPr upright="1"/>
                            </wps:wsp>
                            <wps:wsp>
                              <wps:cNvPr id="61" name="自选图形 61"/>
                              <wps:cNvSpPr/>
                              <wps:spPr>
                                <a:xfrm>
                                  <a:off x="3639" y="5267"/>
                                  <a:ext cx="412" cy="3768"/>
                                </a:xfrm>
                                <a:prstGeom prst="leftBrace">
                                  <a:avLst>
                                    <a:gd name="adj1" fmla="val 76213"/>
                                    <a:gd name="adj2" fmla="val 50000"/>
                                  </a:avLst>
                                </a:prstGeom>
                                <a:noFill/>
                                <a:ln w="9525" cap="flat" cmpd="sng">
                                  <a:solidFill>
                                    <a:srgbClr val="000000"/>
                                  </a:solidFill>
                                  <a:prstDash val="solid"/>
                                  <a:headEnd type="none" w="med" len="med"/>
                                  <a:tailEnd type="none" w="med" len="med"/>
                                </a:ln>
                              </wps:spPr>
                              <wps:bodyPr upright="1"/>
                            </wps:wsp>
                            <wps:wsp>
                              <wps:cNvPr id="62" name="自选图形 62"/>
                              <wps:cNvSpPr/>
                              <wps:spPr>
                                <a:xfrm>
                                  <a:off x="3784" y="9192"/>
                                  <a:ext cx="267" cy="783"/>
                                </a:xfrm>
                                <a:prstGeom prst="leftBrace">
                                  <a:avLst>
                                    <a:gd name="adj1" fmla="val 24438"/>
                                    <a:gd name="adj2" fmla="val 50000"/>
                                  </a:avLst>
                                </a:prstGeom>
                                <a:noFill/>
                                <a:ln w="9525" cap="flat" cmpd="sng">
                                  <a:solidFill>
                                    <a:srgbClr val="000000"/>
                                  </a:solidFill>
                                  <a:prstDash val="solid"/>
                                  <a:headEnd type="none" w="med" len="med"/>
                                  <a:tailEnd type="none" w="med" len="med"/>
                                </a:ln>
                              </wps:spPr>
                              <wps:bodyPr upright="1"/>
                            </wps:wsp>
                            <wps:wsp>
                              <wps:cNvPr id="63" name="矩形 63"/>
                              <wps:cNvSpPr/>
                              <wps:spPr>
                                <a:xfrm>
                                  <a:off x="2193" y="3113"/>
                                  <a:ext cx="1661" cy="428"/>
                                </a:xfrm>
                                <a:prstGeom prst="rect">
                                  <a:avLst/>
                                </a:prstGeom>
                                <a:solidFill>
                                  <a:srgbClr val="FFFFFF">
                                    <a:alpha val="0"/>
                                  </a:srgbClr>
                                </a:solidFill>
                                <a:ln w="0">
                                  <a:noFill/>
                                </a:ln>
                              </wps:spPr>
                              <wps:txbx>
                                <w:txbxContent>
                                  <w:p>
                                    <w:pPr>
                                      <w:spacing w:line="200" w:lineRule="atLeast"/>
                                      <w:jc w:val="left"/>
                                    </w:pPr>
                                    <w:r>
                                      <w:rPr>
                                        <w:rFonts w:hint="eastAsia" w:ascii="宋体" w:hAnsi="宋体"/>
                                        <w:sz w:val="21"/>
                                        <w:szCs w:val="21"/>
                                      </w:rPr>
                                      <w:t>前期准备阶段</w:t>
                                    </w:r>
                                  </w:p>
                                </w:txbxContent>
                              </wps:txbx>
                              <wps:bodyPr upright="1"/>
                            </wps:wsp>
                            <wps:wsp>
                              <wps:cNvPr id="64" name="矩形 64"/>
                              <wps:cNvSpPr/>
                              <wps:spPr>
                                <a:xfrm>
                                  <a:off x="2018" y="6926"/>
                                  <a:ext cx="1661" cy="428"/>
                                </a:xfrm>
                                <a:prstGeom prst="rect">
                                  <a:avLst/>
                                </a:prstGeom>
                                <a:solidFill>
                                  <a:srgbClr val="FFFFFF">
                                    <a:alpha val="0"/>
                                  </a:srgbClr>
                                </a:solidFill>
                                <a:ln w="0">
                                  <a:noFill/>
                                </a:ln>
                              </wps:spPr>
                              <wps:txbx>
                                <w:txbxContent>
                                  <w:p>
                                    <w:pPr>
                                      <w:spacing w:line="200" w:lineRule="atLeast"/>
                                      <w:ind w:firstLine="105" w:firstLineChars="50"/>
                                      <w:jc w:val="left"/>
                                      <w:rPr>
                                        <w:sz w:val="21"/>
                                        <w:szCs w:val="21"/>
                                      </w:rPr>
                                    </w:pPr>
                                    <w:r>
                                      <w:rPr>
                                        <w:rFonts w:hint="eastAsia" w:ascii="宋体" w:hAnsi="宋体"/>
                                        <w:sz w:val="21"/>
                                        <w:szCs w:val="21"/>
                                      </w:rPr>
                                      <w:t>建设施工阶段</w:t>
                                    </w:r>
                                  </w:p>
                                </w:txbxContent>
                              </wps:txbx>
                              <wps:bodyPr upright="1"/>
                            </wps:wsp>
                            <wps:wsp>
                              <wps:cNvPr id="65" name="矩形 65"/>
                              <wps:cNvSpPr/>
                              <wps:spPr>
                                <a:xfrm>
                                  <a:off x="2123" y="9424"/>
                                  <a:ext cx="1661" cy="426"/>
                                </a:xfrm>
                                <a:prstGeom prst="rect">
                                  <a:avLst/>
                                </a:prstGeom>
                                <a:solidFill>
                                  <a:srgbClr val="FFFFFF">
                                    <a:alpha val="0"/>
                                  </a:srgbClr>
                                </a:solidFill>
                                <a:ln w="0">
                                  <a:noFill/>
                                </a:ln>
                              </wps:spPr>
                              <wps:txbx>
                                <w:txbxContent>
                                  <w:p>
                                    <w:pPr>
                                      <w:spacing w:line="200" w:lineRule="atLeast"/>
                                      <w:ind w:firstLine="105" w:firstLineChars="50"/>
                                      <w:jc w:val="left"/>
                                      <w:rPr>
                                        <w:sz w:val="21"/>
                                        <w:szCs w:val="21"/>
                                      </w:rPr>
                                    </w:pPr>
                                    <w:r>
                                      <w:rPr>
                                        <w:rFonts w:hint="eastAsia" w:ascii="宋体" w:hAnsi="宋体"/>
                                        <w:sz w:val="21"/>
                                        <w:szCs w:val="21"/>
                                      </w:rPr>
                                      <w:t>投入运营阶段</w:t>
                                    </w:r>
                                  </w:p>
                                </w:txbxContent>
                              </wps:txbx>
                              <wps:bodyPr upright="1"/>
                            </wps:wsp>
                            <wps:wsp>
                              <wps:cNvPr id="66" name="矩形 66"/>
                              <wps:cNvSpPr/>
                              <wps:spPr>
                                <a:xfrm>
                                  <a:off x="8086" y="5746"/>
                                  <a:ext cx="1333"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水土流失</w:t>
                                    </w:r>
                                  </w:p>
                                </w:txbxContent>
                              </wps:txbx>
                              <wps:bodyPr upright="1"/>
                            </wps:wsp>
                            <wps:wsp>
                              <wps:cNvPr id="67" name="矩形 67"/>
                              <wps:cNvSpPr/>
                              <wps:spPr>
                                <a:xfrm>
                                  <a:off x="8119" y="6682"/>
                                  <a:ext cx="1300" cy="423"/>
                                </a:xfrm>
                                <a:prstGeom prst="rect">
                                  <a:avLst/>
                                </a:prstGeom>
                                <a:solidFill>
                                  <a:srgbClr val="FFFFFF">
                                    <a:alpha val="0"/>
                                  </a:srgbClr>
                                </a:solidFill>
                                <a:ln w="0">
                                  <a:noFill/>
                                </a:ln>
                              </wps:spPr>
                              <wps:txbx>
                                <w:txbxContent>
                                  <w:p>
                                    <w:pPr>
                                      <w:spacing w:line="200" w:lineRule="atLeast"/>
                                      <w:jc w:val="left"/>
                                      <w:rPr>
                                        <w:sz w:val="21"/>
                                        <w:szCs w:val="21"/>
                                      </w:rPr>
                                    </w:pPr>
                                    <w:r>
                                      <w:rPr>
                                        <w:rFonts w:hint="eastAsia" w:ascii="宋体" w:hAnsi="宋体"/>
                                        <w:sz w:val="21"/>
                                        <w:szCs w:val="21"/>
                                      </w:rPr>
                                      <w:t>水土流失</w:t>
                                    </w:r>
                                  </w:p>
                                </w:txbxContent>
                              </wps:txbx>
                              <wps:bodyPr upright="1"/>
                            </wps:wsp>
                          </wpg:wgp>
                        </a:graphicData>
                      </a:graphic>
                    </wp:inline>
                  </w:drawing>
                </mc:Choice>
                <mc:Fallback>
                  <w:pict>
                    <v:group id="组合 3" o:spid="_x0000_s1026" o:spt="203" style="height:522.6pt;width:432.75pt;" coordorigin="1894,1404" coordsize="8345,9570" o:gfxdata="UEsDBAoAAAAAAIdO4kAAAAAAAAAAAAAAAAAEAAAAZHJzL1BLAwQUAAAACACHTuJAsyOSEtYAAAAG&#10;AQAADwAAAGRycy9kb3ducmV2LnhtbE2PQUvDQBCF74L/YRnBm92kmlJiNkWKeiqCrSDeptlpEpqd&#10;Ddlt0v57Ry96eTC8x3vfFKuz69RIQ2g9G0hnCSjiytuWawMfu5e7JagQkS12nsnAhQKsyuurAnPr&#10;J36ncRtrJSUccjTQxNjnWoeqIYdh5nti8Q5+cBjlHGptB5yk3HV6niQL7bBlWWiwp3VD1XF7cgZe&#10;J5ye7tPncXM8rC9fu+ztc5OSMbc3afIIKtI5/oXhB1/QoRSmvT+xDaozII/EXxVvucgyUHsJJQ/Z&#10;HHRZ6P/45TdQSwMEFAAAAAgAh07iQNtLP6UyCwAAwYEAAA4AAABkcnMvZTJvRG9jLnhtbO1dzY7b&#10;yBG+B8g7ELrHw+Y/BY8Xif8ui8TIbh6AlqifRBIJkvaMbzkE2N1b7nsIkFtyzilBkqcxnLxFvupu&#10;kuoeacQeS7Yc9RwGUoukqK7qr6q+qmo+/up2vXLe5lW9LDbXI/bIHTn5ZlJMl5v59eg33774WTJy&#10;6ibbTLNVscmvR+/yevTVk5/+5PFNOc69YlGspnnl4CKbenxTXo8WTVOOr67qySJfZ/Wjosw3+HBW&#10;VOuswdtqfjWtshtcfb268lw3uropqmlZFZO8rjH6THw4esKvP5vlk+ZXs1mdN87qeoR7a/j/iv9/&#10;Tf+vnjzOxvMqKxfLibyN7AF3sc6WG3xpd6lnWZM5b6rlnUutl5OqqItZ82hSrK+K2Ww5yflvwK9h&#10;rvZrXlbFm5L/lvn4Zl5204Sp1ebpwZed/PLtq8pZTq9HESS1ydaQ0Yd//OH9H793fJqcm3I+xjEv&#10;q/Kb8lUlfiFefl1Mflc7m+LXBWaU4cTi6SLbzPOf1yWmnIZw7pV+Mr2f91e6nVVruiJmwbnlInnX&#10;iSS/bZwJBsMgDVMvHDkTfBZFfux6UmiTBSRL57EkDUYOPmaBGwiBThbP5fmJH8iT0zDmZ15lY/HF&#10;/Pa627kpoYB1P8f1x83xN4uszLnoapo/Oce4TzHF73/814cfvnP47dI345B2futucvUpxSx/i3l5&#10;Pl1uzfDWuXShWkpJm9sdc9TO8D0zlI3Lqm5e5sXaoRfXowrC5Wqevf26bkjE/SEkyU3xYrla8TW1&#10;2jg316M0hOyUT3DGasN1o71Zuu3XxfQd5uhNWS3nC+XXQSakhZ9AONATqf9/+sv7f/7ZCYX+dxPM&#10;V0N7060Sddob+MznWhiyIBFa2M4wA1AJBQ68iC+M/mzDCa6L1XJKc0xzWlfz109XlfM2A7i94H9C&#10;OKtykYnRVuPloVxgyjWEmNwhMmpuX9/KOTgHcUWauPjMbq2l+8UVxj7kTaARQm5cY1txJQEuTXDj&#10;p96JpYXvxXrYIRC+bpxJBos4W2UN7mddTq9H9WbOJaWcoaiBy//kbSuHkaY9y+qFUAz+kfjd62WT&#10;V3wGFnk2fb6ZOs27EmZgA4M9okW8zqcjZ5XDvtMrfmSTLVdDjty92s9Mk+JOk37824e//9uJ6TdK&#10;TXq6eUVzQ+/2QGvEYrHwWRpxyMjGrSbBMHI9Ygf0aLXETNOK3gOrW1j6iXTioZrQVEu4Aas9erNb&#10;G84BTHrfR2A/R/DhYBK5Akw835MeSKcCLMZHpAWBx3EGc9Da5mNjP/TUoslndyNSDU1SQzRJcQGo&#10;ixdH3InegSbCud6rRxZNPrcnyeDuKa4kBnqTQo7+/SYlRKDDlQA+5R08CWCuBJ4c0INDzrriHShO&#10;hPQlLZ6cg2liFF6LuFy4JxjolWmIfyIRxQ8DiyhfqH8CD7JVAuGgCJdyuIfCAmFW/CTUwh3PI+fF&#10;IsrlxDtEVKiIIqk+TnUYIErge/sQxUY8PFI+34iHdVzkB4ko3NMYjihJCMNEcU0Eig8GqXdU47Aj&#10;UGzIcwkECoMBUQFlmzs1AJSQuRZQvlQXRSdkmSEjG8WAJABKGIBQUwCFEaVuXZQLomSZzsliwCjo&#10;QTZVKFMacQKmt07wpAUpe8A2WRrls9MoOivLTGlZnECIEvkeV59eCZifSHI+EPlkS8v+nyd5mM7L&#10;YuBBiBLFUB3FPHWIwsf3a5JFlM+NKFjrraMqgh6x+IcHPRFVkwBRYuZz72YLUZglZi8rbQzuo1Um&#10;QcwKMkQq05CoJ4GXQ8oUprp5an0US6OcOY3i6cQsBnqzMiTVE+AKpARprDmqiHpsqueiClFQIaAh&#10;iikxKxElCUR+YMs8WURRSpjOl5hFBUmrBNJHMSRmI+SMCVGS5A6ZZnmUCytto8pphZkVXL2BjyKT&#10;x6mHBKIS9cj4mcpeMW6jnjNGFJ2ZFVXIBlGPJ5LHaYicj6oEvY8i4un9emDLUQ5hz24NOrNiWTBp&#10;ElH+891f//v7H9DJQMXygmAbrFJ+BG+XjBRL9OwhEXKSoT1Eza3yWfOLKptsFc9SHnI+lXeYTX8L&#10;lJqtV2jpQZG8E7G07RDZPgYOeH9MSAXUEtF4OS7HtrZUky6/u8nhzAtz9xdz79a6c6h88jr+V1U1&#10;QxbYb/NKDKGWil4JPCVKBqQogbnXiPG2FBNVC9wUvjj/Nqtqbd/AGatazw5Lp3ubHT4cxgce5ROg&#10;Saixu5O8TLvkpe3+4V2dRt2KuzvpfJ3JxQBW22AD1AssFmt/K1RmrcD82ArsaALr2FIFzH3uUA4W&#10;Wxz7IqUXeqKbsxebR1XXBOZx0trvPY0Wpm6D76Idy2K52gN2vljud5SsqmlmxGwcB4JGiTy9p8dq&#10;muj63dlN+NDOsS/RQfU7vlbVtG3W9rDvEEPVRAqAIc5WHNQtTTuUWzYMhYBportVDZdsKHSevelE&#10;6QoeT9U0M2q4s55xmmpeqtU0i2l8GxBqi9+ladsVvUMwjRx0HlnjgiqmEZnIg+7g2H4aqCNZlWFj&#10;7vOPuVFBs1PTuAgHRwQIBKSfxvScp9fSO0l6QNOM6R0vYih6t/TOF5JT9TvSWja7YMCILYC3xOEs&#10;Aq2nwhlIxY7e4dYYgdGeuPOjMyB8i4iL2NyFonyZtxR8HAZMBOYniRQYeqk1gUWhNECn35HhggSG&#10;OVUFZkag+gmlfYi9CUWpf0/ssC2B2RV2LD4Oztcu6yt8suHW16cCOBKbi2BY9fPatmLmuhxt7wFG&#10;2vTLMLvSboxgPb3z9/Sw74AKDmIjgsFaFriy1/SulvXm1xddY/do2YHN6w7uh3E5aE41qQqai8zp&#10;YIH5Ke2hRrBA3rkCC9sCO8BpWX9px56gu9NhQcdESgcXA2b+Uig5yFi4xtb8drutnmYn0N2EHnIO&#10;JmILfRI81lni6i0EHoXXnGZBFIxr3oOLptbXD2K0wfBVvdf6elEacpcd32vLaD7rvqbUsqSCuRmX&#10;11nfhOm9tBbMT7JLcEeMtWBuRokFLrLqHBWCOxXgHVth3SW5xfgRilGoT0ddYab0ElVVEoxHkXWX&#10;PsFWz7SdhCowM3opYagjJYGFtNS4JWw3/Ez6xnLr3h6NrNDZJdGMMDgeSbAFt5BXoO8EsCUv7jLf&#10;4yfZ+PHuIwp2hyNhRy5JC4YBE7+2kxf49v3rixf0WHkdwYARvaLgoejzMFhfrohDIl+PQ+z6+qhn&#10;dexZXzo/I+oTDeTVsu1u2xCxw35ZPDyW/cKem9r6MqNnOjyMfVfrYbDr6xTrq2NnWvtlxsv08oru&#10;tAP47eMlbPrxeBFYqHMcGHiQw4FtGLQEv11gp1hgOsWBLUMfJK/E11tSrbxOIS+d4QjNGI4OEFGX&#10;wUOBPr9g5XUKeekEhyDjzR3ENG5LKq2DKJ5ReJJ0EJUkqQGYWflMt75S1pb1W3mdUF6RTnBg4EH2&#10;KyVCHmfuxENLcBwrAMOzdOT6UvonxCN2BqOiD3pD0IhexO1fLzXacImnW9Ez2uY995SBmrYfxpHX&#10;BhF706121wLe+nsOuxZEHTejqppZ+6EfU/E6Mgx3AZ10Tza6HmBoTDXNCwJRZ2ubwvqHHYJgPtMH&#10;ltJDohSnAQMmRshj6AIjHfNZCzCt08AiQkwqH5H2ydLsR6DZkdzVBGZGK6EcDH49hBKlYgun3v5Y&#10;gZ2iEgMP9NQEZkYreYy2dCQUD/Qm8m2Bce7DrrBjrDCdVxLdH4M9vMRNcAUILIxB0yp+OfOp3VtA&#10;4gG7awtXBxeuki+j2jBTYok2didIjBItM8L8/rHbFyEw/kD7mzmelw4smVdZuVhOnmVNtv0er2/K&#10;ce4Vi2I1zasn/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hDQAAW0NvbnRlbnRfVHlwZXNdLnhtbFBLAQIUAAoAAAAAAIdO4kAAAAAAAAAAAAAA&#10;AAAGAAAAAAAAAAAAEAAAAIMMAABfcmVscy9QSwECFAAUAAAACACHTuJAihRmPNEAAACUAQAACwAA&#10;AAAAAAABACAAAACnDAAAX3JlbHMvLnJlbHNQSwECFAAKAAAAAACHTuJAAAAAAAAAAAAAAAAABAAA&#10;AAAAAAAAABAAAAAAAAAAZHJzL1BLAQIUABQAAAAIAIdO4kCzI5IS1gAAAAYBAAAPAAAAAAAAAAEA&#10;IAAAACIAAABkcnMvZG93bnJldi54bWxQSwECFAAUAAAACACHTuJA20s/pTILAADBgQAADgAAAAAA&#10;AAABACAAAAAlAQAAZHJzL2Uyb0RvYy54bWxQSwUGAAAAAAYABgBZAQAAyQ4AAAAA&#10;">
                      <o:lock v:ext="edit" rotation="t" aspectratio="t"/>
                      <v:rect id="图片 4" o:spid="_x0000_s1026" o:spt="1" style="position:absolute;left:1894;top:1404;height:9570;width:8345;" filled="f" stroked="f" coordsize="21600,21600" o:gfxdata="UEsDBAoAAAAAAIdO4kAAAAAAAAAAAAAAAAAEAAAAZHJzL1BLAwQUAAAACACHTuJA3E+K1b0AAADa&#10;AAAADwAAAGRycy9kb3ducmV2LnhtbEWPQWvCQBSE74X+h+UVvJRmo0g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T4rVvQAA&#10;ANoAAAAPAAAAAAAAAAEAIAAAACIAAABkcnMvZG93bnJldi54bWxQSwECFAAUAAAACACHTuJAMy8F&#10;njsAAAA5AAAAEAAAAAAAAAABACAAAAAMAQAAZHJzL3NoYXBleG1sLnhtbFBLBQYAAAAABgAGAFsB&#10;AAC2AwAAAAA=&#10;">
                        <v:fill on="f" focussize="0,0"/>
                        <v:stroke on="f"/>
                        <v:imagedata o:title=""/>
                        <o:lock v:ext="edit" text="t" aspectratio="t"/>
                      </v:rect>
                      <v:rect id="_x0000_s1026" o:spid="_x0000_s1026" o:spt="1" style="position:absolute;left:4313;top:5148;height:426;width:1200;" fillcolor="#FFFFFF" filled="t" stroked="f" coordsize="21600,21600" o:gfxdata="UEsDBAoAAAAAAIdO4kAAAAAAAAAAAAAAAAAEAAAAZHJzL1BLAwQUAAAACACHTuJAAwkmg70AAADa&#10;AAAADwAAAGRycy9kb3ducmV2LnhtbEWPQWvCQBSE70L/w/IK3nSjUImpq4cWpUIrmApeH9lnEs2+&#10;XbJrtP76riB4HGbmG2a2uJpGdNT62rKC0TABQVxYXXOpYPe7HKQgfEDW2FgmBX/kYTF/6c0w0/bC&#10;W+ryUIoIYZ+hgioEl0npi4oM+qF1xNE72NZgiLItpW7xEuGmkeMkmUiDNceFCh19VFSc8rNRcJPn&#10;7+M63bjpavfZ7V26/zktWan+6yh5BxHoGp7hR/tLK3iD+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CSaDvQAA&#10;ANoAAAAPAAAAAAAAAAEAIAAAACIAAABkcnMvZG93bnJldi54bWxQSwECFAAUAAAACACHTuJAMy8F&#10;njsAAAA5AAAAEAAAAAAAAAABACAAAAAMAQAAZHJzL3NoYXBleG1sLnhtbFBLBQYAAAAABgAGAFsB&#10;AAC2AwAAAAA=&#10;">
                        <v:fill on="t" opacity="0f" focussize="0,0"/>
                        <v:stroke on="f" weight="0pt"/>
                        <v:imagedata o:title=""/>
                        <o:lock v:ext="edit" aspectratio="f"/>
                        <v:textbox>
                          <w:txbxContent>
                            <w:p>
                              <w:pPr>
                                <w:spacing w:line="200" w:lineRule="atLeast"/>
                                <w:jc w:val="left"/>
                              </w:pPr>
                              <w:r>
                                <w:rPr>
                                  <w:rFonts w:hint="eastAsia" w:ascii="宋体" w:hAnsi="宋体"/>
                                  <w:sz w:val="21"/>
                                  <w:szCs w:val="21"/>
                                </w:rPr>
                                <w:t>清理杂物</w:t>
                              </w:r>
                            </w:p>
                          </w:txbxContent>
                        </v:textbox>
                      </v:rect>
                      <v:rect id="_x0000_s1026" o:spid="_x0000_s1026" o:spt="1" style="position:absolute;left:5735;top:1513;height:392;width:846;"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1"/>
                                  <w:szCs w:val="21"/>
                                </w:rPr>
                              </w:pPr>
                              <w:r>
                                <w:rPr>
                                  <w:rFonts w:hint="eastAsia"/>
                                  <w:sz w:val="21"/>
                                  <w:szCs w:val="21"/>
                                </w:rPr>
                                <w:t>策 划</w:t>
                              </w:r>
                            </w:p>
                          </w:txbxContent>
                        </v:textbox>
                      </v:rect>
                      <v:line id="直线 7" o:spid="_x0000_s1026" o:spt="20" style="position:absolute;left:6173;top:1965;height:312;width:1;" filled="f" stroked="t" coordsize="21600,21600" o:gfxdata="UEsDBAoAAAAAAIdO4kAAAAAAAAAAAAAAAAAEAAAAZHJzL1BLAwQUAAAACACHTuJAmefF8b4AAADa&#10;AAAADwAAAGRycy9kb3ducmV2LnhtbEWPT2vCQBTE74V+h+UVvNVNPGhIXT0IFsE/xViK3h7ZZxKa&#10;fRt2V43fvisIPQ4z8xtmOu9NK67kfGNZQTpMQBCXVjdcKfg+LN8zED4ga2wtk4I7eZjPXl+mmGt7&#10;4z1di1CJCGGfo4I6hC6X0pc1GfRD2xFH72ydwRClq6R2eItw08pRkoylwYbjQo0dLWoqf4uLUbDf&#10;LNfZz/rSl+70me4OX5vt0WdKDd7S5ANEoD78h5/tlVYwgceVeAPk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fF8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5605;top:2324;height:423;width:1175;"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r>
                                <w:rPr>
                                  <w:rFonts w:hint="eastAsia"/>
                                  <w:sz w:val="21"/>
                                  <w:szCs w:val="21"/>
                                </w:rPr>
                                <w:t>厂址比选</w:t>
                              </w:r>
                            </w:p>
                          </w:txbxContent>
                        </v:textbox>
                      </v:rect>
                      <v:line id="直线 9" o:spid="_x0000_s1026" o:spt="20" style="position:absolute;left:6199;top:2761;height:311;width:1;"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5663;top:3134;height:421;width:114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r>
                                <w:rPr>
                                  <w:rFonts w:hint="eastAsia"/>
                                  <w:sz w:val="21"/>
                                  <w:szCs w:val="21"/>
                                </w:rPr>
                                <w:t>地质勘探</w:t>
                              </w:r>
                            </w:p>
                          </w:txbxContent>
                        </v:textbox>
                      </v:rect>
                      <v:line id="直线 11" o:spid="_x0000_s1026" o:spt="20" style="position:absolute;left:6199;top:3541;height:311;width:1;"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5149;top:3853;height:421;width:2205;"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r>
                                <w:rPr>
                                  <w:rFonts w:hint="eastAsia"/>
                                  <w:sz w:val="21"/>
                                  <w:szCs w:val="21"/>
                                </w:rPr>
                                <w:t>方案设计、工程设计</w:t>
                              </w:r>
                            </w:p>
                          </w:txbxContent>
                        </v:textbox>
                      </v:rect>
                      <v:line id="直线 13" o:spid="_x0000_s1026" o:spt="20" style="position:absolute;left:6199;top:4321;height:312;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5851;top:4625;height:393;width:756;"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1"/>
                                  <w:szCs w:val="21"/>
                                </w:rPr>
                              </w:pPr>
                              <w:r>
                                <w:rPr>
                                  <w:rFonts w:hint="eastAsia"/>
                                  <w:sz w:val="21"/>
                                  <w:szCs w:val="21"/>
                                </w:rPr>
                                <w:t>征地</w:t>
                              </w:r>
                            </w:p>
                          </w:txbxContent>
                        </v:textbox>
                      </v:rect>
                      <v:line id="直线 15" o:spid="_x0000_s1026" o:spt="20" style="position:absolute;left:6199;top:5101;height:312;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5674;top:5473;height:421;width:1148;" fillcolor="#FFFFFF" filled="t" stroked="t" coordsize="21600,21600" o:gfxdata="UEsDBAoAAAAAAIdO4kAAAAAAAAAAAAAAAAAEAAAAZHJzL1BLAwQUAAAACACHTuJAZTkjfroAAADb&#10;AAAADwAAAGRycy9kb3ducmV2LnhtbEVPTYvCMBC9C/sfwix400QF0a7Rwy6KHrW9eBub2ba7zaQ0&#10;Uau/3giCt3m8z1msOluLC7W+cqxhNFQgiHNnKi40ZOl6MAPhA7LB2jFpuJGH1fKjt8DEuCvv6XII&#10;hYgh7BPUUIbQJFL6vCSLfuga4sj9utZiiLAtpGnxGsNtLcdKTaXFimNDiQ19l5T/H85Ww6kaZ3jf&#10;pxtl5+tJ2HXp3/n4o3X/c6S+QATqwlv8cm9NnD+F5y/x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OSN+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ascii="宋体" w:hAnsi="宋体"/>
                                  <w:sz w:val="21"/>
                                  <w:szCs w:val="21"/>
                                </w:rPr>
                              </w:pPr>
                              <w:r>
                                <w:rPr>
                                  <w:rFonts w:hint="eastAsia" w:ascii="宋体" w:hAnsi="宋体"/>
                                  <w:sz w:val="21"/>
                                  <w:szCs w:val="21"/>
                                </w:rPr>
                                <w:t>场地平整</w:t>
                              </w:r>
                            </w:p>
                          </w:txbxContent>
                        </v:textbox>
                      </v:rect>
                      <v:line id="直线 17" o:spid="_x0000_s1026" o:spt="20" style="position:absolute;left:6201;top:5969;height:313;width:2;" filled="f" stroked="t" coordsize="21600,21600" o:gfxdata="UEsDBAoAAAAAAIdO4kAAAAAAAAAAAAAAAAAEAAAAZHJzL1BLAwQUAAAACACHTuJA5kBk37wAAADb&#10;AAAADwAAAGRycy9kb3ducmV2LnhtbEVPS2vCQBC+F/oflil4q5t40JC6ehAsgo9iLEVvQ3ZMQrOz&#10;YXfV+O+7gtDbfHzPmc5704orOd9YVpAOExDEpdUNVwq+D8v3DIQPyBpby6TgTh7ms9eXKeba3nhP&#10;1yJUIoawz1FBHUKXS+nLmgz6oe2II3e2zmCI0FVSO7zFcNPKUZKMpcGGY0ONHS1qKn+Li1Gw3yzX&#10;2c/60pfu9JnuDl+b7dFnSg3e0uQDRKA+/Iuf7pWO8yfw+CUe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AZN+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5618;top:6327;height:420;width:1381;" fillcolor="#FFFFFF" filled="t" stroked="t" coordsize="21600,21600" o:gfxdata="UEsDBAoAAAAAAIdO4kAAAAAAAAAAAAAAAAAEAAAAZHJzL1BLAwQUAAAACACHTuJAe+oSl7wAAADb&#10;AAAADwAAAGRycy9kb3ducmV2LnhtbEWPQW/CMAyF75P4D5En7TYSmDRBIXAYArEjlAs305i20DhV&#10;E6Dbr58Pk7jZes/vfZ4ve9+oO3WxDmxhNDSgiIvgai4tHPL1+wRUTMgOm8Bk4YciLBeDlzlmLjx4&#10;R/d9KpWEcMzQQpVSm2kdi4o8xmFoiUU7h85jkrUrtevwIeG+0WNjPrXHmqWhwpa+Kiqu+5u3cKrH&#10;B/zd5Rvjp+uP9N3nl9txZe3b68jMQCXq09P8f711gi+w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qEp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pPr>
                              <w:r>
                                <w:rPr>
                                  <w:rFonts w:hint="eastAsia"/>
                                  <w:sz w:val="21"/>
                                  <w:szCs w:val="21"/>
                                </w:rPr>
                                <w:t>土石方工程</w:t>
                              </w:r>
                            </w:p>
                          </w:txbxContent>
                        </v:textbox>
                      </v:rect>
                      <v:line id="直线 19" o:spid="_x0000_s1026" o:spt="20" style="position:absolute;left:6201;top:6781;height:311;width:2;"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5645;top:7136;height:421;width:114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1"/>
                                  <w:szCs w:val="21"/>
                                </w:rPr>
                              </w:pPr>
                              <w:r>
                                <w:rPr>
                                  <w:rFonts w:hint="eastAsia"/>
                                  <w:sz w:val="21"/>
                                  <w:szCs w:val="21"/>
                                </w:rPr>
                                <w:t>主体工程</w:t>
                              </w:r>
                            </w:p>
                          </w:txbxContent>
                        </v:textbox>
                      </v:rect>
                      <v:line id="直线 21" o:spid="_x0000_s1026" o:spt="20" style="position:absolute;left:6187;top:7597;height:312;width:1;"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5642;top:7979;height:421;width:1147;"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r>
                                <w:rPr>
                                  <w:rFonts w:hint="eastAsia"/>
                                  <w:sz w:val="21"/>
                                  <w:szCs w:val="21"/>
                                </w:rPr>
                                <w:t>装饰工程</w:t>
                              </w:r>
                            </w:p>
                          </w:txbxContent>
                        </v:textbox>
                      </v:rect>
                      <v:line id="直线 23" o:spid="_x0000_s1026" o:spt="20" style="position:absolute;left:6187;top:8412;height:312;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5634;top:8801;height:421;width:1148;"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r>
                                <w:rPr>
                                  <w:rFonts w:hint="eastAsia"/>
                                  <w:sz w:val="21"/>
                                  <w:szCs w:val="21"/>
                                </w:rPr>
                                <w:t>竣工验收</w:t>
                              </w:r>
                            </w:p>
                          </w:txbxContent>
                        </v:textbox>
                      </v:rect>
                      <v:line id="直线 25" o:spid="_x0000_s1026" o:spt="20" style="position:absolute;left:6199;top:9249;height:313;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5629;top:9551;height:419;width:1147;" fillcolor="#FFFFFF" filled="t" stroked="t" coordsize="21600,21600" o:gfxdata="UEsDBAoAAAAAAIdO4kAAAAAAAAAAAAAAAAAEAAAAZHJzL1BLAwQUAAAACACHTuJAq1Xpw7wAAADb&#10;AAAADwAAAGRycy9kb3ducmV2LnhtbEWPQYvCMBSE7wv+h/AEb2tiBdFq9KAo7lHrxduzebbdbV5K&#10;E7W7v34jCB6HmfmGWaw6W4s7tb5yrGE0VCCIc2cqLjScsu3nFIQPyAZrx6Thlzyslr2PBabGPfhA&#10;92MoRISwT1FDGUKTSunzkiz6oWuIo3d1rcUQZVtI0+Ijwm0tE6Um0mLFcaHEhtYl5T/Hm9VwqZIT&#10;/h2ynbKz7Th8ddn37bzRetAfqTmIQF14h1/tvdGQTO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V6c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1"/>
                                  <w:szCs w:val="21"/>
                                </w:rPr>
                              </w:pPr>
                              <w:r>
                                <w:rPr>
                                  <w:rFonts w:hint="eastAsia"/>
                                  <w:sz w:val="21"/>
                                  <w:szCs w:val="21"/>
                                </w:rPr>
                                <w:t>投入运营</w:t>
                              </w:r>
                            </w:p>
                          </w:txbxContent>
                        </v:textbox>
                      </v:rect>
                      <v:shape id="自选图形 27" o:spid="_x0000_s1026" o:spt="87" type="#_x0000_t87" style="position:absolute;left:3679;top:1825;height:3120;width:420;" filled="f" stroked="t" coordsize="21600,21600" o:gfxdata="UEsDBAoAAAAAAIdO4kAAAAAAAAAAAAAAAAAEAAAAZHJzL1BLAwQUAAAACACHTuJAMPSqur8AAADb&#10;AAAADwAAAGRycy9kb3ducmV2LnhtbEWP0WrCQBRE3wv+w3IFX6RuEkpjo6tg29CiIKj9gNvsNQlm&#10;74bsatK/7xYKPg4zc4ZZrgfTiBt1rrasIJ5FIIgLq2suFXyd8sc5COeRNTaWScEPOVivRg9LzLTt&#10;+UC3oy9FgLDLUEHlfZtJ6YqKDLqZbYmDd7adQR9kV0rdYR/gppFJFD1LgzWHhQpbeq2ouByvRsF0&#10;/5JMPw7ePm3jMnl/O6W7Tf6t1GQcRwsQngZ/D/+3P7WCJIW/L+EHyN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0qrq/&#10;AAAA2wAAAA8AAAAAAAAAAQAgAAAAIgAAAGRycy9kb3ducmV2LnhtbFBLAQIUABQAAAAIAIdO4kAz&#10;LwWeOwAAADkAAAAQAAAAAAAAAAEAIAAAAA4BAABkcnMvc2hhcGV4bWwueG1sUEsFBgAAAAAGAAYA&#10;WwEAALgDAAAAAA==&#10;" adj="1799,10800">
                        <v:fill on="f" focussize="0,0"/>
                        <v:stroke color="#000000" joinstyle="round"/>
                        <v:imagedata o:title=""/>
                        <o:lock v:ext="edit" aspectratio="f"/>
                      </v:shape>
                      <v:shape id="自选图形 28" o:spid="_x0000_s1026" o:spt="88" type="#_x0000_t88" style="position:absolute;left:5374;top:5142;height:905;width:184;" filled="f" stroked="t" coordsize="21600,21600" o:gfxdata="UEsDBAoAAAAAAIdO4kAAAAAAAAAAAAAAAAAEAAAAZHJzL1BLAwQUAAAACACHTuJA6OVWxrUAAADb&#10;AAAADwAAAGRycy9kb3ducmV2LnhtbEVPuwrCMBTdBf8hXMFFNNVBpTYKCoKCi1pwvTTXptrclCa+&#10;/t4MguPhvLPV29biSa2vHCsYjxIQxIXTFZcK8vN2OAfhA7LG2jEp+JCH1bLbyTDV7sVHep5CKWII&#10;+xQVmBCaVEpfGLLoR64hjtzVtRZDhG0pdYuvGG5rOUmSqbRYcWww2NDGUHE/PayCW30xVh8GWzT5&#10;4HjOeZ3vZ0apfm+cLEAEeoe/+OfeaQWTODZ+iT9AL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OVWxrUAAADbAAAADwAA&#10;AAAAAAABACAAAAAiAAAAZHJzL2Rvd25yZXYueG1sUEsBAhQAFAAAAAgAh07iQDMvBZ47AAAAOQAA&#10;ABAAAAAAAAAAAQAgAAAABAEAAGRycy9zaGFwZXhtbC54bWxQSwUGAAAAAAYABgBbAQAArgMAAAAA&#10;" adj="1799,10800">
                        <v:fill on="f" focussize="0,0"/>
                        <v:stroke color="#000000" joinstyle="round"/>
                        <v:imagedata o:title=""/>
                        <o:lock v:ext="edit" aspectratio="f"/>
                      </v:shape>
                      <v:rect id="_x0000_s1026" o:spid="_x0000_s1026" o:spt="1" style="position:absolute;left:4281;top:5413;height:426;width:1198;" fillcolor="#FFFFFF" filled="t" stroked="f" coordsize="21600,21600" o:gfxdata="UEsDBAoAAAAAAIdO4kAAAAAAAAAAAAAAAAAEAAAAZHJzL1BLAwQUAAAACACHTuJAydNr+78AAADb&#10;AAAADwAAAGRycy9kb3ducmV2LnhtbEWPQWvCQBSE74X+h+UVvNWNHiSmrjkoioIt1ApeH9nXJE32&#10;7ZJdk7S/vlsoeBxm5htmlY+mFT11vrasYDZNQBAXVtdcKrh87J5TED4ga2wtk4Jv8pCvHx9WmGk7&#10;8Dv151CKCGGfoYIqBJdJ6YuKDPqpdcTR+7SdwRBlV0rd4RDhppXzJFlIgzXHhQodbSoqmvPNKPiR&#10;t9PXMX1zy/1l219den1tdqzU5GmWvIAINIZ7+L990ArmS/j7En+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Ta/u/&#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三通一平</w:t>
                              </w:r>
                            </w:p>
                          </w:txbxContent>
                        </v:textbox>
                      </v:rect>
                      <v:rect id="_x0000_s1026" o:spid="_x0000_s1026" o:spt="1" style="position:absolute;left:4281;top:5705;height:376;width:1198;" fillcolor="#FFFFFF" filled="t" stroked="f" coordsize="21600,21600" o:gfxdata="UEsDBAoAAAAAAIdO4kAAAAAAAAAAAAAAAAAEAAAAZHJzL1BLAwQUAAAACACHTuJA3TBUu7wAAADb&#10;AAAADwAAAGRycy9kb3ducmV2LnhtbEVPy2rCQBTdF/oPwy24q5MolJg6ZqGktNAWfIDbS+Y2icnc&#10;GTJjtH69syh0eTjvZXE1vRhp8K1lBek0AUFcWd1yreCwL58zED4ga+wtk4Jf8lCsHh+WmGt74S2N&#10;u1CLGMI+RwVNCC6X0lcNGfRT64gj92MHgyHCoZZ6wEsMN72cJcmLNNhybGjQ0bqhqtudjYKbPH+e&#10;PrJvt3g7bMajy45fXclKTZ7S5BVEoGv4F/+537WCeVwfv8Qf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wVLu8AAAA&#10;2wAAAA8AAAAAAAAAAQAgAAAAIgAAAGRycy9kb3ducmV2LnhtbFBLAQIUABQAAAAIAIdO4kAzLwWe&#10;OwAAADkAAAAQAAAAAAAAAAEAIAAAAAsBAABkcnMvc2hhcGV4bWwueG1sUEsFBgAAAAAGAAYAWwEA&#10;ALUDAAAAAA==&#10;">
                        <v:fill on="t" opacity="0f" focussize="0,0"/>
                        <v:stroke on="f" weight="0pt"/>
                        <v:imagedata o:title=""/>
                        <o:lock v:ext="edit" aspectratio="f"/>
                        <v:textbox>
                          <w:txbxContent>
                            <w:p>
                              <w:pPr>
                                <w:spacing w:line="200" w:lineRule="atLeast"/>
                                <w:jc w:val="left"/>
                              </w:pPr>
                              <w:r>
                                <w:rPr>
                                  <w:rFonts w:hint="eastAsia" w:ascii="宋体" w:hAnsi="宋体"/>
                                  <w:sz w:val="21"/>
                                  <w:szCs w:val="21"/>
                                </w:rPr>
                                <w:t>施工设施</w:t>
                              </w:r>
                            </w:p>
                          </w:txbxContent>
                        </v:textbox>
                      </v:rect>
                      <v:shape id="自选图形 31" o:spid="_x0000_s1026" o:spt="87" type="#_x0000_t87" style="position:absolute;left:7738;top:5270;height:780;width:210;" filled="f" stroked="t" coordsize="21600,21600" o:gfxdata="UEsDBAoAAAAAAIdO4kAAAAAAAAAAAAAAAAAEAAAAZHJzL1BLAwQUAAAACACHTuJAVYgBiL8AAADb&#10;AAAADwAAAGRycy9kb3ducmV2LnhtbEWPW2vCQBSE3wv+h+UIvkjdJBZro6vgDUVB8PIDTrPHJJg9&#10;G7Lrpf++KxT6OMzMN8x4+jSVuFPjSssK4l4EgjizuuRcwfm0eh+CcB5ZY2WZFPyQg+mk9TbGVNsH&#10;H+h+9LkIEHYpKii8r1MpXVaQQdezNXHwLrYx6INscqkbfAS4qWQSRQNpsOSwUGBN84Ky6/FmFHT3&#10;X0l3ffD2YxvnyXJx+tzNVt9KddpxNALh6en/w3/tjVbQj+H1JfwAOf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IAYi/&#10;AAAA2wAAAA8AAAAAAAAAAQAgAAAAIgAAAGRycy9kb3ducmV2LnhtbFBLAQIUABQAAAAIAIdO4kAz&#10;LwWeOwAAADkAAAAQAAAAAAAAAAEAIAAAAA4BAABkcnMvc2hhcGV4bWwueG1sUEsFBgAAAAAGAAYA&#10;WwEAALgDAAAAAA==&#10;" adj="1799,10800">
                        <v:fill on="f" focussize="0,0"/>
                        <v:stroke color="#000000" joinstyle="round"/>
                        <v:imagedata o:title=""/>
                        <o:lock v:ext="edit" aspectratio="f"/>
                      </v:shape>
                      <v:shape id="自选图形 32" o:spid="_x0000_s1026" o:spt="87" type="#_x0000_t87" style="position:absolute;left:7744;top:6224;height:780;width:210;" filled="f" stroked="t" coordsize="21600,21600" o:gfxdata="UEsDBAoAAAAAAIdO4kAAAAAAAAAAAAAAAAAEAAAAZHJzL1BLAwQUAAAACACHTuJApVqf/78AAADb&#10;AAAADwAAAGRycy9kb3ducmV2LnhtbEWP3WrCQBSE7wXfYTlCb6RuEqU/0U2gVam0UIj2AU6zxyQ0&#10;ezZk17+3dwuCl8PMfMMs8rNpxZF611hWEE8iEMSl1Q1XCn5268cXEM4ja2wtk4ILOciz4WCBqbYn&#10;Lui49ZUIEHYpKqi971IpXVmTQTexHXHw9rY36IPsK6l7PAW4aWUSRU/SYMNhocaO3msq/7YHo2D8&#10;/ZqMPwpvZ59xlayWu+evt/WvUg+jOJqD8HT29/CtvdEKpgn8fwk/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Van/+/&#10;AAAA2wAAAA8AAAAAAAAAAQAgAAAAIgAAAGRycy9kb3ducmV2LnhtbFBLAQIUABQAAAAIAIdO4kAz&#10;LwWeOwAAADkAAAAQAAAAAAAAAAEAIAAAAA4BAABkcnMvc2hhcGV4bWwueG1sUEsFBgAAAAAGAAYA&#10;WwEAALgDAAAAAA==&#10;" adj="1799,10800">
                        <v:fill on="f" focussize="0,0"/>
                        <v:stroke color="#000000" joinstyle="round"/>
                        <v:imagedata o:title=""/>
                        <o:lock v:ext="edit" aspectratio="f"/>
                      </v:shape>
                      <v:shape id="自选图形 33" o:spid="_x0000_s1026" o:spt="87" type="#_x0000_t87" style="position:absolute;left:7774;top:7129;height:781;width:210;" filled="f" stroked="t" coordsize="21600,21600" o:gfxdata="UEsDBAoAAAAAAIdO4kAAAAAAAAAAAAAAAAAEAAAAZHJzL1BLAwQUAAAACACHTuJAyhY6ZL8AAADb&#10;AAAADwAAAGRycy9kb3ducmV2LnhtbEWP3WrCQBSE74W+w3IEb0Q3iVJt6ir4R8WCEO0DnGaPSWj2&#10;bMiuP337bkHwcpiZb5jZ4m5qcaXWVZYVxMMIBHFudcWFgq/TdjAF4TyyxtoyKfglB4v5S2eGqbY3&#10;zuh69IUIEHYpKii9b1IpXV6SQTe0DXHwzrY16INsC6lbvAW4qWUSRa/SYMVhocSGViXlP8eLUdA/&#10;vCX9j8zb8T4uks36NPlcbr+V6nXj6B2Ep7t/hh/tnVYwGsH/l/AD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oWOmS/&#10;AAAA2wAAAA8AAAAAAAAAAQAgAAAAIgAAAGRycy9kb3ducmV2LnhtbFBLAQIUABQAAAAIAIdO4kAz&#10;LwWeOwAAADkAAAAQAAAAAAAAAAEAIAAAAA4BAABkcnMvc2hhcGV4bWwueG1sUEsFBgAAAAAGAAYA&#10;WwEAALgDAAAAAA==&#10;" adj="1799,10800">
                        <v:fill on="f" focussize="0,0"/>
                        <v:stroke color="#000000" joinstyle="round"/>
                        <v:imagedata o:title=""/>
                        <o:lock v:ext="edit" aspectratio="f"/>
                      </v:shape>
                      <v:shape id="自选图形 34" o:spid="_x0000_s1026" o:spt="87" type="#_x0000_t87" style="position:absolute;left:7738;top:7993;height:781;width:210;" filled="f" stroked="t" coordsize="21600,21600" o:gfxdata="UEsDBAoAAAAAAIdO4kAAAAAAAAAAAAAAAAAEAAAAZHJzL1BLAwQUAAAACACHTuJARf+iEL4AAADb&#10;AAAADwAAAGRycy9kb3ducmV2LnhtbEWP3WrCQBSE7wt9h+UI3ohuEkVtdBX8o6IgqH2AY/aYhGbP&#10;huz69/bdQqGXw8x8w0znT1OJOzWutKwg7kUgiDOrS84VfJ033TEI55E1VpZJwYsczGfvb1NMtX3w&#10;ke4nn4sAYZeigsL7OpXSZQUZdD1bEwfvahuDPsgml7rBR4CbSiZRNJQGSw4LBda0LCj7Pt2Mgs7h&#10;I+l8Hr0d7OI8Wa/Oo/1ic1Gq3YqjCQhPT/8f/mtvtYL+AH6/hB8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f+iEL4A&#10;AADbAAAADwAAAAAAAAABACAAAAAiAAAAZHJzL2Rvd25yZXYueG1sUEsBAhQAFAAAAAgAh07iQDMv&#10;BZ47AAAAOQAAABAAAAAAAAAAAQAgAAAADQEAAGRycy9zaGFwZXhtbC54bWxQSwUGAAAAAAYABgBb&#10;AQAAtwMAAAAA&#10;" adj="1799,10800">
                        <v:fill on="f" focussize="0,0"/>
                        <v:stroke color="#000000" joinstyle="round"/>
                        <v:imagedata o:title=""/>
                        <o:lock v:ext="edit" aspectratio="f"/>
                      </v:shape>
                      <v:shape id="自选图形 35" o:spid="_x0000_s1026" o:spt="87" type="#_x0000_t87" style="position:absolute;left:7730;top:9035;height:940;width:229;" filled="f" stroked="t" coordsize="21600,21600" o:gfxdata="UEsDBAoAAAAAAIdO4kAAAAAAAAAAAAAAAAAEAAAAZHJzL1BLAwQUAAAACACHTuJAKrMHi78AAADb&#10;AAAADwAAAGRycy9kb3ducmV2LnhtbEWPW2vCQBSE3wv9D8sR+iK6Say36CrUKi0KgpcfcMwek9Ds&#10;2ZBdb/++KxT6OMzMN8x0fjeVuFLjSssK4m4EgjizuuRcwfGw6oxAOI+ssbJMCh7kYD57fZliqu2N&#10;d3Td+1wECLsUFRTe16mULivIoOvamjh4Z9sY9EE2udQN3gLcVDKJooE0WHJYKLCmRUHZz/5iFLS3&#10;46T9tfP2fR3nyfLzMNx8rE5KvbXiaALC093/h//a31pBrw/PL+EHy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qzB4u/&#10;AAAA2wAAAA8AAAAAAAAAAQAgAAAAIgAAAGRycy9kb3ducmV2LnhtbFBLAQIUABQAAAAIAIdO4kAz&#10;LwWeOwAAADkAAAAQAAAAAAAAAAEAIAAAAA4BAABkcnMvc2hhcGV4bWwueG1sUEsFBgAAAAAGAAYA&#10;WwEAALgDAAAAAA==&#10;" adj="1799,10800">
                        <v:fill on="f" focussize="0,0"/>
                        <v:stroke color="#000000" joinstyle="round"/>
                        <v:imagedata o:title=""/>
                        <o:lock v:ext="edit" aspectratio="f"/>
                      </v:shape>
                      <v:shape id="自选图形 36" o:spid="_x0000_s1026" o:spt="88" type="#_x0000_t88" style="position:absolute;left:5274;top:6112;height:890;width:284;" filled="f" stroked="t" coordsize="21600,21600" o:gfxdata="UEsDBAoAAAAAAIdO4kAAAAAAAAAAAAAAAAAEAAAAZHJzL1BLAwQUAAAACACHTuJAc+/x8rwAAADb&#10;AAAADwAAAGRycy9kb3ducmV2LnhtbEWPT4vCMBTE74LfIbwFL6KpCrp0TQsKggtetIW9Pppn093m&#10;pTTx37ffCILHYWZ+w6zzu23FlXrfOFYwmyYgiCunG64VlMVu8gnCB2SNrWNS8CAPeTYcrDHV7sZH&#10;up5CLSKEfYoKTAhdKqWvDFn0U9cRR+/seoshyr6WusdbhNtWzpNkKS02HBcMdrQ1VP2dLlbBb/tj&#10;rD6Md2jK8bEoeVN+r4xSo49Z8gUi0D28w6/2XitYLOH5Jf4Am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v8fK8AAAA&#10;2wAAAA8AAAAAAAAAAQAgAAAAIgAAAGRycy9kb3ducmV2LnhtbFBLAQIUABQAAAAIAIdO4kAzLwWe&#10;OwAAADkAAAAQAAAAAAAAAAEAIAAAAAsBAABkcnMvc2hhcGV4bWwueG1sUEsFBgAAAAAGAAYAWwEA&#10;ALUDAAAAAA==&#10;" adj="1799,10800">
                        <v:fill on="f" focussize="0,0"/>
                        <v:stroke color="#000000" joinstyle="round"/>
                        <v:imagedata o:title=""/>
                        <o:lock v:ext="edit" aspectratio="f"/>
                      </v:shape>
                      <v:rect id="_x0000_s1026" o:spid="_x0000_s1026" o:spt="1" style="position:absolute;left:4099;top:6098;height:424;width:1428;" fillcolor="#FFFFFF" filled="t" stroked="f" coordsize="21600,21600" o:gfxdata="UEsDBAoAAAAAAIdO4kAAAAAAAAAAAAAAAAAEAAAAZHJzL1BLAwQUAAAACACHTuJAUtnMz78AAADb&#10;AAAADwAAAGRycy9kb3ducmV2LnhtbEWPQWvCQBSE7wX/w/IEb3VjhZqm2XiwKBZaQSt4fWRfk2j2&#10;7ZJdo+2v7xYEj8PMfMPk86tpRU+dbywrmIwTEMSl1Q1XCvZfy8cUhA/IGlvLpOCHPMyLwUOOmbYX&#10;3lK/C5WIEPYZKqhDcJmUvqzJoB9bRxy9b9sZDFF2ldQdXiLctPIpSZ6lwYbjQo2OFjWVp93ZKPiV&#10;54/je7pxL6v9W39w6eHztGSlRsNJ8goi0DXcw7f2WiuYzuD/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ZzM+/&#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pPr>
                              <w:r>
                                <w:rPr>
                                  <w:rFonts w:hint="eastAsia" w:ascii="宋体" w:hAnsi="宋体"/>
                                  <w:sz w:val="21"/>
                                  <w:szCs w:val="21"/>
                                </w:rPr>
                                <w:t>土石方开挖</w:t>
                              </w:r>
                            </w:p>
                          </w:txbxContent>
                        </v:textbox>
                      </v:rect>
                      <v:rect id="_x0000_s1026" o:spid="_x0000_s1026" o:spt="1" style="position:absolute;left:3889;top:6566;height:423;width:1659;" fillcolor="#FFFFFF" filled="t" stroked="f" coordsize="21600,21600" o:gfxdata="UEsDBAoAAAAAAIdO4kAAAAAAAAAAAAAAAAAEAAAAZHJzL1BLAwQUAAAACACHTuJAI0ZYvbwAAADb&#10;AAAADwAAAGRycy9kb3ducmV2LnhtbEVPy2rCQBTdF/oPwy24q5MolJg6ZqGktNAWfIDbS+Y2icnc&#10;GTJjtH69syh0eTjvZXE1vRhp8K1lBek0AUFcWd1yreCwL58zED4ga+wtk4Jf8lCsHh+WmGt74S2N&#10;u1CLGMI+RwVNCC6X0lcNGfRT64gj92MHgyHCoZZ6wEsMN72cJcmLNNhybGjQ0bqhqtudjYKbPH+e&#10;PrJvt3g7bMajy45fXclKTZ7S5BVEoGv4F/+537WCeRwbv8Qf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GWL28AAAA&#10;2wAAAA8AAAAAAAAAAQAgAAAAIgAAAGRycy9kb3ducmV2LnhtbFBLAQIUABQAAAAIAIdO4kAzLwWe&#10;OwAAADkAAAAQAAAAAAAAAAEAIAAAAAsBAABkcnMvc2hhcGV4bWwueG1sUEsFBgAAAAAGAAYAWwEA&#10;ALUDAAAAAA==&#10;">
                        <v:fill on="t" opacity="0f" focussize="0,0"/>
                        <v:stroke on="f" weight="0pt"/>
                        <v:imagedata o:title=""/>
                        <o:lock v:ext="edit" aspectratio="f"/>
                        <v:textbox>
                          <w:txbxContent>
                            <w:p>
                              <w:pPr>
                                <w:spacing w:line="200" w:lineRule="atLeast"/>
                                <w:jc w:val="left"/>
                              </w:pPr>
                              <w:r>
                                <w:rPr>
                                  <w:rFonts w:hint="eastAsia" w:ascii="宋体" w:hAnsi="宋体"/>
                                  <w:sz w:val="21"/>
                                  <w:szCs w:val="21"/>
                                </w:rPr>
                                <w:t>基础工程浇注</w:t>
                              </w:r>
                            </w:p>
                          </w:txbxContent>
                        </v:textbox>
                      </v:rect>
                      <v:rect id="_x0000_s1026" o:spid="_x0000_s1026" o:spt="1" style="position:absolute;left:3820;top:7517;height:424;width:1659;" fillcolor="#FFFFFF" filled="t" stroked="f" coordsize="21600,21600" o:gfxdata="UEsDBAoAAAAAAIdO4kAAAAAAAAAAAAAAAAAEAAAAZHJzL1BLAwQUAAAACACHTuJATAr9Jr8AAADb&#10;AAAADwAAAGRycy9kb3ducmV2LnhtbEWPT2vCQBTE74LfYXmCN92oUGKa1UPFUqEt+AdyfWRfk9Ts&#10;2yW7Ru2n7xYKHoeZ+Q2Tr2+mFT11vrGsYDZNQBCXVjdcKTgdt5MUhA/IGlvLpOBOHtar4SDHTNsr&#10;76k/hEpECPsMFdQhuExKX9Zk0E+tI47el+0Mhii7SuoOrxFuWjlPkidpsOG4UKOjl5rK8+FiFPzI&#10;y/v3Lv10y9fTpi9cWnyct6zUeDRLnkEEuoVH+L/9phUslvD3Jf4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wK/Sa/&#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ind w:firstLine="210" w:firstLineChars="100"/>
                                <w:jc w:val="left"/>
                                <w:rPr>
                                  <w:sz w:val="21"/>
                                  <w:szCs w:val="21"/>
                                </w:rPr>
                              </w:pPr>
                              <w:r>
                                <w:rPr>
                                  <w:rFonts w:hint="eastAsia" w:ascii="宋体" w:hAnsi="宋体"/>
                                  <w:sz w:val="21"/>
                                  <w:szCs w:val="21"/>
                                </w:rPr>
                                <w:t>砼浇注工程</w:t>
                              </w:r>
                            </w:p>
                          </w:txbxContent>
                        </v:textbox>
                      </v:rect>
                      <v:shape id="自选图形 40" o:spid="_x0000_s1026" o:spt="88" type="#_x0000_t88" style="position:absolute;left:5322;top:7033;height:1007;width:205;" filled="f" stroked="t" coordsize="21600,21600" o:gfxdata="UEsDBAoAAAAAAIdO4kAAAAAAAAAAAAAAAAAEAAAAZHJzL1BLAwQUAAAACACHTuJAy0y/YLYAAADb&#10;AAAADwAAAGRycy9kb3ducmV2LnhtbEVPSwrCMBDdC94hjOBGNFVEpRoFBUHBjVpwOzRjU20mpYm/&#10;25uF4PLx/ovV21biSY0vHSsYDhIQxLnTJRcKsvO2PwPhA7LGyjEp+JCH1bLdWmCq3YuP9DyFQsQQ&#10;9ikqMCHUqZQ+N2TRD1xNHLmrayyGCJtC6gZfMdxWcpQkE2mx5NhgsKaNofx+elgFt+pirD70tmiy&#10;3vGc8TrbT41S3c4wmYMI9A5/8c+90wrGcX38En+AXH4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tMv2C2AAAA2wAAAA8A&#10;AAAAAAAAAQAgAAAAIgAAAGRycy9kb3ducmV2LnhtbFBLAQIUABQAAAAIAIdO4kAzLwWeOwAAADkA&#10;AAAQAAAAAAAAAAEAIAAAAAUBAABkcnMvc2hhcGV4bWwueG1sUEsFBgAAAAAGAAYAWwEAAK8DAAAA&#10;AA==&#10;" adj="1799,10800">
                        <v:fill on="f" focussize="0,0"/>
                        <v:stroke color="#000000" joinstyle="round"/>
                        <v:imagedata o:title=""/>
                        <o:lock v:ext="edit" aspectratio="f"/>
                      </v:shape>
                      <v:rect id="_x0000_s1026" o:spid="_x0000_s1026" o:spt="1" style="position:absolute;left:4051;top:7033;height:373;width:1428;" fillcolor="#FFFFFF" filled="t" stroked="f" coordsize="21600,21600" o:gfxdata="UEsDBAoAAAAAAIdO4kAAAAAAAAAAAAAAAAAEAAAAZHJzL1BLAwQUAAAACACHTuJA6nqCXb4AAADb&#10;AAAADwAAAGRycy9kb3ducmV2LnhtbEWPT2vCQBTE70K/w/IK3nQTKRJTVw8tSgUraAWvj+xrkpp9&#10;u2TX+OfTdwXB4zAzv2Gm84tpREetry0rSIcJCOLC6ppLBfufxSAD4QOyxsYyKbiSh/nspTfFXNsz&#10;b6nbhVJECPscFVQhuFxKX1Rk0A+tI47er20NhijbUuoWzxFuGjlKkrE0WHNcqNDRR0XFcXcyCm7y&#10;tP5bZRs3We4/u4PLDt/HBSvVf02TdxCBLuEZfrS/tIK3FO5f4g+Qs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nqCXb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ind w:firstLine="105" w:firstLineChars="50"/>
                                <w:jc w:val="left"/>
                              </w:pPr>
                              <w:r>
                                <w:rPr>
                                  <w:rFonts w:hint="eastAsia" w:ascii="宋体" w:hAnsi="宋体"/>
                                  <w:sz w:val="21"/>
                                  <w:szCs w:val="21"/>
                                </w:rPr>
                                <w:t>钢筋工程</w:t>
                              </w:r>
                            </w:p>
                          </w:txbxContent>
                        </v:textbox>
                      </v:rect>
                      <v:rect id="_x0000_s1026" o:spid="_x0000_s1026" o:spt="1" style="position:absolute;left:3946;top:7274;height:371;width:1428;" fillcolor="#FFFFFF" filled="t" stroked="f" coordsize="21600,21600" o:gfxdata="UEsDBAoAAAAAAIdO4kAAAAAAAAAAAAAAAAAEAAAAZHJzL1BLAwQUAAAACACHTuJAGqgcKr8AAADb&#10;AAAADwAAAGRycy9kb3ducmV2LnhtbEWPQWvCQBSE74X+h+UVvOnGICVNXT20pChUwVTw+si+JqnZ&#10;t0t2jba/3hWEHoeZ+YaZLy+mEwP1vrWsYDpJQBBXVrdcK9h/FeMMhA/IGjvLpOCXPCwXjw9zzLU9&#10;846GMtQiQtjnqKAJweVS+qohg35iHXH0vm1vMETZ11L3eI5w08k0SZ6lwZbjQoOO3hqqjuXJKPiT&#10;p8+fdbZ1Lx/79+HgssPmWLBSo6dp8goi0CX8h+/tlVYwS+H2Jf4Aub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oHCq/&#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ind w:firstLine="210" w:firstLineChars="100"/>
                                <w:jc w:val="left"/>
                                <w:rPr>
                                  <w:sz w:val="21"/>
                                  <w:szCs w:val="21"/>
                                </w:rPr>
                              </w:pPr>
                              <w:r>
                                <w:rPr>
                                  <w:rFonts w:hint="eastAsia" w:ascii="宋体" w:hAnsi="宋体"/>
                                  <w:sz w:val="21"/>
                                  <w:szCs w:val="21"/>
                                </w:rPr>
                                <w:t>模板工程</w:t>
                              </w:r>
                            </w:p>
                          </w:txbxContent>
                        </v:textbox>
                      </v:rect>
                      <v:rect id="_x0000_s1026" o:spid="_x0000_s1026" o:spt="1" style="position:absolute;left:3854;top:7737;height:424;width:1659;" fillcolor="#FFFFFF" filled="t" stroked="f" coordsize="21600,21600" o:gfxdata="UEsDBAoAAAAAAIdO4kAAAAAAAAAAAAAAAAAEAAAAZHJzL1BLAwQUAAAACACHTuJAdeS5sb8AAADb&#10;AAAADwAAAGRycy9kb3ducmV2LnhtbEWPQWvCQBSE7wX/w/IEb3VjLZKm2XiwKBZaQSt4fWRfk2j2&#10;7ZJdo+2v7xYEj8PMfMPk86tpRU+dbywrmIwTEMSl1Q1XCvZfy8cUhA/IGlvLpOCHPMyLwUOOmbYX&#10;3lK/C5WIEPYZKqhDcJmUvqzJoB9bRxy9b9sZDFF2ldQdXiLctPIpSWbSYMNxoUZHi5rK0+5sFPzK&#10;88fxPd24l9X+rT+49PB5WrJSo+EkeQUR6Bru4Vt7rRU8T+H/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kubG/&#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ind w:firstLine="315" w:firstLineChars="150"/>
                                <w:jc w:val="left"/>
                                <w:rPr>
                                  <w:sz w:val="21"/>
                                  <w:szCs w:val="21"/>
                                </w:rPr>
                              </w:pPr>
                              <w:r>
                                <w:rPr>
                                  <w:rFonts w:hint="eastAsia" w:ascii="宋体" w:hAnsi="宋体"/>
                                  <w:sz w:val="21"/>
                                  <w:szCs w:val="21"/>
                                </w:rPr>
                                <w:t>砌体工程</w:t>
                              </w:r>
                            </w:p>
                          </w:txbxContent>
                        </v:textbox>
                      </v:rect>
                      <v:shape id="自选图形 44" o:spid="_x0000_s1026" o:spt="88" type="#_x0000_t88" style="position:absolute;left:5343;top:8097;height:984;width:236;" filled="f" stroked="t" coordsize="21600,21600" o:gfxdata="UEsDBAoAAAAAAIdO4kAAAAAAAAAAAAAAAAAEAAAAZHJzL1BLAwQUAAAACACHTuJAjg8SMrwAAADb&#10;AAAADwAAAGRycy9kb3ducmV2LnhtbEWPzWoCQRCE7wHfYWghtzijSKKrowdFTA4J+IPnZqfdXdzp&#10;WXba1bx9JiB4LKrqK2q+vPtaddTGKrCF4cCAIs6Dq7iwcDxs3iagoiA7rAOThV+KsFz0XuaYuXDj&#10;HXV7KVSCcMzQQinSZFrHvCSPcRAa4uSdQ+tRkmwL7Vq8Jbiv9ciYd+2x4rRQYkOrkvLL/uotNPnk&#10;W0+/tkGbk/s5fuykW8vU2tf+0MxACd3lGX60P52F8Rj+v6Qf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4PEjK8AAAA&#10;2wAAAA8AAAAAAAAAAQAgAAAAIgAAAGRycy9kb3ducmV2LnhtbFBLAQIUABQAAAAIAIdO4kAzLwWe&#10;OwAAADkAAAAQAAAAAAAAAAEAIAAAAAsBAABkcnMvc2hhcGV4bWwueG1sUEsFBgAAAAAGAAYAWwEA&#10;ALUDAAAAAA==&#10;" adj="1799,5823">
                        <v:fill on="f" focussize="0,0"/>
                        <v:stroke color="#000000" joinstyle="round"/>
                        <v:imagedata o:title=""/>
                        <o:lock v:ext="edit" aspectratio="f"/>
                      </v:shape>
                      <v:rect id="_x0000_s1026" o:spid="_x0000_s1026" o:spt="1" style="position:absolute;left:4051;top:8169;height:371;width:1428;" fillcolor="#FFFFFF" filled="t" stroked="f" coordsize="21600,21600" o:gfxdata="UEsDBAoAAAAAAIdO4kAAAAAAAAAAAAAAAAAEAAAAZHJzL1BLAwQUAAAACACHTuJAlUGEXr8AAADb&#10;AAAADwAAAGRycy9kb3ducmV2LnhtbEWPQWvCQBSE7wX/w/IEb3VjsZKm2XiwKBZaQSt4fWRfk2j2&#10;7ZJdo+2v7xYEj8PMfMPk86tpRU+dbywrmIwTEMSl1Q1XCvZfy8cUhA/IGlvLpOCHPMyLwUOOmbYX&#10;3lK/C5WIEPYZKqhDcJmUvqzJoB9bRxy9b9sZDFF2ldQdXiLctPIpSWbSYMNxoUZHi5rK0+5sFPzK&#10;88fxPd24l9X+rT+49PB5WrJSo+EkeQUR6Bru4Vt7rRVMn+H/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BhF6/&#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ind w:firstLine="210" w:firstLineChars="100"/>
                                <w:jc w:val="left"/>
                                <w:rPr>
                                  <w:sz w:val="21"/>
                                  <w:szCs w:val="21"/>
                                </w:rPr>
                              </w:pPr>
                              <w:r>
                                <w:rPr>
                                  <w:rFonts w:hint="eastAsia" w:ascii="宋体" w:hAnsi="宋体"/>
                                  <w:sz w:val="21"/>
                                  <w:szCs w:val="21"/>
                                </w:rPr>
                                <w:t>外部装饰</w:t>
                              </w:r>
                            </w:p>
                          </w:txbxContent>
                        </v:textbox>
                      </v:rect>
                      <v:rect id="_x0000_s1026" o:spid="_x0000_s1026" o:spt="1" style="position:absolute;left:4031;top:8401;height:373;width:1428;" fillcolor="#FFFFFF" filled="t" stroked="f" coordsize="21600,21600" o:gfxdata="UEsDBAoAAAAAAIdO4kAAAAAAAAAAAAAAAAAEAAAAZHJzL1BLAwQUAAAACACHTuJAZZMaKb4AAADb&#10;AAAADwAAAGRycy9kb3ducmV2LnhtbEWPQWvCQBSE70L/w/IKvdWNpUgaXT1YFAsqmApeH9lnEs2+&#10;XbJrtP56Vyh4HGbmG2Y8vZpGdNT62rKCQT8BQVxYXXOpYPc7f09B+ICssbFMCv7Iw3Ty0htjpu2F&#10;t9TloRQRwj5DBVUILpPSFxUZ9H3riKN3sK3BEGVbSt3iJcJNIz+SZCgN1hwXKnQ0q6g45Wej4CbP&#10;q+NPunFfi913t3fpfn2as1Jvr4NkBCLQNTzD/+2lVvA5hMeX+APk5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ZMaKb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ind w:firstLine="210" w:firstLineChars="100"/>
                                <w:jc w:val="left"/>
                                <w:rPr>
                                  <w:sz w:val="21"/>
                                  <w:szCs w:val="21"/>
                                </w:rPr>
                              </w:pPr>
                              <w:r>
                                <w:rPr>
                                  <w:rFonts w:hint="eastAsia" w:ascii="宋体" w:hAnsi="宋体"/>
                                  <w:sz w:val="21"/>
                                  <w:szCs w:val="21"/>
                                </w:rPr>
                                <w:t>内部装饰</w:t>
                              </w:r>
                            </w:p>
                          </w:txbxContent>
                        </v:textbox>
                      </v:rect>
                      <v:rect id="_x0000_s1026" o:spid="_x0000_s1026" o:spt="1" style="position:absolute;left:4027;top:8664;height:371;width:1428;" fillcolor="#FFFFFF" filled="t" stroked="f" coordsize="21600,21600" o:gfxdata="UEsDBAoAAAAAAIdO4kAAAAAAAAAAAAAAAAAEAAAAZHJzL1BLAwQUAAAACACHTuJACt+/sr8AAADb&#10;AAAADwAAAGRycy9kb3ducmV2LnhtbEWPQWvCQBSE7wX/w/IEb3VjkZqm2XiwKBZaQSt4fWRfk2j2&#10;7ZJdo+2v7xYEj8PMfMPk86tpRU+dbywrmIwTEMSl1Q1XCvZfy8cUhA/IGlvLpOCHPMyLwUOOmbYX&#10;3lK/C5WIEPYZKqhDcJmUvqzJoB9bRxy9b9sZDFF2ldQdXiLctPIpSZ6lwYbjQo2OFjWVp93ZKPiV&#10;54/je7pxL6v9W39w6eHztGSlRsNJ8goi0DXcw7f2WiuYzuD/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fv7K/&#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ind w:firstLine="210" w:firstLineChars="100"/>
                                <w:jc w:val="left"/>
                              </w:pPr>
                              <w:r>
                                <w:rPr>
                                  <w:rFonts w:hint="eastAsia" w:ascii="宋体" w:hAnsi="宋体"/>
                                  <w:sz w:val="21"/>
                                  <w:szCs w:val="21"/>
                                </w:rPr>
                                <w:t>场地平整</w:t>
                              </w:r>
                            </w:p>
                          </w:txbxContent>
                        </v:textbox>
                      </v:rect>
                      <v:rect id="_x0000_s1026" o:spid="_x0000_s1026" o:spt="1" style="position:absolute;left:8104;top:5031;height:421;width:881;" fillcolor="#FFFFFF" filled="t" stroked="f" coordsize="21600,21600" o:gfxdata="UEsDBAoAAAAAAIdO4kAAAAAAAAAAAAAAAAAEAAAAZHJzL1BLAwQUAAAACACHTuJAe0ArwLwAAADb&#10;AAAADwAAAGRycy9kb3ducmV2LnhtbEVPy2rCQBTdF/oPwy24q5OIlJg6ZqGktNAWfIDbS+Y2icnc&#10;GTJjtH69syh0eTjvZXE1vRhp8K1lBek0AUFcWd1yreCwL58zED4ga+wtk4Jf8lCsHh+WmGt74S2N&#10;u1CLGMI+RwVNCC6X0lcNGfRT64gj92MHgyHCoZZ6wEsMN72cJcmLNNhybGjQ0bqhqtudjYKbPH+e&#10;PrJvt3g7bMajy45fXclKTZ7S5BVEoGv4F/+537WCeRwbv8Qf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tAK8C8AAAA&#10;2wAAAA8AAAAAAAAAAQAgAAAAIgAAAGRycy9kb3ducmV2LnhtbFBLAQIUABQAAAAIAIdO4kAzLwWe&#10;OwAAADkAAAAQAAAAAAAAAAEAIAAAAAsBAABkcnMvc2hhcGV4bWwueG1sUEsFBgAAAAAGAAYAWwEA&#10;ALU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扬尘</w:t>
                              </w:r>
                            </w:p>
                          </w:txbxContent>
                        </v:textbox>
                      </v:rect>
                      <v:rect id="_x0000_s1026" o:spid="_x0000_s1026" o:spt="1" style="position:absolute;left:8120;top:5427;height:423;width:881;" fillcolor="#FFFFFF" filled="t" stroked="f" coordsize="21600,21600" o:gfxdata="UEsDBAoAAAAAAIdO4kAAAAAAAAAAAAAAAAAEAAAAZHJzL1BLAwQUAAAACACHTuJAFAyOW78AAADb&#10;AAAADwAAAGRycy9kb3ducmV2LnhtbEWPT2vCQBTE74LfYXmCN90oUmKa1UPFUqEt+AdyfWRfk9Ts&#10;2yW7Ru2n7xYKHoeZ+Q2Tr2+mFT11vrGsYDZNQBCXVjdcKTgdt5MUhA/IGlvLpOBOHtar4SDHTNsr&#10;76k/hEpECPsMFdQhuExKX9Zk0E+tI47el+0Mhii7SuoOrxFuWjlPkidpsOG4UKOjl5rK8+FiFPzI&#10;y/v3Lv10y9fTpi9cWnyct6zUeDRLnkEEuoVH+L/9phUslvD3Jf4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Mjlu/&#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噪声</w:t>
                              </w:r>
                            </w:p>
                          </w:txbxContent>
                        </v:textbox>
                      </v:rect>
                      <v:rect id="_x0000_s1026" o:spid="_x0000_s1026" o:spt="1" style="position:absolute;left:8120;top:6091;height:422;width:881;" fillcolor="#FFFFFF" filled="t" stroked="f" coordsize="21600,21600" o:gfxdata="UEsDBAoAAAAAAIdO4kAAAAAAAAAAAAAAAAAEAAAAZHJzL1BLAwQUAAAACACHTuJAAO+xG7wAAADb&#10;AAAADwAAAGRycy9kb3ducmV2LnhtbEVPy2rCQBTdF/oPwy24q5MIlpg6ZqGktNAWfIDbS+Y2icnc&#10;GTJjtH69syh0eTjvZXE1vRhp8K1lBek0AUFcWd1yreCwL58zED4ga+wtk4Jf8lCsHh+WmGt74S2N&#10;u1CLGMI+RwVNCC6X0lcNGfRT64gj92MHgyHCoZZ6wEsMN72cJcmLNNhybGjQ0bqhqtudjYKbPH+e&#10;PrJvt3g7bMajy45fXclKTZ7S5BVEoGv4F/+537WCeVwfv8Qf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DvsRu8AAAA&#10;2wAAAA8AAAAAAAAAAQAgAAAAIgAAAGRycy9kb3ducmV2LnhtbFBLAQIUABQAAAAIAIdO4kAzLwWe&#10;OwAAADkAAAAQAAAAAAAAAAEAIAAAAAsBAABkcnMvc2hhcGV4bWwueG1sUEsFBgAAAAAGAAYAWwEA&#10;ALU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扬尘</w:t>
                              </w:r>
                            </w:p>
                          </w:txbxContent>
                        </v:textbox>
                      </v:rect>
                      <v:rect id="_x0000_s1026" o:spid="_x0000_s1026" o:spt="1" style="position:absolute;left:8103;top:6397;height:423;width:881;" fillcolor="#FFFFFF" filled="t" stroked="f" coordsize="21600,21600" o:gfxdata="UEsDBAoAAAAAAIdO4kAAAAAAAAAAAAAAAAAEAAAAZHJzL1BLAwQUAAAACACHTuJAb6MUgL4AAADb&#10;AAAADwAAAGRycy9kb3ducmV2LnhtbEWPT2vCQBTE70K/w/IK3nQToRJTVw8tSgUraAWvj+xrkpp9&#10;u2TX+OfTdwXB4zAzv2Gm84tpREetry0rSIcJCOLC6ppLBfufxSAD4QOyxsYyKbiSh/nspTfFXNsz&#10;b6nbhVJECPscFVQhuFxKX1Rk0A+tI47er20NhijbUuoWzxFuGjlKkrE0WHNcqNDRR0XFcXcyCm7y&#10;tP5bZRs3We4/u4PLDt/HBSvVf02TdxCBLuEZfrS/tIK3FO5f4g+Qs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6MUgL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噪声</w:t>
                              </w:r>
                            </w:p>
                          </w:txbxContent>
                        </v:textbox>
                      </v:rect>
                      <v:rect id="_x0000_s1026" o:spid="_x0000_s1026" o:spt="1" style="position:absolute;left:8120;top:7004;height:423;width:881;" fillcolor="#FFFFFF" filled="t" stroked="f" coordsize="21600,21600" o:gfxdata="UEsDBAoAAAAAAIdO4kAAAAAAAAAAAAAAAAAEAAAAZHJzL1BLAwQUAAAACACHTuJAn3GK978AAADb&#10;AAAADwAAAGRycy9kb3ducmV2LnhtbEWPQWvCQBSE74X+h+UVvOnGgCVNXT20pChUwVTw+si+JqnZ&#10;t0t2jba/3hWEHoeZ+YaZLy+mEwP1vrWsYDpJQBBXVrdcK9h/FeMMhA/IGjvLpOCXPCwXjw9zzLU9&#10;846GMtQiQtjnqKAJweVS+qohg35iHXH0vm1vMETZ11L3eI5w08k0SZ6lwZbjQoOO3hqqjuXJKPiT&#10;p8+fdbZ1Lx/79+HgssPmWLBSo6dp8goi0CX8h+/tlVYwS+H2Jf4Aub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xive/&#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噪声</w:t>
                              </w:r>
                            </w:p>
                          </w:txbxContent>
                        </v:textbox>
                      </v:rect>
                      <v:rect id="_x0000_s1026" o:spid="_x0000_s1026" o:spt="1" style="position:absolute;left:8120;top:7302;height:423;width:881;" fillcolor="#FFFFFF" filled="t" stroked="f" coordsize="21600,21600" o:gfxdata="UEsDBAoAAAAAAIdO4kAAAAAAAAAAAAAAAAAEAAAAZHJzL1BLAwQUAAAACACHTuJA8D0vbL8AAADb&#10;AAAADwAAAGRycy9kb3ducmV2LnhtbEWPQWvCQBSE7wX/w/IEb3VjpZKm2XiwKBZaQSt4fWRfk2j2&#10;7ZJdo+2v7xYEj8PMfMPk86tpRU+dbywrmIwTEMSl1Q1XCvZfy8cUhA/IGlvLpOCHPMyLwUOOmbYX&#10;3lK/C5WIEPYZKqhDcJmUvqzJoB9bRxy9b9sZDFF2ldQdXiLctPIpSWbSYMNxoUZHi5rK0+5sFPzK&#10;88fxPd24l9X+rT+49PB5WrJSo+EkeQUR6Bru4Vt7rRU8T+H/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9L2y/&#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废渣</w:t>
                              </w:r>
                            </w:p>
                          </w:txbxContent>
                        </v:textbox>
                      </v:rect>
                      <v:rect id="_x0000_s1026" o:spid="_x0000_s1026" o:spt="1" style="position:absolute;left:8120;top:7613;height:423;width:1346;" fillcolor="#FFFFFF" filled="t" stroked="f" coordsize="21600,21600" o:gfxdata="UEsDBAoAAAAAAIdO4kAAAAAAAAAAAAAAAAAEAAAAZHJzL1BLAwQUAAAACACHTuJAf9S3GL8AAADb&#10;AAAADwAAAGRycy9kb3ducmV2LnhtbEWPQWvCQBSE7wX/w/IEb3VjsZKm2XiwKBZaQSt4fWRfk2j2&#10;7ZJdo+2v7xYEj8PMfMPk86tpRU+dbywrmIwTEMSl1Q1XCvZfy8cUhA/IGlvLpOCHPMyLwUOOmbYX&#10;3lK/C5WIEPYZKqhDcJmUvqzJoB9bRxy9b9sZDFF2ldQdXiLctPIpSWbSYMNxoUZHi5rK0+5sFPzK&#10;88fxPd24l9X+rT+49PB5WrJSo+EkeQUR6Bru4Vt7rRU8T+H/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txi/&#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振动、废气</w:t>
                              </w:r>
                            </w:p>
                          </w:txbxContent>
                        </v:textbox>
                      </v:rect>
                      <v:rect id="_x0000_s1026" o:spid="_x0000_s1026" o:spt="1" style="position:absolute;left:8120;top:7978;height:423;width:881;" fillcolor="#FFFFFF" filled="t" stroked="f" coordsize="21600,21600" o:gfxdata="UEsDBAoAAAAAAIdO4kAAAAAAAAAAAAAAAAAEAAAAZHJzL1BLAwQUAAAACACHTuJAEJgSg74AAADb&#10;AAAADwAAAGRycy9kb3ducmV2LnhtbEWPQWvCQBSE74X+h+UVetONBUsas3qwKBa0oBVyfWSfSTT7&#10;dsmuUfvr3YLQ4zAz3zD57Gpa0VPnG8sKRsMEBHFpdcOVgv3PYpCC8AFZY2uZFNzIw2z6/JRjpu2F&#10;t9TvQiUihH2GCuoQXCalL2sy6IfWEUfvYDuDIcqukrrDS4SbVr4lybs02HBcqNHRvKbytDsbBb/y&#10;vD5+pd/uY7n/7AuXFpvTgpV6fRklExCBruE//GivtILxGP6+xB8gp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gSg7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噪声</w:t>
                              </w:r>
                            </w:p>
                          </w:txbxContent>
                        </v:textbox>
                      </v:rect>
                      <v:rect id="_x0000_s1026" o:spid="_x0000_s1026" o:spt="1" style="position:absolute;left:8120;top:8351;height:423;width:881;" fillcolor="#FFFFFF" filled="t" stroked="f" coordsize="21600,21600" o:gfxdata="UEsDBAoAAAAAAIdO4kAAAAAAAAAAAAAAAAAEAAAAZHJzL1BLAwQUAAAACACHTuJA4EqM9L4AAADb&#10;AAAADwAAAGRycy9kb3ducmV2LnhtbEWPQWvCQBSE70L/w/IKvdWNhUoaXT1YFAsqmApeH9lnEs2+&#10;XbJrtP56Vyh4HGbmG2Y8vZpGdNT62rKCQT8BQVxYXXOpYPc7f09B+ICssbFMCv7Iw3Ty0htjpu2F&#10;t9TloRQRwj5DBVUILpPSFxUZ9H3riKN3sK3BEGVbSt3iJcJNIz+SZCgN1hwXKnQ0q6g45Wej4CbP&#10;q+NPunFfi913t3fpfn2as1Jvr4NkBCLQNTzD/+2lVvA5hMeX+APk5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EqM9L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废渣</w:t>
                              </w:r>
                            </w:p>
                          </w:txbxContent>
                        </v:textbox>
                      </v:rect>
                      <v:rect id="_x0000_s1026" o:spid="_x0000_s1026" o:spt="1" style="position:absolute;left:8120;top:8890;height:423;width:881;" fillcolor="#FFFFFF" filled="t" stroked="f" coordsize="21600,21600" o:gfxdata="UEsDBAoAAAAAAIdO4kAAAAAAAAAAAAAAAAAEAAAAZHJzL1BLAwQUAAAACACHTuJAjwYpb78AAADb&#10;AAAADwAAAGRycy9kb3ducmV2LnhtbEWPQWvCQBSE7wX/w/IEb3VjwZqm2XiwKBZaQSt4fWRfk2j2&#10;7ZJdo+2v7xYEj8PMfMPk86tpRU+dbywrmIwTEMSl1Q1XCvZfy8cUhA/IGlvLpOCHPMyLwUOOmbYX&#10;3lK/C5WIEPYZKqhDcJmUvqzJoB9bRxy9b9sZDFF2ldQdXiLctPIpSZ6lwYbjQo2OFjWVp93ZKPiV&#10;54/je7pxL6v9W39w6eHztGSlRsNJ8goi0DXcw7f2WiuYzuD/S/wB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GKW+/&#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噪声</w:t>
                              </w:r>
                            </w:p>
                          </w:txbxContent>
                        </v:textbox>
                      </v:rect>
                      <v:rect id="_x0000_s1026" o:spid="_x0000_s1026" o:spt="1" style="position:absolute;left:8120;top:9706;height:423;width:881;" fillcolor="#FFFFFF" filled="t" stroked="f" coordsize="21600,21600" o:gfxdata="UEsDBAoAAAAAAIdO4kAAAAAAAAAAAAAAAAAEAAAAZHJzL1BLAwQUAAAACACHTuJA/pm9HbwAAADb&#10;AAAADwAAAGRycy9kb3ducmV2LnhtbEVPy2rCQBTdF/oPwy24q5MIlpg6ZqGktNAWfIDbS+Y2icnc&#10;GTJjtH69syh0eTjvZXE1vRhp8K1lBek0AUFcWd1yreCwL58zED4ga+wtk4Jf8lCsHh+WmGt74S2N&#10;u1CLGMI+RwVNCC6X0lcNGfRT64gj92MHgyHCoZZ6wEsMN72cJcmLNNhybGjQ0bqhqtudjYKbPH+e&#10;PrJvt3g7bMajy45fXclKTZ7S5BVEoGv4F/+537WCeRwbv8Qf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6ZvR28AAAA&#10;2wAAAA8AAAAAAAAAAQAgAAAAIgAAAGRycy9kb3ducmV2LnhtbFBLAQIUABQAAAAIAIdO4kAzLwWe&#10;OwAAADkAAAAQAAAAAAAAAAEAIAAAAAsBAABkcnMvc2hhcGV4bWwueG1sUEsFBgAAAAAGAAYAWwEA&#10;ALU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废渣</w:t>
                              </w:r>
                            </w:p>
                          </w:txbxContent>
                        </v:textbox>
                      </v:rect>
                      <v:rect id="_x0000_s1026" o:spid="_x0000_s1026" o:spt="1" style="position:absolute;left:8120;top:9192;height:423;width:881;" fillcolor="#FFFFFF" filled="t" stroked="f" coordsize="21600,21600" o:gfxdata="UEsDBAoAAAAAAIdO4kAAAAAAAAAAAAAAAAAEAAAAZHJzL1BLAwQUAAAACACHTuJAkdUYhr8AAADb&#10;AAAADwAAAGRycy9kb3ducmV2LnhtbEWPT2vCQBTE74LfYXmCN90oWGKa1UPFUqEt+AdyfWRfk9Ts&#10;2yW7Ru2n7xYKHoeZ+Q2Tr2+mFT11vrGsYDZNQBCXVjdcKTgdt5MUhA/IGlvLpOBOHtar4SDHTNsr&#10;76k/hEpECPsMFdQhuExKX9Zk0E+tI47el+0Mhii7SuoOrxFuWjlPkidpsOG4UKOjl5rK8+FiFPzI&#10;y/v3Lv10y9fTpi9cWnyct6zUeDRLnkEEuoVH+L/9phUslvD3Jf4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HVGIa/&#10;AAAA2wAAAA8AAAAAAAAAAQAgAAAAIgAAAGRycy9kb3ducmV2LnhtbFBLAQIUABQAAAAIAIdO4kAz&#10;LwWeOwAAADkAAAAQAAAAAAAAAAEAIAAAAA4BAABkcnMvc2hhcGV4bWwueG1sUEsFBgAAAAAGAAYA&#10;WwEAALgDA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废水</w:t>
                              </w:r>
                            </w:p>
                          </w:txbxContent>
                        </v:textbox>
                      </v:rect>
                      <v:rect id="_x0000_s1026" o:spid="_x0000_s1026" o:spt="1" style="position:absolute;left:8120;top:9428;height:422;width:881;" fillcolor="#FFFFFF" filled="t" stroked="f" coordsize="21600,21600" o:gfxdata="UEsDBAoAAAAAAIdO4kAAAAAAAAAAAAAAAAAEAAAAZHJzL1BLAwQUAAAACACHTuJAzoN7prsAAADb&#10;AAAADwAAAGRycy9kb3ducmV2LnhtbEVPy4rCMBTdC/MP4Q7MTlNdSO0YXTg4OKCCVXB7ae601eYm&#10;NLE+vt4sBJeH857Ob6YRHbW+tqxgOEhAEBdW11wqOOyX/RSED8gaG8uk4E4e5rOP3hQzba+8oy4P&#10;pYgh7DNUUIXgMil9UZFBP7COOHL/tjUYImxLqVu8xnDTyFGSjKXBmmNDhY4WFRXn/GIUPORlffpL&#10;t27ye/jpji49bs5LVurrc5h8gwh0C2/xy73SCsZxffwSf4Cc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N7prsAAADb&#10;AAAADwAAAAAAAAABACAAAAAiAAAAZHJzL2Rvd25yZXYueG1sUEsBAhQAFAAAAAgAh07iQDMvBZ47&#10;AAAAOQAAABAAAAAAAAAAAQAgAAAACgEAAGRycy9zaGFwZXhtbC54bWxQSwUGAAAAAAYABgBbAQAA&#10;tA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废气</w:t>
                              </w:r>
                            </w:p>
                          </w:txbxContent>
                        </v:textbox>
                      </v:rect>
                      <v:shape id="自选图形 61" o:spid="_x0000_s1026" o:spt="87" type="#_x0000_t87" style="position:absolute;left:3639;top:5267;height:3768;width:412;" filled="f" stroked="t" coordsize="21600,21600" o:gfxdata="UEsDBAoAAAAAAIdO4kAAAAAAAAAAAAAAAAAEAAAAZHJzL1BLAwQUAAAACACHTuJARjsulb4AAADb&#10;AAAADwAAAGRycy9kb3ducmV2LnhtbEWP3YrCMBSE7xd8h3CEvRFNW0TXahTcVRSFBX8e4Ngc22Jz&#10;UpqsP29vBGEvh5n5hpnM7qYSV2pcaVlB3ItAEGdWl5wrOB6W3S8QziNrrCyTggc5mE1bHxNMtb3x&#10;jq57n4sAYZeigsL7OpXSZQUZdD1bEwfvbBuDPsgml7rBW4CbSiZRNJAGSw4LBdb0XVB22f8ZBZ3f&#10;UdJZ7bztb+I8Wfwchtv58qTUZzuOxiA83f1/+N1eawWDGF5fwg+Q0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jsulb4A&#10;AADbAAAADwAAAAAAAAABACAAAAAiAAAAZHJzL2Rvd25yZXYueG1sUEsBAhQAFAAAAAgAh07iQDMv&#10;BZ47AAAAOQAAABAAAAAAAAAAAQAgAAAADQEAAGRycy9zaGFwZXhtbC54bWxQSwUGAAAAAAYABgBb&#10;AQAAtwMAAAAA&#10;" adj="1799,10800">
                        <v:fill on="f" focussize="0,0"/>
                        <v:stroke color="#000000" joinstyle="round"/>
                        <v:imagedata o:title=""/>
                        <o:lock v:ext="edit" aspectratio="f"/>
                      </v:shape>
                      <v:shape id="自选图形 62" o:spid="_x0000_s1026" o:spt="87" type="#_x0000_t87" style="position:absolute;left:3784;top:9192;height:783;width:267;" filled="f" stroked="t" coordsize="21600,21600" o:gfxdata="UEsDBAoAAAAAAIdO4kAAAAAAAAAAAAAAAAAEAAAAZHJzL1BLAwQUAAAACACHTuJAtumw4r4AAADb&#10;AAAADwAAAGRycy9kb3ducmV2LnhtbEWP3YrCMBSE7xd8h3CEvRFNW0TXahTcVRSFBX8e4Ngc22Jz&#10;UpqsP29vBGEvh5n5hpnM7qYSV2pcaVlB3ItAEGdWl5wrOB6W3S8QziNrrCyTggc5mE1bHxNMtb3x&#10;jq57n4sAYZeigsL7OpXSZQUZdD1bEwfvbBuDPsgml7rBW4CbSiZRNJAGSw4LBdb0XVB22f8ZBZ3f&#10;UdJZ7bztb+I8Wfwchtv58qTUZzuOxiA83f1/+N1eawWDBF5fwg+Q0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mw4r4A&#10;AADbAAAADwAAAAAAAAABACAAAAAiAAAAZHJzL2Rvd25yZXYueG1sUEsBAhQAFAAAAAgAh07iQDMv&#10;BZ47AAAAOQAAABAAAAAAAAAAAQAgAAAADQEAAGRycy9zaGFwZXhtbC54bWxQSwUGAAAAAAYABgBb&#10;AQAAtwMAAAAA&#10;" adj="1799,10800">
                        <v:fill on="f" focussize="0,0"/>
                        <v:stroke color="#000000" joinstyle="round"/>
                        <v:imagedata o:title=""/>
                        <o:lock v:ext="edit" aspectratio="f"/>
                      </v:shape>
                      <v:rect id="_x0000_s1026" o:spid="_x0000_s1026" o:spt="1" style="position:absolute;left:2193;top:3113;height:428;width:1661;" fillcolor="#FFFFFF" filled="t" stroked="f" coordsize="21600,21600" o:gfxdata="UEsDBAoAAAAAAIdO4kAAAAAAAAAAAAAAAAAEAAAAZHJzL1BLAwQUAAAACACHTuJAPlHl0b4AAADb&#10;AAAADwAAAGRycy9kb3ducmV2LnhtbEWPQWvCQBSE70L/w/IKvdWNLUgaXT1YFAsqmApeH9lnEs2+&#10;XbJrtP56Vyh4HGbmG2Y8vZpGdNT62rKCQT8BQVxYXXOpYPc7f09B+ICssbFMCv7Iw3Ty0htjpu2F&#10;t9TloRQRwj5DBVUILpPSFxUZ9H3riKN3sK3BEGVbSt3iJcJNIz+SZCgN1hwXKnQ0q6g45Wej4CbP&#10;q+NPunFfi913t3fpfn2as1Jvr4NkBCLQNTzD/+2lVjD8hMeX+APk5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lHl0b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pPr>
                              <w:r>
                                <w:rPr>
                                  <w:rFonts w:hint="eastAsia" w:ascii="宋体" w:hAnsi="宋体"/>
                                  <w:sz w:val="21"/>
                                  <w:szCs w:val="21"/>
                                </w:rPr>
                                <w:t>前期准备阶段</w:t>
                              </w:r>
                            </w:p>
                          </w:txbxContent>
                        </v:textbox>
                      </v:rect>
                      <v:rect id="_x0000_s1026" o:spid="_x0000_s1026" o:spt="1" style="position:absolute;left:2018;top:6926;height:428;width:1661;" fillcolor="#FFFFFF" filled="t" stroked="f" coordsize="21600,21600" o:gfxdata="UEsDBAoAAAAAAIdO4kAAAAAAAAAAAAAAAAAEAAAAZHJzL1BLAwQUAAAACACHTuJAsbh9pb4AAADb&#10;AAAADwAAAGRycy9kb3ducmV2LnhtbEWPQWvCQBSE70L/w/IKvdWNpUgaXT1YFAsqmApeH9lnEs2+&#10;XbJrtP56Vyh4HGbmG2Y8vZpGdNT62rKCQT8BQVxYXXOpYPc7f09B+ICssbFMCv7Iw3Ty0htjpu2F&#10;t9TloRQRwj5DBVUILpPSFxUZ9H3riKN3sK3BEGVbSt3iJcJNIz+SZCgN1hwXKnQ0q6g45Wej4CbP&#10;q+NPunFfi913t3fpfn2as1Jvr4NkBCLQNTzD/+2lVjD8hMeX+APk5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h9pb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ind w:firstLine="105" w:firstLineChars="50"/>
                                <w:jc w:val="left"/>
                                <w:rPr>
                                  <w:sz w:val="21"/>
                                  <w:szCs w:val="21"/>
                                </w:rPr>
                              </w:pPr>
                              <w:r>
                                <w:rPr>
                                  <w:rFonts w:hint="eastAsia" w:ascii="宋体" w:hAnsi="宋体"/>
                                  <w:sz w:val="21"/>
                                  <w:szCs w:val="21"/>
                                </w:rPr>
                                <w:t>建设施工阶段</w:t>
                              </w:r>
                            </w:p>
                          </w:txbxContent>
                        </v:textbox>
                      </v:rect>
                      <v:rect id="_x0000_s1026" o:spid="_x0000_s1026" o:spt="1" style="position:absolute;left:2123;top:9424;height:426;width:1661;" fillcolor="#FFFFFF" filled="t" stroked="f" coordsize="21600,21600" o:gfxdata="UEsDBAoAAAAAAIdO4kAAAAAAAAAAAAAAAAAEAAAAZHJzL1BLAwQUAAAACACHTuJA3vTYPr4AAADb&#10;AAAADwAAAGRycy9kb3ducmV2LnhtbEWPQWvCQBSE70L/w/IKvdWNhUoaXT1YFAsqmApeH9lnEs2+&#10;XbJrtP56Vyh4HGbmG2Y8vZpGdNT62rKCQT8BQVxYXXOpYPc7f09B+ICssbFMCv7Iw3Ty0htjpu2F&#10;t9TloRQRwj5DBVUILpPSFxUZ9H3riKN3sK3BEGVbSt3iJcJNIz+SZCgN1hwXKnQ0q6g45Wej4CbP&#10;q+NPunFfi913t3fpfn2as1Jvr4NkBCLQNTzD/+2lVjD8hMeX+APk5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vTYPr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ind w:firstLine="105" w:firstLineChars="50"/>
                                <w:jc w:val="left"/>
                                <w:rPr>
                                  <w:sz w:val="21"/>
                                  <w:szCs w:val="21"/>
                                </w:rPr>
                              </w:pPr>
                              <w:r>
                                <w:rPr>
                                  <w:rFonts w:hint="eastAsia" w:ascii="宋体" w:hAnsi="宋体"/>
                                  <w:sz w:val="21"/>
                                  <w:szCs w:val="21"/>
                                </w:rPr>
                                <w:t>投入运营阶段</w:t>
                              </w:r>
                            </w:p>
                          </w:txbxContent>
                        </v:textbox>
                      </v:rect>
                      <v:rect id="_x0000_s1026" o:spid="_x0000_s1026" o:spt="1" style="position:absolute;left:8086;top:5746;height:423;width:1333;" fillcolor="#FFFFFF" filled="t" stroked="f" coordsize="21600,21600" o:gfxdata="UEsDBAoAAAAAAIdO4kAAAAAAAAAAAAAAAAAEAAAAZHJzL1BLAwQUAAAACACHTuJALiZGSb4AAADb&#10;AAAADwAAAGRycy9kb3ducmV2LnhtbEWPQWvCQBSE74L/YXmCN7OxhxDTrB4qSgVb0ApeH9nXJDX7&#10;dsmuUfvru4VCj8PMfMOUq7vpxEC9by0rmCcpCOLK6pZrBaePzSwH4QOyxs4yKXiQh9VyPCqx0PbG&#10;BxqOoRYRwr5ABU0IrpDSVw0Z9Il1xNH7tL3BEGVfS93jLcJNJ5/SNJMGW44LDTp6aai6HK9Gwbe8&#10;7r92+btbbE/r4ezy89tlw0pNJ/P0GUSge/gP/7VftYIsg98v8QfI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iZGSb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水土流失</w:t>
                              </w:r>
                            </w:p>
                          </w:txbxContent>
                        </v:textbox>
                      </v:rect>
                      <v:rect id="_x0000_s1026" o:spid="_x0000_s1026" o:spt="1" style="position:absolute;left:8119;top:6682;height:423;width:1300;" fillcolor="#FFFFFF" filled="t" stroked="f" coordsize="21600,21600" o:gfxdata="UEsDBAoAAAAAAIdO4kAAAAAAAAAAAAAAAAAEAAAAZHJzL1BLAwQUAAAACACHTuJAQWrj0r4AAADb&#10;AAAADwAAAGRycy9kb3ducmV2LnhtbEWPQWvCQBSE74X+h+UVetONPdg0ZvVgUSxoQSvk+sg+k2j2&#10;7ZJdo/bXuwWhx2FmvmHy2dW0oqfON5YVjIYJCOLS6oYrBfufxSAF4QOyxtYyKbiRh9n0+SnHTNsL&#10;b6nfhUpECPsMFdQhuExKX9Zk0A+tI47ewXYGQ5RdJXWHlwg3rXxLkrE02HBcqNHRvKbytDsbBb/y&#10;vD5+pd/uY7n/7AuXFpvTgpV6fRklExCBruE//GivtILxO/x9iT9AT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rj0r4A&#10;AADbAAAADwAAAAAAAAABACAAAAAiAAAAZHJzL2Rvd25yZXYueG1sUEsBAhQAFAAAAAgAh07iQDMv&#10;BZ47AAAAOQAAABAAAAAAAAAAAQAgAAAADQEAAGRycy9zaGFwZXhtbC54bWxQSwUGAAAAAAYABgBb&#10;AQAAtwMAAAAA&#10;">
                        <v:fill on="t" opacity="0f" focussize="0,0"/>
                        <v:stroke on="f" weight="0pt"/>
                        <v:imagedata o:title=""/>
                        <o:lock v:ext="edit" aspectratio="f"/>
                        <v:textbox>
                          <w:txbxContent>
                            <w:p>
                              <w:pPr>
                                <w:spacing w:line="200" w:lineRule="atLeast"/>
                                <w:jc w:val="left"/>
                                <w:rPr>
                                  <w:sz w:val="21"/>
                                  <w:szCs w:val="21"/>
                                </w:rPr>
                              </w:pPr>
                              <w:r>
                                <w:rPr>
                                  <w:rFonts w:hint="eastAsia" w:ascii="宋体" w:hAnsi="宋体"/>
                                  <w:sz w:val="21"/>
                                  <w:szCs w:val="21"/>
                                </w:rPr>
                                <w:t>水土流失</w:t>
                              </w:r>
                            </w:p>
                          </w:txbxContent>
                        </v:textbox>
                      </v:rect>
                      <w10:wrap type="none"/>
                      <w10:anchorlock/>
                    </v:group>
                  </w:pict>
                </mc:Fallback>
              </mc:AlternateContent>
            </w:r>
          </w:p>
          <w:p>
            <w:pPr>
              <w:adjustRightInd w:val="0"/>
              <w:spacing w:line="360" w:lineRule="auto"/>
              <w:rPr>
                <w:rFonts w:hint="eastAsia"/>
                <w:b/>
                <w:color w:val="auto"/>
                <w:sz w:val="24"/>
                <w:lang w:val="en-US" w:eastAsia="zh-CN"/>
              </w:rPr>
            </w:pPr>
            <w:r>
              <w:rPr>
                <w:rFonts w:hint="eastAsia"/>
                <w:b/>
                <w:color w:val="auto"/>
                <w:sz w:val="24"/>
                <w:lang w:val="en-US" w:eastAsia="zh-CN"/>
              </w:rPr>
              <w:t>1.2配水管道</w:t>
            </w:r>
          </w:p>
          <w:p>
            <w:pPr>
              <w:spacing w:line="360" w:lineRule="auto"/>
              <w:ind w:firstLine="480" w:firstLineChars="200"/>
              <w:rPr>
                <w:rFonts w:hint="eastAsia"/>
                <w:color w:val="auto"/>
                <w:sz w:val="24"/>
              </w:rPr>
            </w:pPr>
            <w:r>
              <w:rPr>
                <w:color w:val="auto"/>
                <w:sz w:val="24"/>
              </w:rPr>
              <w:t>本项目为自来水供水管道</w:t>
            </w:r>
            <w:r>
              <w:rPr>
                <w:rFonts w:hint="eastAsia"/>
                <w:color w:val="auto"/>
                <w:sz w:val="24"/>
              </w:rPr>
              <w:t>工程，工程主要污染阶段为管线施工时，在工程施工完毕投入运行后，供水管道本身不会产生废气、废水、废渣等污染物，对区域环境不会产生污染。因此，评价仅详细描述供水管道的施工工艺流程及产排污节点，具体见图2。</w:t>
            </w:r>
          </w:p>
          <w:p>
            <w:pPr>
              <w:spacing w:line="360" w:lineRule="auto"/>
              <w:jc w:val="center"/>
              <w:rPr>
                <w:rFonts w:hint="eastAsia"/>
                <w:color w:val="auto"/>
                <w:sz w:val="24"/>
              </w:rPr>
            </w:pPr>
            <w:r>
              <w:rPr>
                <w:rFonts w:hint="eastAsia"/>
                <w:bCs/>
                <w:color w:val="auto"/>
                <w:sz w:val="24"/>
              </w:rPr>
              <mc:AlternateContent>
                <mc:Choice Requires="wps">
                  <w:drawing>
                    <wp:anchor distT="0" distB="0" distL="114300" distR="114300" simplePos="0" relativeHeight="251658240" behindDoc="0" locked="0" layoutInCell="1" allowOverlap="1">
                      <wp:simplePos x="0" y="0"/>
                      <wp:positionH relativeFrom="column">
                        <wp:posOffset>2628900</wp:posOffset>
                      </wp:positionH>
                      <wp:positionV relativeFrom="paragraph">
                        <wp:posOffset>2715895</wp:posOffset>
                      </wp:positionV>
                      <wp:extent cx="913130" cy="299085"/>
                      <wp:effectExtent l="0" t="0" r="1270" b="5715"/>
                      <wp:wrapNone/>
                      <wp:docPr id="1" name="文本框 2"/>
                      <wp:cNvGraphicFramePr/>
                      <a:graphic xmlns:a="http://schemas.openxmlformats.org/drawingml/2006/main">
                        <a:graphicData uri="http://schemas.microsoft.com/office/word/2010/wordprocessingShape">
                          <wps:wsp>
                            <wps:cNvSpPr txBox="1"/>
                            <wps:spPr>
                              <a:xfrm>
                                <a:off x="0" y="0"/>
                                <a:ext cx="913130" cy="299085"/>
                              </a:xfrm>
                              <a:prstGeom prst="rect">
                                <a:avLst/>
                              </a:prstGeom>
                              <a:solidFill>
                                <a:srgbClr val="FFFFFF"/>
                              </a:solidFill>
                              <a:ln w="9525">
                                <a:noFill/>
                              </a:ln>
                            </wps:spPr>
                            <wps:txbx>
                              <w:txbxContent>
                                <w:p>
                                  <w:pPr>
                                    <w:rPr>
                                      <w:sz w:val="20"/>
                                      <w:szCs w:val="20"/>
                                    </w:rPr>
                                  </w:pPr>
                                  <w:r>
                                    <w:rPr>
                                      <w:sz w:val="20"/>
                                      <w:szCs w:val="20"/>
                                    </w:rPr>
                                    <w:t>噪声</w:t>
                                  </w:r>
                                </w:p>
                              </w:txbxContent>
                            </wps:txbx>
                            <wps:bodyPr upright="1"/>
                          </wps:wsp>
                        </a:graphicData>
                      </a:graphic>
                    </wp:anchor>
                  </w:drawing>
                </mc:Choice>
                <mc:Fallback>
                  <w:pict>
                    <v:shape id="文本框 2" o:spid="_x0000_s1026" o:spt="202" type="#_x0000_t202" style="position:absolute;left:0pt;margin-left:207pt;margin-top:213.85pt;height:23.55pt;width:71.9pt;z-index:251658240;mso-width-relative:page;mso-height-relative:page;" fillcolor="#FFFFFF" filled="t" stroked="f" coordsize="21600,21600" o:gfxdata="UEsDBAoAAAAAAIdO4kAAAAAAAAAAAAAAAAAEAAAAZHJzL1BLAwQUAAAACACHTuJAj66dOtkAAAAL&#10;AQAADwAAAGRycy9kb3ducmV2LnhtbE2PzU7DMBCE70i8g7VIXBB1UiV1SeNUAgnEtT8PsIndJGq8&#10;jmK3ad+e5QS33Z3R7Dfl9uYGcbVT6D1pSBcJCEuNNz21Go6Hz9c1iBCRDA6erIa7DbCtHh9KLIyf&#10;aWev+9gKDqFQoIYuxrGQMjSddRgWfrTE2slPDiOvUyvNhDOHu0Euk2QlHfbEHzoc7Udnm/P+4jSc&#10;vueX/G2uv+JR7bLVO/aq9netn5/SZAMi2lv8M8MvPqNDxUy1v5AJYtCQpRl3iTwslQLBjjxXXKbm&#10;i8rWIKtS/u9Q/QBQSwMEFAAAAAgAh07iQJ8wqZmqAQAAMQMAAA4AAABkcnMvZTJvRG9jLnhtbK1S&#10;S27bMBDdF+gdCO5ryQpcxILlAG3gboq2QJoD0BQlESA5xJCx5Au0N+iqm+57Lp+jQ1p1+tkF0YLi&#10;zDw+znvDzc1kDTsoDBpcw5eLkjPlJLTa9Q2//7x7dc1ZiMK1woBTDT+qwG+2L19sRl+rCgYwrUJG&#10;JC7Uo2/4EKOviyLIQVkRFuCVo2IHaEWkEPuiRTESuzVFVZavixGw9QhShUDZ23ORbzN/1ykZP3Zd&#10;UJGZhlNvMa+Y131ai+1G1D0KP2g5tyGe0IUV2tGlF6pbEQV7QP0fldUSIUAXFxJsAV2npcoaSM2y&#10;/EfN3SC8ylrInOAvNoXno5UfDp+Q6ZZmx5kTlkZ0+vb19P3n6ccXViV7Rh9qQt15wsXpDUwJOucD&#10;JZPqqUOb/qSHUZ2MPl7MVVNkkpLr5dXyiiqSStV6XV6vEkvxeNhjiO8UWJY2DUeaXbZUHN6HeIb+&#10;hqS7Ahjd7rQxOcB+/9YgOwia8y5/M/tfMOPYSJ2sqlVmdpDOn6mNo2aS1rOmtIvTfpqF7qE9kv4H&#10;j7ofqLnsQIbTXLKK+Q2lwf8ZZ9LHl77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unTrZAAAA&#10;CwEAAA8AAAAAAAAAAQAgAAAAIgAAAGRycy9kb3ducmV2LnhtbFBLAQIUABQAAAAIAIdO4kCfMKmZ&#10;qgEAADEDAAAOAAAAAAAAAAEAIAAAACgBAABkcnMvZTJvRG9jLnhtbFBLBQYAAAAABgAGAFkBAABE&#10;BQAAAAA=&#10;">
                      <v:fill on="t" focussize="0,0"/>
                      <v:stroke on="f"/>
                      <v:imagedata o:title=""/>
                      <o:lock v:ext="edit" aspectratio="f"/>
                      <v:textbox>
                        <w:txbxContent>
                          <w:p>
                            <w:pPr>
                              <w:rPr>
                                <w:sz w:val="20"/>
                                <w:szCs w:val="20"/>
                              </w:rPr>
                            </w:pPr>
                            <w:r>
                              <w:rPr>
                                <w:sz w:val="20"/>
                                <w:szCs w:val="20"/>
                              </w:rPr>
                              <w:t>噪声</w:t>
                            </w:r>
                          </w:p>
                        </w:txbxContent>
                      </v:textbox>
                    </v:shape>
                  </w:pict>
                </mc:Fallback>
              </mc:AlternateContent>
            </w:r>
            <w:r>
              <w:rPr>
                <w:color w:val="auto"/>
              </w:rPr>
              <w:drawing>
                <wp:inline distT="0" distB="0" distL="114300" distR="114300">
                  <wp:extent cx="2601595" cy="3822065"/>
                  <wp:effectExtent l="0" t="0" r="825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2601595" cy="3822065"/>
                          </a:xfrm>
                          <a:prstGeom prst="rect">
                            <a:avLst/>
                          </a:prstGeom>
                          <a:noFill/>
                          <a:ln w="9525">
                            <a:noFill/>
                          </a:ln>
                        </pic:spPr>
                      </pic:pic>
                    </a:graphicData>
                  </a:graphic>
                </wp:inline>
              </w:drawing>
            </w:r>
          </w:p>
          <w:p>
            <w:pPr>
              <w:spacing w:line="360" w:lineRule="auto"/>
              <w:jc w:val="center"/>
              <w:rPr>
                <w:rFonts w:hint="eastAsia"/>
                <w:color w:val="auto"/>
                <w:sz w:val="24"/>
              </w:rPr>
            </w:pPr>
            <w:r>
              <w:rPr>
                <w:b/>
                <w:color w:val="auto"/>
                <w:szCs w:val="21"/>
              </w:rPr>
              <w:t>图</w:t>
            </w:r>
            <w:r>
              <w:rPr>
                <w:rFonts w:hint="eastAsia"/>
                <w:b/>
                <w:color w:val="auto"/>
                <w:szCs w:val="21"/>
              </w:rPr>
              <w:t>2</w:t>
            </w:r>
            <w:r>
              <w:rPr>
                <w:b/>
                <w:color w:val="auto"/>
                <w:szCs w:val="21"/>
              </w:rPr>
              <w:t xml:space="preserve">  </w:t>
            </w:r>
            <w:r>
              <w:rPr>
                <w:rFonts w:hint="eastAsia"/>
                <w:b/>
                <w:color w:val="auto"/>
                <w:szCs w:val="21"/>
              </w:rPr>
              <w:t>本项目施工工艺流程及</w:t>
            </w:r>
            <w:r>
              <w:rPr>
                <w:b/>
                <w:color w:val="auto"/>
                <w:szCs w:val="21"/>
              </w:rPr>
              <w:t>产污环节</w:t>
            </w:r>
            <w:r>
              <w:rPr>
                <w:rFonts w:hint="eastAsia"/>
                <w:b/>
                <w:color w:val="auto"/>
                <w:szCs w:val="21"/>
              </w:rPr>
              <w:t>图</w:t>
            </w:r>
          </w:p>
          <w:p>
            <w:pPr>
              <w:spacing w:line="360" w:lineRule="auto"/>
              <w:ind w:firstLine="480" w:firstLineChars="200"/>
              <w:rPr>
                <w:rFonts w:hint="eastAsia"/>
                <w:bCs/>
                <w:color w:val="auto"/>
                <w:sz w:val="24"/>
              </w:rPr>
            </w:pPr>
            <w:r>
              <w:rPr>
                <w:rFonts w:hint="eastAsia"/>
                <w:bCs/>
                <w:color w:val="auto"/>
                <w:sz w:val="24"/>
              </w:rPr>
              <w:t>本项目施工工艺流程概述如下：</w:t>
            </w:r>
          </w:p>
          <w:p>
            <w:pPr>
              <w:spacing w:line="360" w:lineRule="auto"/>
              <w:ind w:firstLine="480" w:firstLineChars="200"/>
              <w:rPr>
                <w:rFonts w:hint="eastAsia"/>
                <w:bCs/>
                <w:color w:val="auto"/>
                <w:sz w:val="24"/>
              </w:rPr>
            </w:pPr>
            <w:r>
              <w:rPr>
                <w:rFonts w:hint="eastAsia"/>
                <w:bCs/>
                <w:color w:val="auto"/>
                <w:sz w:val="24"/>
              </w:rPr>
              <w:t>（1）在工程施工前，首先要清理施工现场，然后进行管沟开挖、管沟穿越等工程施工；</w:t>
            </w:r>
          </w:p>
          <w:p>
            <w:pPr>
              <w:spacing w:line="360" w:lineRule="auto"/>
              <w:ind w:firstLine="480" w:firstLineChars="200"/>
              <w:rPr>
                <w:rFonts w:hint="eastAsia"/>
                <w:bCs/>
                <w:color w:val="auto"/>
                <w:sz w:val="24"/>
              </w:rPr>
            </w:pPr>
            <w:r>
              <w:rPr>
                <w:rFonts w:hint="eastAsia"/>
                <w:bCs/>
                <w:color w:val="auto"/>
                <w:sz w:val="24"/>
              </w:rPr>
              <w:t>（2）接着根据需要对管道行焊接，再将管道放至管沟内；</w:t>
            </w:r>
          </w:p>
          <w:p>
            <w:pPr>
              <w:spacing w:line="360" w:lineRule="auto"/>
              <w:ind w:firstLine="480" w:firstLineChars="200"/>
              <w:rPr>
                <w:rFonts w:hint="eastAsia"/>
                <w:bCs/>
                <w:color w:val="auto"/>
                <w:sz w:val="24"/>
              </w:rPr>
            </w:pPr>
            <w:r>
              <w:rPr>
                <w:rFonts w:hint="eastAsia"/>
                <w:bCs/>
                <w:color w:val="auto"/>
                <w:sz w:val="24"/>
              </w:rPr>
              <w:t>（3）最后对管道进行吹扫、试压、覆土回填、恢复地貌、绿化等扫尾施工。工程竣工验收合格后，本项目即可投入使用。</w:t>
            </w:r>
          </w:p>
          <w:p>
            <w:pPr>
              <w:numPr>
                <w:ilvl w:val="0"/>
                <w:numId w:val="8"/>
              </w:numPr>
              <w:adjustRightInd w:val="0"/>
              <w:spacing w:line="360" w:lineRule="auto"/>
              <w:ind w:left="360" w:leftChars="0" w:hanging="360" w:firstLineChars="0"/>
              <w:rPr>
                <w:rFonts w:hint="eastAsia"/>
                <w:b/>
                <w:color w:val="auto"/>
                <w:sz w:val="24"/>
                <w:lang w:val="en-US" w:eastAsia="zh-CN"/>
              </w:rPr>
            </w:pPr>
            <w:r>
              <w:rPr>
                <w:rFonts w:hint="eastAsia"/>
                <w:b/>
                <w:color w:val="auto"/>
                <w:sz w:val="24"/>
                <w:lang w:val="en-US" w:eastAsia="zh-CN"/>
              </w:rPr>
              <w:t>运营期工艺流程</w:t>
            </w:r>
          </w:p>
          <w:p>
            <w:pPr>
              <w:rPr>
                <w:rFonts w:hint="eastAsia"/>
                <w:color w:val="auto"/>
              </w:rPr>
            </w:pPr>
            <w:r>
              <w:rPr>
                <w:color w:val="auto"/>
              </w:rPr>
              <w:object>
                <v:shape id="_x0000_i1025" o:spt="75" type="#_x0000_t75" style="height:215.55pt;width:415.3pt;" o:ole="t" filled="f"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tabs>
                <w:tab w:val="left" w:pos="6480"/>
              </w:tabs>
              <w:spacing w:line="500" w:lineRule="exact"/>
              <w:ind w:firstLine="482" w:firstLineChars="200"/>
              <w:jc w:val="center"/>
              <w:rPr>
                <w:rFonts w:hint="eastAsia"/>
                <w:b/>
                <w:color w:val="auto"/>
                <w:kern w:val="0"/>
                <w:sz w:val="24"/>
              </w:rPr>
            </w:pPr>
            <w:r>
              <w:rPr>
                <w:rFonts w:hAnsi="宋体"/>
                <w:b/>
                <w:color w:val="auto"/>
                <w:kern w:val="0"/>
                <w:sz w:val="24"/>
              </w:rPr>
              <w:t>图</w:t>
            </w:r>
            <w:r>
              <w:rPr>
                <w:rFonts w:hint="eastAsia"/>
                <w:b/>
                <w:color w:val="auto"/>
                <w:kern w:val="0"/>
                <w:sz w:val="28"/>
                <w:szCs w:val="28"/>
                <w:lang w:val="en-US" w:eastAsia="zh-CN"/>
              </w:rPr>
              <w:t>3</w:t>
            </w:r>
            <w:r>
              <w:rPr>
                <w:rFonts w:hint="eastAsia"/>
                <w:b/>
                <w:color w:val="auto"/>
                <w:kern w:val="0"/>
                <w:sz w:val="24"/>
              </w:rPr>
              <w:t xml:space="preserve">  </w:t>
            </w:r>
            <w:r>
              <w:rPr>
                <w:rFonts w:hint="eastAsia" w:hAnsi="宋体"/>
                <w:b/>
                <w:color w:val="auto"/>
                <w:kern w:val="0"/>
                <w:sz w:val="24"/>
              </w:rPr>
              <w:t>营运期工艺</w:t>
            </w:r>
            <w:r>
              <w:rPr>
                <w:rFonts w:hAnsi="宋体"/>
                <w:b/>
                <w:color w:val="auto"/>
                <w:kern w:val="0"/>
                <w:sz w:val="24"/>
              </w:rPr>
              <w:t>流程及产污</w:t>
            </w:r>
            <w:r>
              <w:rPr>
                <w:rFonts w:hint="eastAsia" w:hAnsi="宋体"/>
                <w:b/>
                <w:color w:val="auto"/>
                <w:kern w:val="0"/>
                <w:sz w:val="24"/>
              </w:rPr>
              <w:t>节点图</w:t>
            </w:r>
          </w:p>
          <w:p>
            <w:pPr>
              <w:widowControl/>
              <w:spacing w:line="360" w:lineRule="auto"/>
              <w:rPr>
                <w:rFonts w:hint="eastAsia"/>
                <w:b/>
                <w:color w:val="auto"/>
                <w:kern w:val="0"/>
                <w:sz w:val="24"/>
              </w:rPr>
            </w:pPr>
            <w:r>
              <w:rPr>
                <w:rFonts w:hint="eastAsia"/>
                <w:b/>
                <w:color w:val="auto"/>
                <w:kern w:val="0"/>
                <w:sz w:val="24"/>
              </w:rPr>
              <w:t xml:space="preserve">净水厂原水净化工艺说明： </w:t>
            </w:r>
          </w:p>
          <w:p>
            <w:pPr>
              <w:widowControl/>
              <w:spacing w:line="360" w:lineRule="auto"/>
              <w:ind w:firstLine="480" w:firstLineChars="200"/>
              <w:rPr>
                <w:rFonts w:hint="eastAsia"/>
                <w:color w:val="auto"/>
                <w:kern w:val="0"/>
                <w:sz w:val="24"/>
              </w:rPr>
            </w:pPr>
            <w:r>
              <w:rPr>
                <w:rFonts w:hint="eastAsia"/>
                <w:color w:val="auto"/>
                <w:kern w:val="0"/>
                <w:sz w:val="24"/>
              </w:rPr>
              <w:t>（1）管道混合器</w:t>
            </w:r>
          </w:p>
          <w:p>
            <w:pPr>
              <w:widowControl/>
              <w:spacing w:line="360" w:lineRule="auto"/>
              <w:ind w:firstLine="480" w:firstLineChars="200"/>
              <w:rPr>
                <w:rFonts w:hint="eastAsia"/>
                <w:color w:val="auto"/>
                <w:kern w:val="0"/>
                <w:sz w:val="24"/>
              </w:rPr>
            </w:pPr>
            <w:r>
              <w:rPr>
                <w:rFonts w:hint="eastAsia"/>
                <w:color w:val="auto"/>
                <w:sz w:val="24"/>
              </w:rPr>
              <w:t>管式混合器</w:t>
            </w:r>
            <w:r>
              <w:rPr>
                <w:rFonts w:hint="eastAsia"/>
                <w:color w:val="auto"/>
                <w:kern w:val="0"/>
                <w:sz w:val="24"/>
              </w:rPr>
              <w:t>混合是利用自来水厂进水管的水流，在原水输送管线中设有自动投药系统和静态混合器，原水投加絮凝剂和消毒剂后通过静态混合器充分混合。</w:t>
            </w:r>
          </w:p>
          <w:p>
            <w:pPr>
              <w:widowControl/>
              <w:spacing w:line="360" w:lineRule="auto"/>
              <w:ind w:firstLine="480" w:firstLineChars="200"/>
              <w:rPr>
                <w:rFonts w:hint="eastAsia"/>
                <w:color w:val="auto"/>
                <w:kern w:val="0"/>
                <w:sz w:val="24"/>
              </w:rPr>
            </w:pPr>
            <w:r>
              <w:rPr>
                <w:rFonts w:hint="eastAsia"/>
                <w:color w:val="auto"/>
                <w:kern w:val="0"/>
                <w:sz w:val="24"/>
              </w:rPr>
              <w:t>其优点是：</w:t>
            </w:r>
            <w:r>
              <w:rPr>
                <w:rFonts w:hint="eastAsia"/>
                <w:color w:val="auto"/>
                <w:sz w:val="24"/>
              </w:rPr>
              <w:t>管式</w:t>
            </w:r>
            <w:r>
              <w:rPr>
                <w:rFonts w:hint="eastAsia"/>
                <w:color w:val="auto"/>
                <w:kern w:val="0"/>
                <w:sz w:val="24"/>
              </w:rPr>
              <w:t>混合器可安装在进水管上，设备简单、不占地，投资低，混合速度快，混凝时间短，且本工程中水源水为水库水，雨季时原水浑浊，泥沙含量相对多，采用</w:t>
            </w:r>
            <w:r>
              <w:rPr>
                <w:rFonts w:hint="eastAsia"/>
                <w:color w:val="auto"/>
                <w:sz w:val="24"/>
              </w:rPr>
              <w:t>管式</w:t>
            </w:r>
            <w:r>
              <w:rPr>
                <w:rFonts w:hint="eastAsia"/>
                <w:color w:val="auto"/>
                <w:kern w:val="0"/>
                <w:sz w:val="24"/>
              </w:rPr>
              <w:t>混合器处理有较好的效果。</w:t>
            </w:r>
          </w:p>
          <w:p>
            <w:pPr>
              <w:widowControl/>
              <w:spacing w:line="360" w:lineRule="auto"/>
              <w:ind w:firstLine="480" w:firstLineChars="200"/>
              <w:rPr>
                <w:rFonts w:hint="eastAsia"/>
                <w:color w:val="auto"/>
                <w:kern w:val="0"/>
                <w:sz w:val="24"/>
              </w:rPr>
            </w:pPr>
            <w:r>
              <w:rPr>
                <w:rFonts w:hint="eastAsia"/>
                <w:color w:val="auto"/>
                <w:kern w:val="0"/>
                <w:sz w:val="24"/>
              </w:rPr>
              <w:t>（2）栅条絮凝、平流沉淀池</w:t>
            </w:r>
          </w:p>
          <w:p>
            <w:pPr>
              <w:widowControl/>
              <w:spacing w:line="360" w:lineRule="auto"/>
              <w:ind w:firstLine="480" w:firstLineChars="200"/>
              <w:rPr>
                <w:rFonts w:hint="eastAsia"/>
                <w:color w:val="auto"/>
                <w:kern w:val="0"/>
                <w:sz w:val="24"/>
              </w:rPr>
            </w:pPr>
            <w:r>
              <w:rPr>
                <w:rFonts w:hint="eastAsia"/>
                <w:color w:val="auto"/>
                <w:kern w:val="0"/>
                <w:sz w:val="24"/>
              </w:rPr>
              <w:t>在</w:t>
            </w:r>
            <w:r>
              <w:rPr>
                <w:rFonts w:hint="eastAsia"/>
                <w:color w:val="auto"/>
                <w:sz w:val="24"/>
              </w:rPr>
              <w:t>管式</w:t>
            </w:r>
            <w:r>
              <w:rPr>
                <w:rFonts w:hint="eastAsia"/>
                <w:color w:val="auto"/>
                <w:kern w:val="0"/>
                <w:sz w:val="24"/>
              </w:rPr>
              <w:t>混合器中充分混合的水流进入栅条絮凝反应池，在与净水剂经混凝和前加氯消毒后，水中悬浮物和胶体脱稳并聚集形成大颗粒矾花，再进入平流沉淀池，绝大部分杂质、悬浮颗粒和矾花在重力作用下沉到池底，水体变得清澈。</w:t>
            </w:r>
          </w:p>
          <w:p>
            <w:pPr>
              <w:widowControl/>
              <w:spacing w:line="360" w:lineRule="auto"/>
              <w:ind w:firstLine="480" w:firstLineChars="200"/>
              <w:rPr>
                <w:rFonts w:hint="eastAsia"/>
                <w:color w:val="auto"/>
                <w:kern w:val="0"/>
                <w:sz w:val="24"/>
              </w:rPr>
            </w:pPr>
            <w:r>
              <w:rPr>
                <w:rFonts w:hint="eastAsia"/>
                <w:color w:val="auto"/>
                <w:kern w:val="0"/>
                <w:sz w:val="24"/>
              </w:rPr>
              <w:t>（3）虹吸滤池</w:t>
            </w:r>
          </w:p>
          <w:p>
            <w:pPr>
              <w:widowControl/>
              <w:spacing w:line="360" w:lineRule="auto"/>
              <w:ind w:firstLine="480" w:firstLineChars="200"/>
              <w:rPr>
                <w:rFonts w:hint="eastAsia"/>
                <w:color w:val="auto"/>
                <w:kern w:val="0"/>
                <w:sz w:val="24"/>
              </w:rPr>
            </w:pPr>
            <w:r>
              <w:rPr>
                <w:rFonts w:hint="eastAsia"/>
                <w:color w:val="auto"/>
                <w:kern w:val="0"/>
                <w:sz w:val="24"/>
              </w:rPr>
              <w:t>过滤是给水处理工艺中最为重要的一道工序，用以除去原水混凝沉淀后的残留絮体及杂质。项目沉淀后的水再经虹吸滤池进一步优化处理，降低浑浊度。滤池在使用一段时间后需要进行反冲洗，除去滤料中的杂质，恢复过滤能力。</w:t>
            </w:r>
          </w:p>
          <w:p>
            <w:pPr>
              <w:widowControl/>
              <w:spacing w:line="360" w:lineRule="auto"/>
              <w:ind w:firstLine="480" w:firstLineChars="200"/>
              <w:rPr>
                <w:rFonts w:hint="eastAsia"/>
                <w:color w:val="auto"/>
                <w:kern w:val="0"/>
                <w:sz w:val="24"/>
              </w:rPr>
            </w:pPr>
            <w:r>
              <w:rPr>
                <w:rFonts w:hint="eastAsia"/>
                <w:color w:val="auto"/>
                <w:kern w:val="0"/>
                <w:sz w:val="24"/>
              </w:rPr>
              <w:t>（4）消毒</w:t>
            </w:r>
          </w:p>
          <w:p>
            <w:pPr>
              <w:widowControl/>
              <w:spacing w:line="360" w:lineRule="auto"/>
              <w:ind w:firstLine="480" w:firstLineChars="200"/>
              <w:rPr>
                <w:rFonts w:hint="eastAsia"/>
                <w:color w:val="auto"/>
                <w:kern w:val="0"/>
                <w:sz w:val="24"/>
              </w:rPr>
            </w:pPr>
            <w:r>
              <w:rPr>
                <w:rFonts w:hint="eastAsia"/>
                <w:color w:val="auto"/>
                <w:kern w:val="0"/>
                <w:sz w:val="24"/>
              </w:rPr>
              <w:t>消毒处理是生活饮用水处理工艺中的最后一道工序，其目的在于杀灭水中的有害病原微生物（病原菌、病毒等），防止水致传染病的危害。</w:t>
            </w:r>
          </w:p>
          <w:p>
            <w:pPr>
              <w:widowControl/>
              <w:spacing w:line="360" w:lineRule="auto"/>
              <w:rPr>
                <w:rFonts w:hint="eastAsia"/>
                <w:color w:val="auto"/>
                <w:kern w:val="0"/>
                <w:sz w:val="24"/>
              </w:rPr>
            </w:pPr>
            <w:r>
              <w:rPr>
                <w:rFonts w:hint="eastAsia"/>
                <w:color w:val="auto"/>
                <w:kern w:val="0"/>
                <w:sz w:val="24"/>
              </w:rPr>
              <w:t>为了使自来水达到卫生标准，需在清水池入口再次加氯消毒，并保持一定的余氯量，以防止自来水在管道中受到污染。</w:t>
            </w:r>
          </w:p>
          <w:p>
            <w:pPr>
              <w:spacing w:line="360" w:lineRule="auto"/>
              <w:ind w:firstLine="480" w:firstLineChars="200"/>
              <w:jc w:val="left"/>
              <w:rPr>
                <w:rFonts w:hint="eastAsia"/>
                <w:color w:val="auto"/>
                <w:sz w:val="24"/>
              </w:rPr>
            </w:pPr>
            <w:r>
              <w:rPr>
                <w:rFonts w:hint="eastAsia"/>
                <w:bCs/>
                <w:color w:val="auto"/>
                <w:sz w:val="24"/>
              </w:rPr>
              <w:t>（5）废水池和污泥池：环评要求水厂同步建设生产废水处理设置，沉淀池产生的排泥废水排入污泥池，滤池产生的反冲洗废水排入厂区新建的废水池，废水经沉淀处理后90%上清液则送回到管式混合器与原水混合处理，污泥经脱水处理后外运填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0"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spacing w:line="360" w:lineRule="auto"/>
              <w:rPr>
                <w:color w:val="auto"/>
                <w:sz w:val="28"/>
              </w:rPr>
            </w:pPr>
            <w:r>
              <w:rPr>
                <w:color w:val="auto"/>
                <w:sz w:val="28"/>
              </w:rPr>
              <w:t>主要污染工序：</w:t>
            </w:r>
          </w:p>
          <w:p>
            <w:pPr>
              <w:spacing w:line="360" w:lineRule="auto"/>
              <w:rPr>
                <w:b/>
                <w:color w:val="auto"/>
                <w:sz w:val="24"/>
              </w:rPr>
            </w:pPr>
            <w:r>
              <w:rPr>
                <w:b/>
                <w:color w:val="auto"/>
                <w:sz w:val="24"/>
              </w:rPr>
              <w:t>1、施工期污染工序</w:t>
            </w:r>
          </w:p>
          <w:p>
            <w:pPr>
              <w:spacing w:line="360" w:lineRule="auto"/>
              <w:ind w:firstLine="480" w:firstLineChars="200"/>
              <w:rPr>
                <w:rFonts w:hint="eastAsia"/>
                <w:color w:val="auto"/>
                <w:sz w:val="24"/>
              </w:rPr>
            </w:pPr>
            <w:r>
              <w:rPr>
                <w:rFonts w:hint="eastAsia"/>
                <w:color w:val="auto"/>
                <w:sz w:val="24"/>
              </w:rPr>
              <w:t>本工程施工期共计2年，</w:t>
            </w:r>
            <w:r>
              <w:rPr>
                <w:rFonts w:hint="eastAsia"/>
                <w:color w:val="auto"/>
                <w:sz w:val="24"/>
                <w:lang w:eastAsia="zh-CN"/>
              </w:rPr>
              <w:t>扩建</w:t>
            </w:r>
            <w:r>
              <w:rPr>
                <w:rFonts w:hint="eastAsia"/>
                <w:color w:val="auto"/>
                <w:sz w:val="24"/>
              </w:rPr>
              <w:t>净水厂工程已经开工建设；</w:t>
            </w:r>
            <w:r>
              <w:rPr>
                <w:rFonts w:hint="eastAsia"/>
                <w:color w:val="auto"/>
                <w:sz w:val="24"/>
                <w:lang w:eastAsia="zh-CN"/>
              </w:rPr>
              <w:t>扩建</w:t>
            </w:r>
            <w:r>
              <w:rPr>
                <w:rFonts w:hint="eastAsia"/>
                <w:color w:val="auto"/>
                <w:sz w:val="24"/>
              </w:rPr>
              <w:t>配水工程还未开动。本项目</w:t>
            </w:r>
            <w:r>
              <w:rPr>
                <w:rFonts w:hint="eastAsia"/>
                <w:color w:val="auto"/>
                <w:sz w:val="24"/>
                <w:lang w:eastAsia="zh-CN"/>
              </w:rPr>
              <w:t>扩建</w:t>
            </w:r>
            <w:r>
              <w:rPr>
                <w:rFonts w:hint="eastAsia"/>
                <w:color w:val="auto"/>
                <w:sz w:val="24"/>
              </w:rPr>
              <w:t>配水管网不设置施工营地，</w:t>
            </w:r>
            <w:r>
              <w:rPr>
                <w:rFonts w:hint="eastAsia"/>
                <w:color w:val="auto"/>
                <w:sz w:val="24"/>
                <w:lang w:eastAsia="zh-CN"/>
              </w:rPr>
              <w:t>扩建</w:t>
            </w:r>
            <w:r>
              <w:rPr>
                <w:rFonts w:hint="eastAsia"/>
                <w:color w:val="auto"/>
                <w:sz w:val="24"/>
              </w:rPr>
              <w:t>净水厂工程设置临时施工营地。施工期主要污染源分析如下：</w:t>
            </w:r>
          </w:p>
          <w:p>
            <w:pPr>
              <w:pStyle w:val="4"/>
              <w:snapToGrid w:val="0"/>
              <w:spacing w:before="0" w:after="0" w:line="360" w:lineRule="auto"/>
              <w:rPr>
                <w:rFonts w:hint="eastAsia"/>
                <w:color w:val="auto"/>
                <w:sz w:val="24"/>
                <w:szCs w:val="24"/>
              </w:rPr>
            </w:pPr>
            <w:r>
              <w:rPr>
                <w:rFonts w:hint="eastAsia"/>
                <w:color w:val="auto"/>
                <w:sz w:val="24"/>
                <w:szCs w:val="24"/>
                <w:lang w:val="en-US" w:eastAsia="zh-CN"/>
              </w:rPr>
              <w:t>1</w:t>
            </w:r>
            <w:r>
              <w:rPr>
                <w:color w:val="auto"/>
                <w:sz w:val="24"/>
                <w:szCs w:val="24"/>
              </w:rPr>
              <w:t>.1 大气污染源分析</w:t>
            </w:r>
          </w:p>
          <w:p>
            <w:pPr>
              <w:spacing w:line="360" w:lineRule="auto"/>
              <w:ind w:firstLine="480" w:firstLineChars="200"/>
              <w:rPr>
                <w:rFonts w:hint="eastAsia"/>
                <w:color w:val="auto"/>
                <w:sz w:val="24"/>
              </w:rPr>
            </w:pPr>
            <w:r>
              <w:rPr>
                <w:rFonts w:hint="eastAsia"/>
                <w:color w:val="auto"/>
                <w:sz w:val="24"/>
              </w:rPr>
              <w:t xml:space="preserve">项目施工期大气污染源主要为粉尘和施工机械废气。 </w:t>
            </w:r>
          </w:p>
          <w:p>
            <w:pPr>
              <w:spacing w:line="360" w:lineRule="auto"/>
              <w:ind w:firstLine="480" w:firstLineChars="200"/>
              <w:rPr>
                <w:rFonts w:hint="eastAsia"/>
                <w:color w:val="auto"/>
                <w:sz w:val="24"/>
              </w:rPr>
            </w:pPr>
            <w:r>
              <w:rPr>
                <w:rFonts w:hint="eastAsia"/>
                <w:color w:val="auto"/>
                <w:sz w:val="24"/>
              </w:rPr>
              <w:t xml:space="preserve">（1）粉尘 </w:t>
            </w:r>
          </w:p>
          <w:p>
            <w:pPr>
              <w:spacing w:line="360" w:lineRule="auto"/>
              <w:ind w:firstLine="480" w:firstLineChars="200"/>
              <w:rPr>
                <w:rFonts w:hint="eastAsia"/>
                <w:color w:val="auto"/>
                <w:sz w:val="24"/>
              </w:rPr>
            </w:pPr>
            <w:r>
              <w:rPr>
                <w:rFonts w:hint="eastAsia"/>
                <w:color w:val="auto"/>
                <w:sz w:val="24"/>
              </w:rPr>
              <w:t xml:space="preserve">本项目施工扬尘产生的途径主要为： </w:t>
            </w:r>
          </w:p>
          <w:p>
            <w:pPr>
              <w:spacing w:line="360" w:lineRule="auto"/>
              <w:ind w:firstLine="480" w:firstLineChars="200"/>
              <w:rPr>
                <w:rFonts w:hint="eastAsia"/>
                <w:color w:val="auto"/>
                <w:sz w:val="24"/>
              </w:rPr>
            </w:pPr>
            <w:r>
              <w:rPr>
                <w:rFonts w:hint="eastAsia"/>
                <w:color w:val="auto"/>
                <w:sz w:val="24"/>
              </w:rPr>
              <w:t xml:space="preserve">①管道施工的开挖、覆土过程及材料运输过程的扬尘； </w:t>
            </w:r>
          </w:p>
          <w:p>
            <w:pPr>
              <w:spacing w:line="360" w:lineRule="auto"/>
              <w:ind w:firstLine="480" w:firstLineChars="200"/>
              <w:rPr>
                <w:rFonts w:hint="eastAsia"/>
                <w:color w:val="auto"/>
                <w:sz w:val="24"/>
              </w:rPr>
            </w:pPr>
            <w:r>
              <w:rPr>
                <w:rFonts w:hint="eastAsia"/>
                <w:color w:val="auto"/>
                <w:sz w:val="24"/>
              </w:rPr>
              <w:t xml:space="preserve">②净水厂基础开挖、地基处理、平整土地等和水泥、砂石、混凝土等建筑材料，在运输、装卸、储存等环节易造的扬尘； </w:t>
            </w:r>
          </w:p>
          <w:p>
            <w:pPr>
              <w:spacing w:line="360" w:lineRule="auto"/>
              <w:ind w:firstLine="480" w:firstLineChars="200"/>
              <w:rPr>
                <w:rFonts w:hint="eastAsia"/>
                <w:color w:val="auto"/>
                <w:sz w:val="24"/>
              </w:rPr>
            </w:pPr>
            <w:r>
              <w:rPr>
                <w:rFonts w:hint="eastAsia"/>
                <w:color w:val="auto"/>
                <w:sz w:val="24"/>
              </w:rPr>
              <w:t>根据本项目的特征，施工过程中产生的扬尘大多是粒径较大的尘土，多数沉降于施工现场，少数形成飘尘，主要影响范围局限在施工场地下风向150m范围内。根据有关实测资料，在施工现场近地面的粉尘浓度为0.5～12mg/m</w:t>
            </w:r>
            <w:r>
              <w:rPr>
                <w:color w:val="auto"/>
                <w:sz w:val="24"/>
                <w:vertAlign w:val="superscript"/>
              </w:rPr>
              <w:t>3</w:t>
            </w:r>
            <w:r>
              <w:rPr>
                <w:rFonts w:hint="eastAsia"/>
                <w:color w:val="auto"/>
                <w:sz w:val="24"/>
              </w:rPr>
              <w:t xml:space="preserve">，环境空气的影响范围较小，且程度较轻。但在风大的季节，颗粒物将随风飘散，施工近地面粉尘浓度超过《环境空气质量标准》（GB3096—2012）二级标准中日平均值，超标范围在l～40倍之间。 </w:t>
            </w:r>
          </w:p>
          <w:p>
            <w:pPr>
              <w:spacing w:line="360" w:lineRule="auto"/>
              <w:ind w:firstLine="480" w:firstLineChars="200"/>
              <w:rPr>
                <w:rFonts w:hint="eastAsia"/>
                <w:color w:val="auto"/>
                <w:sz w:val="24"/>
              </w:rPr>
            </w:pPr>
            <w:r>
              <w:rPr>
                <w:rFonts w:hint="eastAsia"/>
                <w:color w:val="auto"/>
                <w:sz w:val="24"/>
              </w:rPr>
              <w:t xml:space="preserve">（2）施工机械废气 </w:t>
            </w:r>
          </w:p>
          <w:p>
            <w:pPr>
              <w:spacing w:line="360" w:lineRule="auto"/>
              <w:ind w:firstLine="480" w:firstLineChars="200"/>
              <w:rPr>
                <w:rFonts w:hint="eastAsia"/>
                <w:color w:val="auto"/>
                <w:sz w:val="24"/>
              </w:rPr>
            </w:pPr>
            <w:r>
              <w:rPr>
                <w:rFonts w:hint="eastAsia"/>
                <w:color w:val="auto"/>
                <w:sz w:val="24"/>
              </w:rPr>
              <w:t>施工期燃油机械和车辆会产生废气，主要污染物为总悬浮物微粒、二氧化碳、一氧化碳及氮氧化物等。在不采用国家淘汰的施工机械设备的前提下，施工机械废气对周围环境影响较小。</w:t>
            </w:r>
          </w:p>
          <w:p>
            <w:pPr>
              <w:pStyle w:val="4"/>
              <w:snapToGrid w:val="0"/>
              <w:spacing w:before="0" w:after="0" w:line="360" w:lineRule="auto"/>
              <w:rPr>
                <w:color w:val="auto"/>
                <w:sz w:val="24"/>
                <w:szCs w:val="24"/>
              </w:rPr>
            </w:pPr>
            <w:r>
              <w:rPr>
                <w:rFonts w:hint="eastAsia"/>
                <w:color w:val="auto"/>
                <w:sz w:val="24"/>
                <w:szCs w:val="24"/>
                <w:lang w:val="en-US" w:eastAsia="zh-CN"/>
              </w:rPr>
              <w:t>1</w:t>
            </w:r>
            <w:r>
              <w:rPr>
                <w:color w:val="auto"/>
                <w:sz w:val="24"/>
                <w:szCs w:val="24"/>
              </w:rPr>
              <w:t>.2 水污染源分析</w:t>
            </w:r>
          </w:p>
          <w:p>
            <w:pPr>
              <w:widowControl/>
              <w:spacing w:line="360" w:lineRule="auto"/>
              <w:ind w:firstLine="482"/>
              <w:rPr>
                <w:rFonts w:hint="eastAsia"/>
                <w:color w:val="auto"/>
                <w:kern w:val="0"/>
                <w:sz w:val="24"/>
              </w:rPr>
            </w:pPr>
            <w:r>
              <w:rPr>
                <w:rFonts w:hint="eastAsia"/>
                <w:color w:val="auto"/>
                <w:kern w:val="0"/>
                <w:sz w:val="24"/>
              </w:rPr>
              <w:t xml:space="preserve">本工程施工期对水环境的影响主要来自施工作业及施工作业产生的废水和施工人员生活污水等。 </w:t>
            </w:r>
          </w:p>
          <w:p>
            <w:pPr>
              <w:widowControl/>
              <w:spacing w:line="360" w:lineRule="auto"/>
              <w:ind w:firstLine="482"/>
              <w:rPr>
                <w:rFonts w:hint="eastAsia"/>
                <w:color w:val="auto"/>
                <w:kern w:val="0"/>
                <w:sz w:val="24"/>
              </w:rPr>
            </w:pPr>
            <w:r>
              <w:rPr>
                <w:rFonts w:hint="eastAsia"/>
                <w:color w:val="auto"/>
                <w:kern w:val="0"/>
                <w:sz w:val="24"/>
              </w:rPr>
              <w:t>①施工作业影响源：对水环境产生不利影响的施工作业主要为管道穿越黄金河施工时引起黄金河水体浑浊，主要污染物为SS。</w:t>
            </w:r>
          </w:p>
          <w:p>
            <w:pPr>
              <w:widowControl/>
              <w:spacing w:line="360" w:lineRule="auto"/>
              <w:ind w:firstLine="482"/>
              <w:rPr>
                <w:rFonts w:hint="eastAsia"/>
                <w:color w:val="auto"/>
                <w:kern w:val="0"/>
                <w:sz w:val="24"/>
              </w:rPr>
            </w:pPr>
            <w:r>
              <w:rPr>
                <w:rFonts w:hint="eastAsia"/>
                <w:color w:val="auto"/>
                <w:kern w:val="0"/>
                <w:sz w:val="24"/>
              </w:rPr>
              <w:t>②施工机械及车辆冲洗废水：冲洗废水主要包括施工机械冲洗废水及车辆冲洗废水，施工机械冲洗废水主要水污染物为COD、SS和石油类，车辆冲洗废水主要含SS，根据类比资料，施工机械及车辆冲洗废水排放量为1.5m</w:t>
            </w:r>
            <w:r>
              <w:rPr>
                <w:color w:val="auto"/>
                <w:kern w:val="0"/>
                <w:sz w:val="24"/>
                <w:vertAlign w:val="superscript"/>
              </w:rPr>
              <w:t>3</w:t>
            </w:r>
            <w:r>
              <w:rPr>
                <w:rFonts w:hint="eastAsia"/>
                <w:color w:val="auto"/>
                <w:kern w:val="0"/>
                <w:sz w:val="24"/>
              </w:rPr>
              <w:t xml:space="preserve">/d。采用隔油沉淀处理方法对该类废水进行简易处理后回用，不外排。 </w:t>
            </w:r>
          </w:p>
          <w:p>
            <w:pPr>
              <w:widowControl/>
              <w:spacing w:line="360" w:lineRule="auto"/>
              <w:ind w:firstLine="482"/>
              <w:rPr>
                <w:rFonts w:hint="eastAsia"/>
                <w:color w:val="auto"/>
                <w:kern w:val="0"/>
                <w:sz w:val="24"/>
              </w:rPr>
            </w:pPr>
            <w:r>
              <w:rPr>
                <w:rFonts w:hint="eastAsia"/>
                <w:color w:val="auto"/>
                <w:kern w:val="0"/>
                <w:sz w:val="24"/>
              </w:rPr>
              <w:t xml:space="preserve">③ 基础开挖废水：除SS较高外，其它污染指标均较低，通过设置简易沉淀池可处理达标后回用于设备冲洗和防尘，不外排。 </w:t>
            </w:r>
          </w:p>
          <w:p>
            <w:pPr>
              <w:widowControl/>
              <w:spacing w:line="360" w:lineRule="auto"/>
              <w:ind w:firstLine="482"/>
              <w:rPr>
                <w:rFonts w:hint="eastAsia"/>
                <w:color w:val="auto"/>
                <w:kern w:val="0"/>
                <w:sz w:val="24"/>
              </w:rPr>
            </w:pPr>
            <w:r>
              <w:rPr>
                <w:rFonts w:hint="eastAsia"/>
                <w:color w:val="auto"/>
                <w:kern w:val="0"/>
                <w:sz w:val="24"/>
              </w:rPr>
              <w:t>④管道试压废水：输水管道闭水试验产生的试压废水主要含铁锈和泥沙等杂质，且由于管道试压是分段进行的，局部排放量相对较少，经收集进行沉淀处理后，可循环使用或回用于施工设备冲洗及防尘。</w:t>
            </w:r>
          </w:p>
          <w:p>
            <w:pPr>
              <w:widowControl/>
              <w:spacing w:line="360" w:lineRule="auto"/>
              <w:ind w:firstLine="482"/>
              <w:rPr>
                <w:rFonts w:hint="eastAsia"/>
                <w:color w:val="auto"/>
                <w:kern w:val="0"/>
                <w:sz w:val="24"/>
              </w:rPr>
            </w:pPr>
            <w:r>
              <w:rPr>
                <w:rFonts w:hint="eastAsia"/>
                <w:color w:val="auto"/>
                <w:kern w:val="0"/>
                <w:sz w:val="24"/>
              </w:rPr>
              <w:t>⑤生活污水：主要为施工人员粪便和生活清洗用水，主要污染物为COD</w:t>
            </w:r>
            <w:r>
              <w:rPr>
                <w:rFonts w:hint="eastAsia"/>
                <w:color w:val="auto"/>
                <w:kern w:val="0"/>
                <w:sz w:val="24"/>
                <w:vertAlign w:val="subscript"/>
              </w:rPr>
              <w:t>Cr、</w:t>
            </w:r>
            <w:r>
              <w:rPr>
                <w:rFonts w:hint="eastAsia"/>
                <w:color w:val="auto"/>
                <w:kern w:val="0"/>
                <w:sz w:val="24"/>
              </w:rPr>
              <w:t>BOD</w:t>
            </w:r>
            <w:r>
              <w:rPr>
                <w:rFonts w:hint="eastAsia"/>
                <w:color w:val="auto"/>
                <w:kern w:val="0"/>
                <w:sz w:val="24"/>
                <w:vertAlign w:val="subscript"/>
              </w:rPr>
              <w:t>5</w:t>
            </w:r>
            <w:r>
              <w:rPr>
                <w:rFonts w:hint="eastAsia"/>
                <w:color w:val="auto"/>
                <w:kern w:val="0"/>
                <w:sz w:val="24"/>
              </w:rPr>
              <w:t>、NH3-N、SS以及少量动植物油等。本项目净水厂施工人员人数总数约40人，管线施工人员总数约30人，施工期生活用水量按20L/人·d计，生活日用水量为1.4m</w:t>
            </w:r>
            <w:r>
              <w:rPr>
                <w:color w:val="auto"/>
                <w:kern w:val="0"/>
                <w:sz w:val="24"/>
                <w:vertAlign w:val="superscript"/>
              </w:rPr>
              <w:t>3</w:t>
            </w:r>
            <w:r>
              <w:rPr>
                <w:rFonts w:hint="eastAsia"/>
                <w:color w:val="auto"/>
                <w:kern w:val="0"/>
                <w:sz w:val="24"/>
              </w:rPr>
              <w:t>/d，污水排放系数0.8，排放生活污水为1.12m</w:t>
            </w:r>
            <w:r>
              <w:rPr>
                <w:color w:val="auto"/>
                <w:kern w:val="0"/>
                <w:sz w:val="24"/>
                <w:vertAlign w:val="superscript"/>
              </w:rPr>
              <w:t>3</w:t>
            </w:r>
            <w:r>
              <w:rPr>
                <w:rFonts w:hint="eastAsia"/>
                <w:color w:val="auto"/>
                <w:kern w:val="0"/>
                <w:sz w:val="24"/>
              </w:rPr>
              <w:t>/d。本项目管线施工不设置施工营地，施工人员的生活污水依托租用的农村居民现有的污水处理系统，净水厂施工生活污水经设置的临时化粪池处理后用于农肥。</w:t>
            </w:r>
          </w:p>
          <w:p>
            <w:pPr>
              <w:pStyle w:val="4"/>
              <w:snapToGrid w:val="0"/>
              <w:spacing w:before="0" w:after="0" w:line="360" w:lineRule="auto"/>
              <w:rPr>
                <w:color w:val="auto"/>
                <w:sz w:val="24"/>
                <w:szCs w:val="24"/>
              </w:rPr>
            </w:pPr>
            <w:r>
              <w:rPr>
                <w:rFonts w:hint="eastAsia"/>
                <w:color w:val="auto"/>
                <w:sz w:val="24"/>
                <w:szCs w:val="24"/>
                <w:lang w:val="en-US" w:eastAsia="zh-CN"/>
              </w:rPr>
              <w:t>1</w:t>
            </w:r>
            <w:r>
              <w:rPr>
                <w:color w:val="auto"/>
                <w:sz w:val="24"/>
                <w:szCs w:val="24"/>
              </w:rPr>
              <w:t>.3 施工噪声污染源分析</w:t>
            </w:r>
          </w:p>
          <w:p>
            <w:pPr>
              <w:widowControl/>
              <w:spacing w:line="360" w:lineRule="auto"/>
              <w:ind w:firstLine="482"/>
              <w:rPr>
                <w:rFonts w:hint="eastAsia"/>
                <w:color w:val="auto"/>
                <w:kern w:val="0"/>
                <w:sz w:val="24"/>
              </w:rPr>
            </w:pPr>
            <w:r>
              <w:rPr>
                <w:rFonts w:hint="eastAsia"/>
                <w:color w:val="auto"/>
                <w:kern w:val="0"/>
                <w:sz w:val="24"/>
              </w:rPr>
              <w:t xml:space="preserve">净水厂：在净水厂施工过程中存在各种施工机械的噪声影响，在土建阶段对环境产生影响较大的噪声源主要是挖掘机、打桩机、卷扬机等；在装饰阶段及设备安装阶段还会有切割机等设备噪声及其他安装噪声产生。 </w:t>
            </w:r>
          </w:p>
          <w:p>
            <w:pPr>
              <w:widowControl/>
              <w:spacing w:line="360" w:lineRule="auto"/>
              <w:ind w:firstLine="482"/>
              <w:rPr>
                <w:rFonts w:hint="eastAsia"/>
                <w:color w:val="auto"/>
                <w:kern w:val="0"/>
                <w:sz w:val="24"/>
              </w:rPr>
            </w:pPr>
            <w:r>
              <w:rPr>
                <w:rFonts w:hint="eastAsia"/>
                <w:color w:val="auto"/>
                <w:kern w:val="0"/>
                <w:sz w:val="24"/>
              </w:rPr>
              <w:t xml:space="preserve">管网：在管网施工过程中对环境产生影响较大的产噪环节主要是道路切割和管沟开挖等过程，主要机械设备有平地机、装载机、混凝土搅拌机、切割机等。 </w:t>
            </w:r>
          </w:p>
          <w:p>
            <w:pPr>
              <w:widowControl/>
              <w:spacing w:line="360" w:lineRule="auto"/>
              <w:ind w:firstLine="482"/>
              <w:rPr>
                <w:rFonts w:hint="eastAsia"/>
                <w:color w:val="auto"/>
                <w:kern w:val="0"/>
                <w:sz w:val="24"/>
              </w:rPr>
            </w:pPr>
            <w:r>
              <w:rPr>
                <w:rFonts w:hint="eastAsia"/>
                <w:color w:val="auto"/>
                <w:kern w:val="0"/>
                <w:sz w:val="24"/>
              </w:rPr>
              <w:t>因为施工阶段一般为露天作业，不采取隔声和削减措施时，噪声传播较远，影响面比较大。施工期噪声污染主要由施工作业机械产生，根据常用机械的实测资料，其噪声源值见表</w:t>
            </w:r>
            <w:r>
              <w:rPr>
                <w:rFonts w:hint="eastAsia"/>
                <w:color w:val="auto"/>
                <w:kern w:val="0"/>
                <w:sz w:val="24"/>
                <w:lang w:val="en-US" w:eastAsia="zh-CN"/>
              </w:rPr>
              <w:t>27</w:t>
            </w:r>
            <w:r>
              <w:rPr>
                <w:rFonts w:hint="eastAsia"/>
                <w:color w:val="auto"/>
                <w:kern w:val="0"/>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27</w:t>
            </w:r>
            <w:r>
              <w:rPr>
                <w:rFonts w:hint="eastAsia"/>
                <w:b/>
                <w:color w:val="auto"/>
                <w:sz w:val="24"/>
              </w:rPr>
              <w:t xml:space="preserve">  施工期主要机械噪声源及源强值      单位：dB（A）</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99"/>
              <w:gridCol w:w="2026"/>
              <w:gridCol w:w="35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1" w:hRule="atLeast"/>
                <w:jc w:val="center"/>
              </w:trPr>
              <w:tc>
                <w:tcPr>
                  <w:tcW w:w="2699" w:type="dxa"/>
                  <w:vMerge w:val="restart"/>
                  <w:vAlign w:val="center"/>
                </w:tcPr>
                <w:p>
                  <w:pPr>
                    <w:jc w:val="center"/>
                    <w:rPr>
                      <w:rFonts w:hint="eastAsia"/>
                      <w:color w:val="auto"/>
                      <w:sz w:val="21"/>
                      <w:szCs w:val="21"/>
                    </w:rPr>
                  </w:pPr>
                  <w:r>
                    <w:rPr>
                      <w:rFonts w:hint="eastAsia"/>
                      <w:color w:val="auto"/>
                      <w:sz w:val="21"/>
                      <w:szCs w:val="21"/>
                    </w:rPr>
                    <w:t>序号</w:t>
                  </w:r>
                </w:p>
              </w:tc>
              <w:tc>
                <w:tcPr>
                  <w:tcW w:w="2026" w:type="dxa"/>
                  <w:vMerge w:val="restart"/>
                  <w:vAlign w:val="center"/>
                </w:tcPr>
                <w:p>
                  <w:pPr>
                    <w:jc w:val="center"/>
                    <w:rPr>
                      <w:color w:val="auto"/>
                      <w:sz w:val="21"/>
                      <w:szCs w:val="21"/>
                    </w:rPr>
                  </w:pPr>
                  <w:r>
                    <w:rPr>
                      <w:color w:val="auto"/>
                      <w:sz w:val="21"/>
                      <w:szCs w:val="21"/>
                    </w:rPr>
                    <w:t>施工机械</w:t>
                  </w:r>
                </w:p>
              </w:tc>
              <w:tc>
                <w:tcPr>
                  <w:tcW w:w="3557" w:type="dxa"/>
                  <w:vMerge w:val="restart"/>
                  <w:vAlign w:val="center"/>
                </w:tcPr>
                <w:p>
                  <w:pPr>
                    <w:jc w:val="center"/>
                    <w:rPr>
                      <w:color w:val="auto"/>
                      <w:sz w:val="21"/>
                      <w:szCs w:val="21"/>
                    </w:rPr>
                  </w:pPr>
                  <w:r>
                    <w:rPr>
                      <w:color w:val="auto"/>
                      <w:sz w:val="21"/>
                      <w:szCs w:val="21"/>
                    </w:rPr>
                    <w:t>噪声源强度（dB(A)）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6" w:hRule="atLeast"/>
                <w:jc w:val="center"/>
              </w:trPr>
              <w:tc>
                <w:tcPr>
                  <w:tcW w:w="2699" w:type="dxa"/>
                  <w:vMerge w:val="continue"/>
                  <w:vAlign w:val="center"/>
                </w:tcPr>
                <w:p>
                  <w:pPr>
                    <w:jc w:val="center"/>
                    <w:rPr>
                      <w:color w:val="auto"/>
                      <w:sz w:val="21"/>
                      <w:szCs w:val="21"/>
                    </w:rPr>
                  </w:pPr>
                </w:p>
              </w:tc>
              <w:tc>
                <w:tcPr>
                  <w:tcW w:w="2026" w:type="dxa"/>
                  <w:vMerge w:val="continue"/>
                  <w:vAlign w:val="center"/>
                </w:tcPr>
                <w:p>
                  <w:pPr>
                    <w:jc w:val="center"/>
                    <w:rPr>
                      <w:color w:val="auto"/>
                      <w:sz w:val="21"/>
                      <w:szCs w:val="21"/>
                    </w:rPr>
                  </w:pPr>
                </w:p>
              </w:tc>
              <w:tc>
                <w:tcPr>
                  <w:tcW w:w="3557" w:type="dxa"/>
                  <w:vMerge w:val="continue"/>
                  <w:vAlign w:val="center"/>
                </w:tcPr>
                <w:p>
                  <w:pPr>
                    <w:jc w:val="center"/>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restart"/>
                  <w:vAlign w:val="center"/>
                </w:tcPr>
                <w:p>
                  <w:pPr>
                    <w:jc w:val="center"/>
                    <w:rPr>
                      <w:rFonts w:hint="eastAsia"/>
                      <w:color w:val="auto"/>
                      <w:sz w:val="21"/>
                      <w:szCs w:val="21"/>
                    </w:rPr>
                  </w:pPr>
                  <w:r>
                    <w:rPr>
                      <w:color w:val="auto"/>
                      <w:sz w:val="21"/>
                      <w:szCs w:val="21"/>
                    </w:rPr>
                    <w:t>土石方</w:t>
                  </w:r>
                  <w:r>
                    <w:rPr>
                      <w:rFonts w:hint="eastAsia"/>
                      <w:color w:val="auto"/>
                      <w:sz w:val="21"/>
                      <w:szCs w:val="21"/>
                    </w:rPr>
                    <w:t>阶段</w:t>
                  </w:r>
                </w:p>
              </w:tc>
              <w:tc>
                <w:tcPr>
                  <w:tcW w:w="2026" w:type="dxa"/>
                  <w:vAlign w:val="top"/>
                </w:tcPr>
                <w:p>
                  <w:pPr>
                    <w:jc w:val="center"/>
                    <w:rPr>
                      <w:rFonts w:hint="eastAsia"/>
                      <w:color w:val="auto"/>
                      <w:sz w:val="21"/>
                      <w:szCs w:val="21"/>
                    </w:rPr>
                  </w:pPr>
                  <w:r>
                    <w:rPr>
                      <w:rFonts w:hint="eastAsia"/>
                      <w:color w:val="auto"/>
                      <w:sz w:val="21"/>
                      <w:szCs w:val="21"/>
                    </w:rPr>
                    <w:t>挖掘机</w:t>
                  </w:r>
                </w:p>
              </w:tc>
              <w:tc>
                <w:tcPr>
                  <w:tcW w:w="3557" w:type="dxa"/>
                  <w:vAlign w:val="top"/>
                </w:tcPr>
                <w:p>
                  <w:pPr>
                    <w:jc w:val="center"/>
                    <w:rPr>
                      <w:color w:val="auto"/>
                      <w:sz w:val="21"/>
                      <w:szCs w:val="21"/>
                    </w:rPr>
                  </w:pPr>
                  <w:r>
                    <w:rPr>
                      <w:rFonts w:hint="eastAsia"/>
                      <w:color w:val="auto"/>
                      <w:sz w:val="21"/>
                      <w:szCs w:val="21"/>
                    </w:rPr>
                    <w:t>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continue"/>
                  <w:vAlign w:val="top"/>
                </w:tcPr>
                <w:p>
                  <w:pPr>
                    <w:jc w:val="center"/>
                    <w:rPr>
                      <w:color w:val="auto"/>
                      <w:sz w:val="21"/>
                      <w:szCs w:val="21"/>
                    </w:rPr>
                  </w:pPr>
                </w:p>
              </w:tc>
              <w:tc>
                <w:tcPr>
                  <w:tcW w:w="2026" w:type="dxa"/>
                  <w:vAlign w:val="center"/>
                </w:tcPr>
                <w:p>
                  <w:pPr>
                    <w:jc w:val="center"/>
                    <w:rPr>
                      <w:color w:val="auto"/>
                      <w:sz w:val="21"/>
                      <w:szCs w:val="21"/>
                    </w:rPr>
                  </w:pPr>
                  <w:r>
                    <w:rPr>
                      <w:color w:val="auto"/>
                      <w:sz w:val="21"/>
                      <w:szCs w:val="21"/>
                    </w:rPr>
                    <w:t>卷扬机</w:t>
                  </w:r>
                </w:p>
              </w:tc>
              <w:tc>
                <w:tcPr>
                  <w:tcW w:w="3557" w:type="dxa"/>
                  <w:vAlign w:val="center"/>
                </w:tcPr>
                <w:p>
                  <w:pPr>
                    <w:jc w:val="center"/>
                    <w:rPr>
                      <w:color w:val="auto"/>
                      <w:sz w:val="21"/>
                      <w:szCs w:val="21"/>
                    </w:rPr>
                  </w:pPr>
                  <w:r>
                    <w:rPr>
                      <w:color w:val="auto"/>
                      <w:sz w:val="21"/>
                      <w:szCs w:val="21"/>
                    </w:rPr>
                    <w:t>87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continue"/>
                  <w:vAlign w:val="top"/>
                </w:tcPr>
                <w:p>
                  <w:pPr>
                    <w:jc w:val="center"/>
                    <w:rPr>
                      <w:color w:val="auto"/>
                      <w:sz w:val="21"/>
                      <w:szCs w:val="21"/>
                    </w:rPr>
                  </w:pPr>
                </w:p>
              </w:tc>
              <w:tc>
                <w:tcPr>
                  <w:tcW w:w="2026" w:type="dxa"/>
                  <w:vAlign w:val="center"/>
                </w:tcPr>
                <w:p>
                  <w:pPr>
                    <w:pStyle w:val="20"/>
                    <w:overflowPunct/>
                    <w:autoSpaceDE/>
                    <w:autoSpaceDN/>
                    <w:adjustRightInd/>
                    <w:rPr>
                      <w:color w:val="auto"/>
                      <w:kern w:val="2"/>
                      <w:sz w:val="21"/>
                      <w:szCs w:val="21"/>
                    </w:rPr>
                  </w:pPr>
                  <w:r>
                    <w:rPr>
                      <w:rFonts w:hint="eastAsia"/>
                      <w:color w:val="auto"/>
                      <w:kern w:val="2"/>
                      <w:sz w:val="21"/>
                      <w:szCs w:val="21"/>
                    </w:rPr>
                    <w:t>大型载重车</w:t>
                  </w:r>
                </w:p>
              </w:tc>
              <w:tc>
                <w:tcPr>
                  <w:tcW w:w="3557" w:type="dxa"/>
                  <w:vAlign w:val="center"/>
                </w:tcPr>
                <w:p>
                  <w:pPr>
                    <w:jc w:val="center"/>
                    <w:rPr>
                      <w:rFonts w:hint="eastAsia"/>
                      <w:color w:val="auto"/>
                      <w:sz w:val="21"/>
                      <w:szCs w:val="21"/>
                    </w:rPr>
                  </w:pPr>
                  <w:r>
                    <w:rPr>
                      <w:rFonts w:hint="eastAsia"/>
                      <w:color w:val="auto"/>
                      <w:sz w:val="21"/>
                      <w:szCs w:val="21"/>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continue"/>
                  <w:vAlign w:val="center"/>
                </w:tcPr>
                <w:p>
                  <w:pPr>
                    <w:jc w:val="center"/>
                    <w:rPr>
                      <w:color w:val="auto"/>
                      <w:sz w:val="21"/>
                      <w:szCs w:val="21"/>
                    </w:rPr>
                  </w:pPr>
                </w:p>
              </w:tc>
              <w:tc>
                <w:tcPr>
                  <w:tcW w:w="2026" w:type="dxa"/>
                  <w:vAlign w:val="center"/>
                </w:tcPr>
                <w:p>
                  <w:pPr>
                    <w:jc w:val="center"/>
                    <w:rPr>
                      <w:color w:val="auto"/>
                      <w:sz w:val="21"/>
                      <w:szCs w:val="21"/>
                    </w:rPr>
                  </w:pPr>
                  <w:r>
                    <w:rPr>
                      <w:rFonts w:hint="eastAsia"/>
                      <w:color w:val="auto"/>
                      <w:sz w:val="21"/>
                      <w:szCs w:val="21"/>
                    </w:rPr>
                    <w:t>轻型载重车</w:t>
                  </w:r>
                </w:p>
              </w:tc>
              <w:tc>
                <w:tcPr>
                  <w:tcW w:w="3557" w:type="dxa"/>
                  <w:vAlign w:val="center"/>
                </w:tcPr>
                <w:p>
                  <w:pPr>
                    <w:jc w:val="center"/>
                    <w:rPr>
                      <w:rFonts w:hint="eastAsia"/>
                      <w:color w:val="auto"/>
                      <w:sz w:val="21"/>
                      <w:szCs w:val="21"/>
                    </w:rPr>
                  </w:pPr>
                  <w:r>
                    <w:rPr>
                      <w:rFonts w:hint="eastAsia"/>
                      <w:color w:val="auto"/>
                      <w:sz w:val="21"/>
                      <w:szCs w:val="21"/>
                    </w:rPr>
                    <w:t>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restart"/>
                  <w:vAlign w:val="center"/>
                </w:tcPr>
                <w:p>
                  <w:pPr>
                    <w:jc w:val="center"/>
                    <w:rPr>
                      <w:rFonts w:hint="eastAsia"/>
                      <w:color w:val="auto"/>
                      <w:sz w:val="21"/>
                      <w:szCs w:val="21"/>
                    </w:rPr>
                  </w:pPr>
                  <w:r>
                    <w:rPr>
                      <w:rFonts w:hint="eastAsia"/>
                      <w:color w:val="auto"/>
                      <w:sz w:val="21"/>
                      <w:szCs w:val="21"/>
                    </w:rPr>
                    <w:t>底板与结构阶段</w:t>
                  </w:r>
                </w:p>
              </w:tc>
              <w:tc>
                <w:tcPr>
                  <w:tcW w:w="2026" w:type="dxa"/>
                  <w:vAlign w:val="center"/>
                </w:tcPr>
                <w:p>
                  <w:pPr>
                    <w:jc w:val="center"/>
                    <w:rPr>
                      <w:color w:val="auto"/>
                      <w:sz w:val="21"/>
                      <w:szCs w:val="21"/>
                    </w:rPr>
                  </w:pPr>
                  <w:r>
                    <w:rPr>
                      <w:rFonts w:hint="eastAsia"/>
                      <w:color w:val="auto"/>
                      <w:sz w:val="21"/>
                      <w:szCs w:val="21"/>
                    </w:rPr>
                    <w:t>电焊机</w:t>
                  </w:r>
                </w:p>
              </w:tc>
              <w:tc>
                <w:tcPr>
                  <w:tcW w:w="3557" w:type="dxa"/>
                  <w:vAlign w:val="center"/>
                </w:tcPr>
                <w:p>
                  <w:pPr>
                    <w:jc w:val="center"/>
                    <w:rPr>
                      <w:rFonts w:hint="eastAsia"/>
                      <w:color w:val="auto"/>
                      <w:sz w:val="21"/>
                      <w:szCs w:val="21"/>
                    </w:rPr>
                  </w:pPr>
                  <w:r>
                    <w:rPr>
                      <w:rFonts w:hint="eastAsia"/>
                      <w:color w:val="auto"/>
                      <w:sz w:val="21"/>
                      <w:szCs w:val="21"/>
                    </w:rPr>
                    <w:t>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Merge w:val="continue"/>
                  <w:vAlign w:val="center"/>
                </w:tcPr>
                <w:p>
                  <w:pPr>
                    <w:jc w:val="center"/>
                    <w:rPr>
                      <w:color w:val="auto"/>
                      <w:sz w:val="21"/>
                      <w:szCs w:val="21"/>
                    </w:rPr>
                  </w:pPr>
                </w:p>
              </w:tc>
              <w:tc>
                <w:tcPr>
                  <w:tcW w:w="2026" w:type="dxa"/>
                  <w:vAlign w:val="center"/>
                </w:tcPr>
                <w:p>
                  <w:pPr>
                    <w:jc w:val="center"/>
                    <w:rPr>
                      <w:color w:val="auto"/>
                      <w:sz w:val="21"/>
                      <w:szCs w:val="21"/>
                    </w:rPr>
                  </w:pPr>
                  <w:r>
                    <w:rPr>
                      <w:rFonts w:hint="eastAsia"/>
                      <w:color w:val="auto"/>
                      <w:sz w:val="21"/>
                      <w:szCs w:val="21"/>
                    </w:rPr>
                    <w:t>振捣机</w:t>
                  </w:r>
                </w:p>
              </w:tc>
              <w:tc>
                <w:tcPr>
                  <w:tcW w:w="3557" w:type="dxa"/>
                  <w:vAlign w:val="center"/>
                </w:tcPr>
                <w:p>
                  <w:pPr>
                    <w:jc w:val="center"/>
                    <w:rPr>
                      <w:rFonts w:hint="eastAsia"/>
                      <w:color w:val="auto"/>
                      <w:sz w:val="21"/>
                      <w:szCs w:val="21"/>
                    </w:rPr>
                  </w:pPr>
                  <w:r>
                    <w:rPr>
                      <w:rFonts w:hint="eastAsia"/>
                      <w:color w:val="auto"/>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99" w:type="dxa"/>
                  <w:vAlign w:val="center"/>
                </w:tcPr>
                <w:p>
                  <w:pPr>
                    <w:jc w:val="center"/>
                    <w:rPr>
                      <w:rFonts w:hint="eastAsia"/>
                      <w:color w:val="auto"/>
                      <w:sz w:val="21"/>
                      <w:szCs w:val="21"/>
                    </w:rPr>
                  </w:pPr>
                  <w:r>
                    <w:rPr>
                      <w:rFonts w:hint="eastAsia"/>
                      <w:color w:val="auto"/>
                      <w:sz w:val="21"/>
                      <w:szCs w:val="21"/>
                    </w:rPr>
                    <w:t>安装阶段</w:t>
                  </w:r>
                </w:p>
              </w:tc>
              <w:tc>
                <w:tcPr>
                  <w:tcW w:w="2026" w:type="dxa"/>
                  <w:vAlign w:val="center"/>
                </w:tcPr>
                <w:p>
                  <w:pPr>
                    <w:jc w:val="center"/>
                    <w:rPr>
                      <w:rFonts w:hint="eastAsia"/>
                      <w:color w:val="auto"/>
                      <w:sz w:val="21"/>
                      <w:szCs w:val="21"/>
                    </w:rPr>
                  </w:pPr>
                  <w:r>
                    <w:rPr>
                      <w:rFonts w:hint="eastAsia"/>
                      <w:color w:val="auto"/>
                      <w:sz w:val="21"/>
                      <w:szCs w:val="21"/>
                    </w:rPr>
                    <w:t>切割机</w:t>
                  </w:r>
                </w:p>
              </w:tc>
              <w:tc>
                <w:tcPr>
                  <w:tcW w:w="3557" w:type="dxa"/>
                  <w:vAlign w:val="center"/>
                </w:tcPr>
                <w:p>
                  <w:pPr>
                    <w:jc w:val="center"/>
                    <w:rPr>
                      <w:rFonts w:hint="eastAsia"/>
                      <w:color w:val="auto"/>
                      <w:sz w:val="21"/>
                      <w:szCs w:val="21"/>
                    </w:rPr>
                  </w:pPr>
                  <w:r>
                    <w:rPr>
                      <w:rFonts w:hint="eastAsia"/>
                      <w:color w:val="auto"/>
                      <w:sz w:val="21"/>
                      <w:szCs w:val="21"/>
                    </w:rPr>
                    <w:t>95</w:t>
                  </w:r>
                </w:p>
              </w:tc>
            </w:tr>
          </w:tbl>
          <w:p>
            <w:pPr>
              <w:pStyle w:val="4"/>
              <w:snapToGrid w:val="0"/>
              <w:spacing w:before="0" w:after="0" w:line="360" w:lineRule="auto"/>
              <w:rPr>
                <w:rFonts w:hint="eastAsia"/>
                <w:color w:val="auto"/>
                <w:sz w:val="24"/>
                <w:szCs w:val="24"/>
              </w:rPr>
            </w:pPr>
            <w:r>
              <w:rPr>
                <w:rFonts w:hint="eastAsia"/>
                <w:color w:val="auto"/>
                <w:sz w:val="24"/>
                <w:szCs w:val="24"/>
                <w:lang w:val="en-US" w:eastAsia="zh-CN"/>
              </w:rPr>
              <w:t>1</w:t>
            </w:r>
            <w:r>
              <w:rPr>
                <w:color w:val="auto"/>
                <w:sz w:val="24"/>
                <w:szCs w:val="24"/>
              </w:rPr>
              <w:t>.4 固体废物分析</w:t>
            </w:r>
          </w:p>
          <w:p>
            <w:pPr>
              <w:spacing w:line="360" w:lineRule="auto"/>
              <w:ind w:firstLine="480" w:firstLineChars="200"/>
              <w:rPr>
                <w:rFonts w:hint="eastAsia"/>
                <w:color w:val="auto"/>
                <w:sz w:val="24"/>
              </w:rPr>
            </w:pPr>
            <w:r>
              <w:rPr>
                <w:rFonts w:hint="eastAsia"/>
                <w:color w:val="auto"/>
                <w:sz w:val="24"/>
              </w:rPr>
              <w:t xml:space="preserve">本项目施工期固体废弃物主要为工程开挖时产生的废弃土石方、建筑垃圾和施工人员生活垃圾。 </w:t>
            </w:r>
          </w:p>
          <w:p>
            <w:pPr>
              <w:spacing w:line="360" w:lineRule="auto"/>
              <w:ind w:firstLine="480" w:firstLineChars="200"/>
              <w:rPr>
                <w:rFonts w:hint="eastAsia"/>
                <w:color w:val="auto"/>
                <w:sz w:val="24"/>
              </w:rPr>
            </w:pPr>
            <w:r>
              <w:rPr>
                <w:rFonts w:hint="eastAsia"/>
                <w:color w:val="auto"/>
                <w:sz w:val="24"/>
              </w:rPr>
              <w:t>①建筑垃圾：主要为废包装袋、建筑边角料、废砖等，其产生量约为50t，建筑垃圾应由专人专车收集处理，不得任意丢弃。</w:t>
            </w:r>
          </w:p>
          <w:p>
            <w:pPr>
              <w:spacing w:line="360" w:lineRule="auto"/>
              <w:ind w:firstLine="480" w:firstLineChars="200"/>
              <w:rPr>
                <w:rFonts w:hint="eastAsia"/>
                <w:color w:val="auto"/>
                <w:sz w:val="24"/>
              </w:rPr>
            </w:pPr>
            <w:r>
              <w:rPr>
                <w:rFonts w:hint="eastAsia"/>
                <w:color w:val="auto"/>
                <w:sz w:val="24"/>
              </w:rPr>
              <w:t>② 土石方：工程区地势平坦，土石方开挖料调运规划综合考虑场内交通条件、开挖料运距及回采利用等因素，并结合环保、水保要求而进行。项目净水无需场地平整，</w:t>
            </w:r>
            <w:r>
              <w:rPr>
                <w:rFonts w:hint="eastAsia"/>
                <w:color w:val="auto"/>
                <w:sz w:val="24"/>
                <w:lang w:eastAsia="zh-CN"/>
              </w:rPr>
              <w:t>及</w:t>
            </w:r>
            <w:r>
              <w:rPr>
                <w:rFonts w:hint="eastAsia"/>
                <w:color w:val="auto"/>
                <w:sz w:val="24"/>
              </w:rPr>
              <w:t xml:space="preserve">建构物基础开挖及回填，开挖时先挖土方，并将土方集中堆放，作为后期空地绿化用料。配水管线只涉及埋管断面开挖及沿管线施工道路的局部开挖及垫高路面需要部分回填料，回填料来自管道开挖料。 </w:t>
            </w:r>
          </w:p>
          <w:p>
            <w:pPr>
              <w:spacing w:line="360" w:lineRule="auto"/>
              <w:ind w:firstLine="480" w:firstLineChars="200"/>
              <w:rPr>
                <w:rFonts w:hint="eastAsia"/>
                <w:color w:val="auto"/>
                <w:sz w:val="24"/>
              </w:rPr>
            </w:pPr>
            <w:r>
              <w:rPr>
                <w:rFonts w:hint="eastAsia"/>
                <w:color w:val="auto"/>
                <w:sz w:val="24"/>
              </w:rPr>
              <w:t>根据本项目设计方案，施工期间项目具体的土石方情况见下表所示。</w:t>
            </w:r>
          </w:p>
          <w:p>
            <w:pPr>
              <w:ind w:firstLine="482" w:firstLineChars="200"/>
              <w:jc w:val="center"/>
              <w:rPr>
                <w:rFonts w:hint="eastAsia"/>
                <w:b/>
                <w:color w:val="auto"/>
                <w:sz w:val="24"/>
              </w:rPr>
            </w:pPr>
            <w:r>
              <w:rPr>
                <w:rFonts w:hint="eastAsia"/>
                <w:b/>
                <w:color w:val="auto"/>
                <w:sz w:val="24"/>
              </w:rPr>
              <w:t>表</w:t>
            </w:r>
            <w:r>
              <w:rPr>
                <w:rFonts w:hint="eastAsia"/>
                <w:b/>
                <w:color w:val="auto"/>
                <w:sz w:val="24"/>
                <w:lang w:val="en-US" w:eastAsia="zh-CN"/>
              </w:rPr>
              <w:t>28</w:t>
            </w:r>
            <w:r>
              <w:rPr>
                <w:rFonts w:hint="eastAsia"/>
                <w:b/>
                <w:color w:val="auto"/>
                <w:sz w:val="24"/>
              </w:rPr>
              <w:t xml:space="preserve">     本项目土石方平衡表</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9"/>
              <w:gridCol w:w="1201"/>
              <w:gridCol w:w="897"/>
              <w:gridCol w:w="1049"/>
              <w:gridCol w:w="1049"/>
              <w:gridCol w:w="34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629" w:type="dxa"/>
                  <w:vAlign w:val="center"/>
                </w:tcPr>
                <w:p>
                  <w:pPr>
                    <w:jc w:val="center"/>
                    <w:rPr>
                      <w:rFonts w:hint="eastAsia"/>
                      <w:color w:val="auto"/>
                      <w:sz w:val="21"/>
                      <w:szCs w:val="21"/>
                    </w:rPr>
                  </w:pPr>
                  <w:r>
                    <w:rPr>
                      <w:rFonts w:hint="eastAsia"/>
                      <w:color w:val="auto"/>
                      <w:sz w:val="21"/>
                      <w:szCs w:val="21"/>
                    </w:rPr>
                    <w:t>序号</w:t>
                  </w:r>
                </w:p>
              </w:tc>
              <w:tc>
                <w:tcPr>
                  <w:tcW w:w="1201" w:type="dxa"/>
                  <w:vAlign w:val="center"/>
                </w:tcPr>
                <w:p>
                  <w:pPr>
                    <w:jc w:val="center"/>
                    <w:rPr>
                      <w:rFonts w:hint="eastAsia"/>
                      <w:color w:val="auto"/>
                      <w:sz w:val="21"/>
                      <w:szCs w:val="21"/>
                    </w:rPr>
                  </w:pPr>
                  <w:r>
                    <w:rPr>
                      <w:rFonts w:hint="eastAsia"/>
                      <w:color w:val="auto"/>
                      <w:sz w:val="21"/>
                      <w:szCs w:val="21"/>
                    </w:rPr>
                    <w:t>名称</w:t>
                  </w:r>
                </w:p>
              </w:tc>
              <w:tc>
                <w:tcPr>
                  <w:tcW w:w="897" w:type="dxa"/>
                  <w:vAlign w:val="center"/>
                </w:tcPr>
                <w:p>
                  <w:pPr>
                    <w:jc w:val="center"/>
                    <w:rPr>
                      <w:rFonts w:hint="eastAsia"/>
                      <w:color w:val="auto"/>
                      <w:sz w:val="21"/>
                      <w:szCs w:val="21"/>
                    </w:rPr>
                  </w:pPr>
                  <w:r>
                    <w:rPr>
                      <w:rFonts w:hint="eastAsia"/>
                      <w:color w:val="auto"/>
                      <w:sz w:val="21"/>
                      <w:szCs w:val="21"/>
                    </w:rPr>
                    <w:t>挖方</w:t>
                  </w:r>
                </w:p>
                <w:p>
                  <w:pPr>
                    <w:jc w:val="center"/>
                    <w:rPr>
                      <w:rFonts w:hint="eastAsia"/>
                      <w:color w:val="auto"/>
                      <w:sz w:val="21"/>
                      <w:szCs w:val="21"/>
                    </w:rPr>
                  </w:pPr>
                  <w:r>
                    <w:rPr>
                      <w:rFonts w:hint="eastAsia"/>
                      <w:color w:val="auto"/>
                      <w:sz w:val="21"/>
                      <w:szCs w:val="21"/>
                    </w:rPr>
                    <w:t>（m</w:t>
                  </w:r>
                  <w:r>
                    <w:rPr>
                      <w:rFonts w:hint="eastAsia"/>
                      <w:color w:val="auto"/>
                      <w:sz w:val="21"/>
                      <w:szCs w:val="21"/>
                      <w:vertAlign w:val="superscript"/>
                    </w:rPr>
                    <w:t>3</w:t>
                  </w:r>
                  <w:r>
                    <w:rPr>
                      <w:rFonts w:hint="eastAsia"/>
                      <w:color w:val="auto"/>
                      <w:sz w:val="21"/>
                      <w:szCs w:val="21"/>
                    </w:rPr>
                    <w:t>）</w:t>
                  </w:r>
                </w:p>
              </w:tc>
              <w:tc>
                <w:tcPr>
                  <w:tcW w:w="1049" w:type="dxa"/>
                  <w:vAlign w:val="center"/>
                </w:tcPr>
                <w:p>
                  <w:pPr>
                    <w:jc w:val="center"/>
                    <w:rPr>
                      <w:rFonts w:hint="eastAsia"/>
                      <w:color w:val="auto"/>
                      <w:sz w:val="21"/>
                      <w:szCs w:val="21"/>
                    </w:rPr>
                  </w:pPr>
                  <w:r>
                    <w:rPr>
                      <w:rFonts w:hint="eastAsia"/>
                      <w:color w:val="auto"/>
                      <w:sz w:val="21"/>
                      <w:szCs w:val="21"/>
                    </w:rPr>
                    <w:t>填方</w:t>
                  </w:r>
                </w:p>
                <w:p>
                  <w:pPr>
                    <w:jc w:val="center"/>
                    <w:rPr>
                      <w:rFonts w:hint="eastAsia"/>
                      <w:color w:val="auto"/>
                      <w:sz w:val="21"/>
                      <w:szCs w:val="21"/>
                    </w:rPr>
                  </w:pPr>
                  <w:r>
                    <w:rPr>
                      <w:rFonts w:hint="eastAsia"/>
                      <w:color w:val="auto"/>
                      <w:sz w:val="21"/>
                      <w:szCs w:val="21"/>
                    </w:rPr>
                    <w:t>（m</w:t>
                  </w:r>
                  <w:r>
                    <w:rPr>
                      <w:rFonts w:hint="eastAsia"/>
                      <w:color w:val="auto"/>
                      <w:sz w:val="21"/>
                      <w:szCs w:val="21"/>
                      <w:vertAlign w:val="superscript"/>
                    </w:rPr>
                    <w:t>3</w:t>
                  </w:r>
                  <w:r>
                    <w:rPr>
                      <w:rFonts w:hint="eastAsia"/>
                      <w:color w:val="auto"/>
                      <w:sz w:val="21"/>
                      <w:szCs w:val="21"/>
                    </w:rPr>
                    <w:t>）</w:t>
                  </w:r>
                </w:p>
              </w:tc>
              <w:tc>
                <w:tcPr>
                  <w:tcW w:w="1049" w:type="dxa"/>
                  <w:vAlign w:val="center"/>
                </w:tcPr>
                <w:p>
                  <w:pPr>
                    <w:jc w:val="center"/>
                    <w:rPr>
                      <w:rFonts w:hint="eastAsia"/>
                      <w:color w:val="auto"/>
                      <w:sz w:val="21"/>
                      <w:szCs w:val="21"/>
                    </w:rPr>
                  </w:pPr>
                  <w:r>
                    <w:rPr>
                      <w:rFonts w:hint="eastAsia"/>
                      <w:color w:val="auto"/>
                      <w:sz w:val="21"/>
                      <w:szCs w:val="21"/>
                    </w:rPr>
                    <w:t>弃土弃渣</w:t>
                  </w:r>
                </w:p>
                <w:p>
                  <w:pPr>
                    <w:jc w:val="center"/>
                    <w:rPr>
                      <w:rFonts w:hint="eastAsia"/>
                      <w:color w:val="auto"/>
                      <w:sz w:val="21"/>
                      <w:szCs w:val="21"/>
                    </w:rPr>
                  </w:pPr>
                  <w:r>
                    <w:rPr>
                      <w:rFonts w:hint="eastAsia"/>
                      <w:color w:val="auto"/>
                      <w:sz w:val="21"/>
                      <w:szCs w:val="21"/>
                    </w:rPr>
                    <w:t>量（m</w:t>
                  </w:r>
                  <w:r>
                    <w:rPr>
                      <w:rFonts w:hint="eastAsia"/>
                      <w:color w:val="auto"/>
                      <w:sz w:val="21"/>
                      <w:szCs w:val="21"/>
                      <w:vertAlign w:val="superscript"/>
                    </w:rPr>
                    <w:t>3</w:t>
                  </w:r>
                  <w:r>
                    <w:rPr>
                      <w:rFonts w:hint="eastAsia"/>
                      <w:color w:val="auto"/>
                      <w:sz w:val="21"/>
                      <w:szCs w:val="21"/>
                    </w:rPr>
                    <w:t>）</w:t>
                  </w:r>
                </w:p>
              </w:tc>
              <w:tc>
                <w:tcPr>
                  <w:tcW w:w="3457" w:type="dxa"/>
                  <w:vAlign w:val="center"/>
                </w:tcPr>
                <w:p>
                  <w:pPr>
                    <w:jc w:val="center"/>
                    <w:rPr>
                      <w:rFonts w:hint="eastAsia"/>
                      <w:color w:val="auto"/>
                      <w:sz w:val="21"/>
                      <w:szCs w:val="21"/>
                    </w:rPr>
                  </w:pPr>
                  <w:r>
                    <w:rPr>
                      <w:rFonts w:hint="eastAsia"/>
                      <w:color w:val="auto"/>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629" w:type="dxa"/>
                  <w:vAlign w:val="center"/>
                </w:tcPr>
                <w:p>
                  <w:pPr>
                    <w:jc w:val="center"/>
                    <w:rPr>
                      <w:rFonts w:hint="eastAsia"/>
                      <w:color w:val="auto"/>
                      <w:sz w:val="21"/>
                      <w:szCs w:val="21"/>
                    </w:rPr>
                  </w:pPr>
                  <w:r>
                    <w:rPr>
                      <w:rFonts w:hint="eastAsia"/>
                      <w:color w:val="auto"/>
                      <w:sz w:val="21"/>
                      <w:szCs w:val="21"/>
                    </w:rPr>
                    <w:t>2</w:t>
                  </w:r>
                </w:p>
              </w:tc>
              <w:tc>
                <w:tcPr>
                  <w:tcW w:w="1201" w:type="dxa"/>
                  <w:vAlign w:val="center"/>
                </w:tcPr>
                <w:p>
                  <w:pPr>
                    <w:jc w:val="center"/>
                    <w:rPr>
                      <w:rFonts w:hint="eastAsia"/>
                      <w:color w:val="auto"/>
                      <w:sz w:val="21"/>
                      <w:szCs w:val="21"/>
                    </w:rPr>
                  </w:pPr>
                  <w:r>
                    <w:rPr>
                      <w:rFonts w:hint="eastAsia"/>
                      <w:color w:val="auto"/>
                      <w:sz w:val="21"/>
                      <w:szCs w:val="21"/>
                    </w:rPr>
                    <w:t>净水厂</w:t>
                  </w:r>
                </w:p>
              </w:tc>
              <w:tc>
                <w:tcPr>
                  <w:tcW w:w="897" w:type="dxa"/>
                  <w:vAlign w:val="center"/>
                </w:tcPr>
                <w:p>
                  <w:pPr>
                    <w:jc w:val="center"/>
                    <w:rPr>
                      <w:rFonts w:hint="eastAsia"/>
                      <w:color w:val="auto"/>
                      <w:sz w:val="21"/>
                      <w:szCs w:val="21"/>
                    </w:rPr>
                  </w:pPr>
                  <w:r>
                    <w:rPr>
                      <w:rFonts w:hint="eastAsia"/>
                      <w:color w:val="auto"/>
                      <w:sz w:val="21"/>
                      <w:szCs w:val="21"/>
                      <w:lang w:val="en-US" w:eastAsia="zh-CN"/>
                    </w:rPr>
                    <w:t>6</w:t>
                  </w:r>
                  <w:r>
                    <w:rPr>
                      <w:rFonts w:hint="eastAsia"/>
                      <w:color w:val="auto"/>
                      <w:sz w:val="21"/>
                      <w:szCs w:val="21"/>
                    </w:rPr>
                    <w:t>0000</w:t>
                  </w:r>
                </w:p>
              </w:tc>
              <w:tc>
                <w:tcPr>
                  <w:tcW w:w="1049" w:type="dxa"/>
                  <w:vAlign w:val="center"/>
                </w:tcPr>
                <w:p>
                  <w:pPr>
                    <w:jc w:val="center"/>
                    <w:rPr>
                      <w:rFonts w:hint="eastAsia"/>
                      <w:color w:val="auto"/>
                      <w:sz w:val="21"/>
                      <w:szCs w:val="21"/>
                    </w:rPr>
                  </w:pPr>
                  <w:r>
                    <w:rPr>
                      <w:rFonts w:hint="eastAsia"/>
                      <w:color w:val="auto"/>
                      <w:sz w:val="21"/>
                      <w:szCs w:val="21"/>
                      <w:lang w:val="en-US" w:eastAsia="zh-CN"/>
                    </w:rPr>
                    <w:t>6</w:t>
                  </w:r>
                  <w:r>
                    <w:rPr>
                      <w:rFonts w:hint="eastAsia"/>
                      <w:color w:val="auto"/>
                      <w:sz w:val="21"/>
                      <w:szCs w:val="21"/>
                    </w:rPr>
                    <w:t>0000</w:t>
                  </w:r>
                </w:p>
              </w:tc>
              <w:tc>
                <w:tcPr>
                  <w:tcW w:w="1049" w:type="dxa"/>
                  <w:vAlign w:val="center"/>
                </w:tcPr>
                <w:p>
                  <w:pPr>
                    <w:jc w:val="center"/>
                    <w:rPr>
                      <w:rFonts w:hint="eastAsia"/>
                      <w:color w:val="auto"/>
                      <w:sz w:val="21"/>
                      <w:szCs w:val="21"/>
                    </w:rPr>
                  </w:pPr>
                  <w:r>
                    <w:rPr>
                      <w:rFonts w:hint="eastAsia"/>
                      <w:color w:val="auto"/>
                      <w:sz w:val="21"/>
                      <w:szCs w:val="21"/>
                    </w:rPr>
                    <w:t>0</w:t>
                  </w:r>
                </w:p>
              </w:tc>
              <w:tc>
                <w:tcPr>
                  <w:tcW w:w="3457" w:type="dxa"/>
                  <w:vAlign w:val="center"/>
                </w:tcPr>
                <w:p>
                  <w:pPr>
                    <w:jc w:val="center"/>
                    <w:rPr>
                      <w:rFonts w:hint="eastAsia"/>
                      <w:color w:val="auto"/>
                      <w:sz w:val="21"/>
                      <w:szCs w:val="21"/>
                    </w:rPr>
                  </w:pPr>
                  <w:r>
                    <w:rPr>
                      <w:rFonts w:hint="eastAsia"/>
                      <w:color w:val="auto"/>
                      <w:sz w:val="21"/>
                      <w:szCs w:val="21"/>
                    </w:rPr>
                    <w:t>厂内挖方可全部用于回填，无需外运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629" w:type="dxa"/>
                  <w:vAlign w:val="center"/>
                </w:tcPr>
                <w:p>
                  <w:pPr>
                    <w:jc w:val="center"/>
                    <w:rPr>
                      <w:rFonts w:hint="eastAsia"/>
                      <w:color w:val="auto"/>
                      <w:sz w:val="21"/>
                      <w:szCs w:val="21"/>
                    </w:rPr>
                  </w:pPr>
                  <w:r>
                    <w:rPr>
                      <w:rFonts w:hint="eastAsia"/>
                      <w:color w:val="auto"/>
                      <w:sz w:val="21"/>
                      <w:szCs w:val="21"/>
                    </w:rPr>
                    <w:t>3</w:t>
                  </w:r>
                </w:p>
              </w:tc>
              <w:tc>
                <w:tcPr>
                  <w:tcW w:w="1201" w:type="dxa"/>
                  <w:vAlign w:val="center"/>
                </w:tcPr>
                <w:p>
                  <w:pPr>
                    <w:jc w:val="center"/>
                    <w:rPr>
                      <w:rFonts w:hint="eastAsia"/>
                      <w:color w:val="auto"/>
                      <w:sz w:val="21"/>
                      <w:szCs w:val="21"/>
                    </w:rPr>
                  </w:pPr>
                  <w:r>
                    <w:rPr>
                      <w:rFonts w:hint="eastAsia"/>
                      <w:color w:val="auto"/>
                      <w:sz w:val="21"/>
                      <w:szCs w:val="21"/>
                    </w:rPr>
                    <w:t>配水管线</w:t>
                  </w:r>
                </w:p>
              </w:tc>
              <w:tc>
                <w:tcPr>
                  <w:tcW w:w="897" w:type="dxa"/>
                  <w:textDirection w:val="lrTb"/>
                  <w:vAlign w:val="center"/>
                </w:tcPr>
                <w:p>
                  <w:pPr>
                    <w:jc w:val="center"/>
                    <w:rPr>
                      <w:rFonts w:hint="eastAsia"/>
                      <w:color w:val="auto"/>
                      <w:sz w:val="21"/>
                      <w:szCs w:val="21"/>
                    </w:rPr>
                  </w:pPr>
                  <w:r>
                    <w:rPr>
                      <w:rFonts w:hint="eastAsia"/>
                      <w:color w:val="auto"/>
                      <w:szCs w:val="21"/>
                    </w:rPr>
                    <w:t>285200</w:t>
                  </w:r>
                </w:p>
              </w:tc>
              <w:tc>
                <w:tcPr>
                  <w:tcW w:w="1049" w:type="dxa"/>
                  <w:textDirection w:val="lrTb"/>
                  <w:vAlign w:val="center"/>
                </w:tcPr>
                <w:p>
                  <w:pPr>
                    <w:jc w:val="center"/>
                    <w:rPr>
                      <w:rFonts w:hint="eastAsia"/>
                      <w:color w:val="auto"/>
                      <w:sz w:val="21"/>
                      <w:szCs w:val="21"/>
                    </w:rPr>
                  </w:pPr>
                  <w:r>
                    <w:rPr>
                      <w:rFonts w:hint="eastAsia"/>
                      <w:color w:val="auto"/>
                      <w:szCs w:val="21"/>
                    </w:rPr>
                    <w:t>232100</w:t>
                  </w:r>
                </w:p>
              </w:tc>
              <w:tc>
                <w:tcPr>
                  <w:tcW w:w="1049" w:type="dxa"/>
                  <w:textDirection w:val="lrTb"/>
                  <w:vAlign w:val="center"/>
                </w:tcPr>
                <w:p>
                  <w:pPr>
                    <w:jc w:val="center"/>
                    <w:rPr>
                      <w:rFonts w:hint="eastAsia"/>
                      <w:color w:val="auto"/>
                      <w:sz w:val="21"/>
                      <w:szCs w:val="21"/>
                    </w:rPr>
                  </w:pPr>
                  <w:r>
                    <w:rPr>
                      <w:rFonts w:hint="eastAsia"/>
                      <w:color w:val="auto"/>
                      <w:szCs w:val="21"/>
                    </w:rPr>
                    <w:t>53100</w:t>
                  </w:r>
                </w:p>
              </w:tc>
              <w:tc>
                <w:tcPr>
                  <w:tcW w:w="3457" w:type="dxa"/>
                  <w:vAlign w:val="center"/>
                </w:tcPr>
                <w:p>
                  <w:pPr>
                    <w:jc w:val="center"/>
                    <w:rPr>
                      <w:rFonts w:hint="eastAsia"/>
                      <w:color w:val="auto"/>
                      <w:sz w:val="21"/>
                      <w:szCs w:val="21"/>
                    </w:rPr>
                  </w:pPr>
                  <w:r>
                    <w:rPr>
                      <w:rFonts w:hint="eastAsia"/>
                      <w:color w:val="auto"/>
                      <w:sz w:val="21"/>
                      <w:szCs w:val="21"/>
                    </w:rPr>
                    <w:t>按平江县渣土办要求外运填埋</w:t>
                  </w:r>
                </w:p>
              </w:tc>
            </w:tr>
          </w:tbl>
          <w:p>
            <w:pPr>
              <w:spacing w:line="360" w:lineRule="auto"/>
              <w:ind w:firstLine="480" w:firstLineChars="200"/>
              <w:rPr>
                <w:rFonts w:hint="eastAsia"/>
                <w:color w:val="auto"/>
                <w:sz w:val="24"/>
              </w:rPr>
            </w:pPr>
            <w:r>
              <w:rPr>
                <w:rFonts w:hint="eastAsia"/>
                <w:color w:val="auto"/>
                <w:sz w:val="24"/>
              </w:rPr>
              <w:t>由土石方平衡分析可知，项目建设过程中弃土弃渣的产生量为</w:t>
            </w:r>
            <w:r>
              <w:rPr>
                <w:rFonts w:hint="eastAsia"/>
                <w:color w:val="auto"/>
                <w:sz w:val="24"/>
                <w:lang w:val="en-US" w:eastAsia="zh-CN"/>
              </w:rPr>
              <w:t>5.31</w:t>
            </w:r>
            <w:r>
              <w:rPr>
                <w:rFonts w:hint="eastAsia"/>
                <w:color w:val="auto"/>
                <w:sz w:val="24"/>
              </w:rPr>
              <w:t>万m</w:t>
            </w:r>
            <w:r>
              <w:rPr>
                <w:rFonts w:hint="eastAsia"/>
                <w:color w:val="auto"/>
                <w:sz w:val="24"/>
                <w:vertAlign w:val="superscript"/>
              </w:rPr>
              <w:t>3</w:t>
            </w:r>
            <w:r>
              <w:rPr>
                <w:rFonts w:hint="eastAsia"/>
                <w:color w:val="auto"/>
                <w:sz w:val="24"/>
              </w:rPr>
              <w:t>，建设单位按照平江县渣土的要求外运填埋。</w:t>
            </w:r>
          </w:p>
          <w:p>
            <w:pPr>
              <w:spacing w:line="360" w:lineRule="auto"/>
              <w:ind w:firstLine="480" w:firstLineChars="200"/>
              <w:rPr>
                <w:rFonts w:hint="eastAsia"/>
                <w:color w:val="auto"/>
                <w:sz w:val="24"/>
              </w:rPr>
            </w:pPr>
            <w:r>
              <w:rPr>
                <w:rFonts w:hint="eastAsia"/>
                <w:color w:val="auto"/>
                <w:sz w:val="24"/>
              </w:rPr>
              <w:t>③ 生活垃圾：本项目净水厂施工人员人数总数约40人，管线施工人员总数约30人，生活垃圾量共为35kg/d（以0.5kg/d•人计）。项目施工期为2年，生活垃圾产生总量为25.2t。施工单位采取袋装后送入垃圾桶内，然后由当地政环卫人员统一清运处理。</w:t>
            </w:r>
          </w:p>
          <w:p>
            <w:pPr>
              <w:pStyle w:val="4"/>
              <w:snapToGrid w:val="0"/>
              <w:spacing w:before="0" w:after="0" w:line="360" w:lineRule="auto"/>
              <w:rPr>
                <w:rFonts w:hint="eastAsia"/>
                <w:color w:val="auto"/>
                <w:sz w:val="24"/>
                <w:szCs w:val="24"/>
              </w:rPr>
            </w:pPr>
            <w:r>
              <w:rPr>
                <w:rFonts w:hint="eastAsia"/>
                <w:color w:val="auto"/>
                <w:sz w:val="24"/>
                <w:szCs w:val="24"/>
                <w:lang w:val="en-US" w:eastAsia="zh-CN"/>
              </w:rPr>
              <w:t>1</w:t>
            </w:r>
            <w:r>
              <w:rPr>
                <w:rFonts w:hint="eastAsia"/>
                <w:color w:val="auto"/>
                <w:sz w:val="24"/>
                <w:szCs w:val="24"/>
              </w:rPr>
              <w:t xml:space="preserve">.5 社会环境影响源分析 </w:t>
            </w:r>
          </w:p>
          <w:p>
            <w:pPr>
              <w:widowControl/>
              <w:spacing w:line="360" w:lineRule="auto"/>
              <w:ind w:firstLine="480" w:firstLineChars="200"/>
              <w:rPr>
                <w:rFonts w:hint="eastAsia"/>
                <w:color w:val="auto"/>
                <w:kern w:val="0"/>
                <w:sz w:val="24"/>
              </w:rPr>
            </w:pPr>
            <w:r>
              <w:rPr>
                <w:rFonts w:hint="eastAsia"/>
                <w:color w:val="auto"/>
                <w:kern w:val="0"/>
                <w:sz w:val="24"/>
              </w:rPr>
              <w:t xml:space="preserve">（1）本项目占用土地将改变土地使用结构的变化，管道铺设过程中主要是采用地下敷设，最终对地表层的影响不大。 </w:t>
            </w:r>
          </w:p>
          <w:p>
            <w:pPr>
              <w:widowControl/>
              <w:spacing w:line="360" w:lineRule="auto"/>
              <w:ind w:firstLine="480" w:firstLineChars="200"/>
              <w:rPr>
                <w:rFonts w:hint="eastAsia"/>
                <w:color w:val="auto"/>
                <w:kern w:val="0"/>
                <w:sz w:val="24"/>
              </w:rPr>
            </w:pPr>
            <w:r>
              <w:rPr>
                <w:rFonts w:hint="eastAsia"/>
                <w:color w:val="auto"/>
                <w:kern w:val="0"/>
                <w:sz w:val="24"/>
              </w:rPr>
              <w:t>（2）管网和净水厂工程施工期间将对周边居民出行产生一定影响，随着施工期的结束，影响会随之消除。</w:t>
            </w:r>
          </w:p>
          <w:p>
            <w:pPr>
              <w:pStyle w:val="4"/>
              <w:snapToGrid w:val="0"/>
              <w:spacing w:before="0" w:after="0" w:line="360" w:lineRule="auto"/>
              <w:rPr>
                <w:color w:val="auto"/>
                <w:sz w:val="24"/>
                <w:szCs w:val="24"/>
              </w:rPr>
            </w:pPr>
            <w:r>
              <w:rPr>
                <w:rFonts w:hint="eastAsia"/>
                <w:color w:val="auto"/>
                <w:sz w:val="24"/>
                <w:szCs w:val="24"/>
                <w:lang w:val="en-US" w:eastAsia="zh-CN"/>
              </w:rPr>
              <w:t>1</w:t>
            </w:r>
            <w:r>
              <w:rPr>
                <w:color w:val="auto"/>
                <w:sz w:val="24"/>
                <w:szCs w:val="24"/>
              </w:rPr>
              <w:t>.</w:t>
            </w:r>
            <w:r>
              <w:rPr>
                <w:rFonts w:hint="eastAsia"/>
                <w:color w:val="auto"/>
                <w:sz w:val="24"/>
                <w:szCs w:val="24"/>
              </w:rPr>
              <w:t>6</w:t>
            </w:r>
            <w:r>
              <w:rPr>
                <w:color w:val="auto"/>
                <w:sz w:val="24"/>
                <w:szCs w:val="24"/>
              </w:rPr>
              <w:t xml:space="preserve"> 生态影响分析</w:t>
            </w:r>
          </w:p>
          <w:p>
            <w:pPr>
              <w:widowControl/>
              <w:spacing w:line="360" w:lineRule="auto"/>
              <w:ind w:firstLine="482"/>
              <w:rPr>
                <w:rFonts w:hint="eastAsia"/>
                <w:color w:val="auto"/>
                <w:kern w:val="0"/>
                <w:sz w:val="24"/>
              </w:rPr>
            </w:pPr>
            <w:r>
              <w:rPr>
                <w:rFonts w:hint="eastAsia"/>
                <w:color w:val="auto"/>
                <w:kern w:val="0"/>
                <w:sz w:val="24"/>
              </w:rPr>
              <w:t xml:space="preserve">施工对生态环境的影响主要表现在： </w:t>
            </w:r>
          </w:p>
          <w:p>
            <w:pPr>
              <w:widowControl/>
              <w:spacing w:line="360" w:lineRule="auto"/>
              <w:ind w:firstLine="482"/>
              <w:rPr>
                <w:rFonts w:hint="eastAsia"/>
                <w:color w:val="auto"/>
                <w:kern w:val="0"/>
                <w:sz w:val="24"/>
              </w:rPr>
            </w:pPr>
            <w:r>
              <w:rPr>
                <w:rFonts w:hint="eastAsia"/>
                <w:color w:val="auto"/>
                <w:kern w:val="0"/>
                <w:sz w:val="24"/>
              </w:rPr>
              <w:t xml:space="preserve">（1）工程对土地的占用和分割改变了土地利用性质，使区域内植被覆盖率下降。 </w:t>
            </w:r>
          </w:p>
          <w:p>
            <w:pPr>
              <w:widowControl/>
              <w:spacing w:line="360" w:lineRule="auto"/>
              <w:ind w:firstLine="482"/>
              <w:rPr>
                <w:rFonts w:hint="eastAsia"/>
                <w:color w:val="auto"/>
                <w:kern w:val="0"/>
                <w:sz w:val="24"/>
              </w:rPr>
            </w:pPr>
            <w:r>
              <w:rPr>
                <w:rFonts w:hint="eastAsia"/>
                <w:color w:val="auto"/>
                <w:kern w:val="0"/>
                <w:sz w:val="24"/>
              </w:rPr>
              <w:t xml:space="preserve">（2）工程活动打破了原有的自然生态和环境，还会对项目沿线的动植物的生长、分布和活动产生一定不利的影响。 </w:t>
            </w:r>
          </w:p>
          <w:p>
            <w:pPr>
              <w:widowControl/>
              <w:spacing w:line="360" w:lineRule="auto"/>
              <w:ind w:firstLine="482"/>
              <w:rPr>
                <w:rFonts w:hint="eastAsia"/>
                <w:color w:val="auto"/>
                <w:kern w:val="0"/>
                <w:sz w:val="24"/>
              </w:rPr>
            </w:pPr>
            <w:r>
              <w:rPr>
                <w:rFonts w:hint="eastAsia"/>
                <w:color w:val="auto"/>
                <w:kern w:val="0"/>
                <w:sz w:val="24"/>
              </w:rPr>
              <w:t>（3）开挖后裸露地表在雨水及地表径流的作用下将引起大量的水土流失，影响局部的水文条件和陆生生态系统的稳定性。</w:t>
            </w:r>
          </w:p>
          <w:p>
            <w:pPr>
              <w:pStyle w:val="4"/>
              <w:snapToGrid w:val="0"/>
              <w:spacing w:before="0" w:after="0" w:line="360" w:lineRule="auto"/>
              <w:rPr>
                <w:rFonts w:hint="eastAsia"/>
                <w:color w:val="auto"/>
                <w:sz w:val="24"/>
                <w:szCs w:val="24"/>
                <w:lang w:val="en-US" w:eastAsia="zh-CN"/>
              </w:rPr>
            </w:pPr>
            <w:r>
              <w:rPr>
                <w:rFonts w:hint="eastAsia"/>
                <w:color w:val="auto"/>
                <w:sz w:val="24"/>
                <w:szCs w:val="24"/>
                <w:lang w:val="en-US" w:eastAsia="zh-CN"/>
              </w:rPr>
              <w:t>1.7环境敏感区影响分析</w:t>
            </w:r>
          </w:p>
          <w:p>
            <w:pPr>
              <w:widowControl/>
              <w:spacing w:line="360" w:lineRule="auto"/>
              <w:ind w:firstLine="480"/>
              <w:rPr>
                <w:rFonts w:hint="eastAsia"/>
                <w:color w:val="auto"/>
                <w:kern w:val="0"/>
                <w:sz w:val="24"/>
                <w:lang w:val="en-US" w:eastAsia="zh-CN"/>
              </w:rPr>
            </w:pPr>
            <w:r>
              <w:rPr>
                <w:rFonts w:hint="eastAsia"/>
                <w:color w:val="auto"/>
                <w:kern w:val="0"/>
                <w:sz w:val="24"/>
                <w:lang w:val="en-US" w:eastAsia="zh-CN"/>
              </w:rPr>
              <w:t>扩建管网沿S308省道穿越福寿山—汨罗江国家风景名胜区，根据《风景名胜区条例》（国务院令第474号）：</w:t>
            </w:r>
          </w:p>
          <w:p>
            <w:pPr>
              <w:widowControl/>
              <w:spacing w:line="360" w:lineRule="auto"/>
              <w:ind w:firstLine="482"/>
              <w:rPr>
                <w:rFonts w:hint="eastAsia"/>
                <w:color w:val="auto"/>
                <w:kern w:val="0"/>
                <w:sz w:val="24"/>
              </w:rPr>
            </w:pPr>
            <w:r>
              <w:rPr>
                <w:rFonts w:hint="eastAsia"/>
                <w:color w:val="auto"/>
                <w:kern w:val="0"/>
                <w:sz w:val="24"/>
                <w:lang w:eastAsia="zh-CN"/>
              </w:rPr>
              <w:t>“</w:t>
            </w:r>
            <w:r>
              <w:rPr>
                <w:rFonts w:hint="eastAsia"/>
                <w:color w:val="auto"/>
                <w:kern w:val="0"/>
                <w:sz w:val="24"/>
              </w:rPr>
              <w:t>在风景名胜区内禁止进行下列活动：</w:t>
            </w:r>
            <w:r>
              <w:rPr>
                <w:rFonts w:hint="eastAsia"/>
                <w:color w:val="auto"/>
                <w:kern w:val="0"/>
                <w:sz w:val="24"/>
              </w:rPr>
              <w:br w:type="textWrapping"/>
            </w:r>
            <w:r>
              <w:rPr>
                <w:rFonts w:hint="eastAsia"/>
                <w:color w:val="auto"/>
                <w:kern w:val="0"/>
                <w:sz w:val="24"/>
              </w:rPr>
              <w:t>　　（一）开山、采石、开矿、开荒、修坟立碑等破坏景观、植被和地形地貌的活动；</w:t>
            </w:r>
            <w:r>
              <w:rPr>
                <w:rFonts w:hint="eastAsia"/>
                <w:color w:val="auto"/>
                <w:kern w:val="0"/>
                <w:sz w:val="24"/>
              </w:rPr>
              <w:br w:type="textWrapping"/>
            </w:r>
            <w:r>
              <w:rPr>
                <w:rFonts w:hint="eastAsia"/>
                <w:color w:val="auto"/>
                <w:kern w:val="0"/>
                <w:sz w:val="24"/>
              </w:rPr>
              <w:t>　　（二）修建储存爆炸性、易燃性、放射性、毒害性、腐蚀性物品的设施；</w:t>
            </w:r>
            <w:r>
              <w:rPr>
                <w:rFonts w:hint="eastAsia"/>
                <w:color w:val="auto"/>
                <w:kern w:val="0"/>
                <w:sz w:val="24"/>
              </w:rPr>
              <w:br w:type="textWrapping"/>
            </w:r>
            <w:r>
              <w:rPr>
                <w:rFonts w:hint="eastAsia"/>
                <w:color w:val="auto"/>
                <w:kern w:val="0"/>
                <w:sz w:val="24"/>
              </w:rPr>
              <w:t>　　（三）在景物或者设施上刻划、涂污；</w:t>
            </w:r>
            <w:r>
              <w:rPr>
                <w:rFonts w:hint="eastAsia"/>
                <w:color w:val="auto"/>
                <w:kern w:val="0"/>
                <w:sz w:val="24"/>
              </w:rPr>
              <w:br w:type="textWrapping"/>
            </w:r>
            <w:r>
              <w:rPr>
                <w:rFonts w:hint="eastAsia"/>
                <w:color w:val="auto"/>
                <w:kern w:val="0"/>
                <w:sz w:val="24"/>
              </w:rPr>
              <w:t>　　（四）乱扔垃圾。</w:t>
            </w:r>
          </w:p>
          <w:p>
            <w:pPr>
              <w:widowControl/>
              <w:spacing w:line="360" w:lineRule="auto"/>
              <w:ind w:firstLine="482"/>
              <w:rPr>
                <w:rFonts w:hint="eastAsia"/>
                <w:color w:val="auto"/>
                <w:kern w:val="0"/>
                <w:sz w:val="24"/>
                <w:lang w:val="en-US" w:eastAsia="zh-CN"/>
              </w:rPr>
            </w:pPr>
            <w:r>
              <w:rPr>
                <w:rFonts w:hint="eastAsia"/>
                <w:color w:val="auto"/>
                <w:kern w:val="0"/>
                <w:sz w:val="24"/>
                <w:lang w:eastAsia="zh-CN"/>
              </w:rPr>
              <w:t>在风景名胜区内进行建设活动的，建设单位、施工单位应当制定污染防治和水土保持方案，并采取有效措施，保护好周围景物、水体、林草植被、野生动物资源和地形地貌。”</w:t>
            </w:r>
          </w:p>
          <w:p>
            <w:pPr>
              <w:widowControl/>
              <w:spacing w:line="360" w:lineRule="auto"/>
              <w:ind w:firstLine="482"/>
              <w:rPr>
                <w:rFonts w:hint="eastAsia" w:eastAsia="宋体"/>
                <w:color w:val="auto"/>
                <w:kern w:val="0"/>
                <w:sz w:val="24"/>
                <w:lang w:eastAsia="zh-CN"/>
              </w:rPr>
            </w:pPr>
            <w:r>
              <w:rPr>
                <w:rFonts w:hint="eastAsia"/>
                <w:color w:val="auto"/>
                <w:kern w:val="0"/>
                <w:sz w:val="24"/>
                <w:lang w:eastAsia="zh-CN"/>
              </w:rPr>
              <w:t>本项目不属于风景名胜区内禁止的活动，管网沿</w:t>
            </w:r>
            <w:r>
              <w:rPr>
                <w:rFonts w:hint="eastAsia"/>
                <w:color w:val="auto"/>
                <w:kern w:val="0"/>
                <w:sz w:val="24"/>
                <w:lang w:val="en-US" w:eastAsia="zh-CN"/>
              </w:rPr>
              <w:t>S308省道布设，不占用风景名胜区用地，项目建设中本着不破坏自然景观为原则，尽量减少对自然风景资源的人为破坏。</w:t>
            </w:r>
          </w:p>
          <w:p>
            <w:pPr>
              <w:spacing w:line="360" w:lineRule="auto"/>
              <w:rPr>
                <w:b/>
                <w:color w:val="auto"/>
                <w:sz w:val="24"/>
              </w:rPr>
            </w:pPr>
            <w:r>
              <w:rPr>
                <w:b/>
                <w:color w:val="auto"/>
                <w:sz w:val="24"/>
              </w:rPr>
              <w:t>2、营运期污染工序</w:t>
            </w:r>
          </w:p>
          <w:p>
            <w:pPr>
              <w:widowControl/>
              <w:spacing w:line="360" w:lineRule="auto"/>
              <w:ind w:firstLine="482"/>
              <w:rPr>
                <w:rFonts w:hint="eastAsia"/>
                <w:color w:val="auto"/>
                <w:kern w:val="0"/>
                <w:sz w:val="24"/>
              </w:rPr>
            </w:pPr>
            <w:r>
              <w:rPr>
                <w:rFonts w:hint="eastAsia"/>
                <w:color w:val="auto"/>
                <w:kern w:val="0"/>
                <w:sz w:val="24"/>
              </w:rPr>
              <w:t>类比同类工程可知，配水工程管网在运营过程中无污染，本项目在营运期主要的污染为净水厂工程，具体的污染源分析如下。</w:t>
            </w:r>
          </w:p>
          <w:p>
            <w:pPr>
              <w:pStyle w:val="4"/>
              <w:snapToGrid w:val="0"/>
              <w:spacing w:before="0" w:after="0" w:line="360" w:lineRule="auto"/>
              <w:rPr>
                <w:rFonts w:hint="eastAsia"/>
                <w:color w:val="auto"/>
                <w:sz w:val="24"/>
                <w:szCs w:val="24"/>
              </w:rPr>
            </w:pPr>
            <w:r>
              <w:rPr>
                <w:rFonts w:hint="eastAsia"/>
                <w:color w:val="auto"/>
                <w:sz w:val="24"/>
                <w:szCs w:val="24"/>
                <w:lang w:val="en-US" w:eastAsia="zh-CN"/>
              </w:rPr>
              <w:t>2</w:t>
            </w:r>
            <w:r>
              <w:rPr>
                <w:color w:val="auto"/>
                <w:sz w:val="24"/>
                <w:szCs w:val="24"/>
              </w:rPr>
              <w:t>.1</w:t>
            </w:r>
            <w:r>
              <w:rPr>
                <w:rFonts w:hint="eastAsia"/>
                <w:color w:val="auto"/>
                <w:sz w:val="24"/>
                <w:szCs w:val="24"/>
              </w:rPr>
              <w:t>废水</w:t>
            </w:r>
            <w:r>
              <w:rPr>
                <w:color w:val="auto"/>
                <w:sz w:val="24"/>
                <w:szCs w:val="24"/>
              </w:rPr>
              <w:t>污染源分析</w:t>
            </w:r>
          </w:p>
          <w:p>
            <w:pPr>
              <w:spacing w:line="360" w:lineRule="auto"/>
              <w:ind w:firstLine="480" w:firstLineChars="200"/>
              <w:rPr>
                <w:rFonts w:hint="eastAsia"/>
                <w:color w:val="auto"/>
                <w:sz w:val="24"/>
              </w:rPr>
            </w:pPr>
            <w:r>
              <w:rPr>
                <w:rFonts w:hint="eastAsia"/>
                <w:color w:val="auto"/>
                <w:sz w:val="24"/>
              </w:rPr>
              <w:t>本项目废水主要包括制水工艺过程中产生的滤池反冲洗水和沉淀池排泥水（排泥水浓缩压滤脱水后产生上清液和压滤水滤水）、职工办公生活中产生的生活污水。</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生产废水（滤池反冲洗水和沉淀池排污水）</w:t>
            </w:r>
          </w:p>
          <w:p>
            <w:pPr>
              <w:spacing w:line="360" w:lineRule="auto"/>
              <w:ind w:firstLine="480" w:firstLineChars="200"/>
              <w:rPr>
                <w:rFonts w:hint="eastAsia"/>
                <w:color w:val="auto"/>
                <w:sz w:val="24"/>
              </w:rPr>
            </w:pPr>
            <w:r>
              <w:rPr>
                <w:rFonts w:hint="eastAsia"/>
                <w:color w:val="auto"/>
                <w:sz w:val="24"/>
              </w:rPr>
              <w:t>制水工艺过程中产生的废水主要是滤池反冲洗水和沉淀池排泥水。</w:t>
            </w:r>
          </w:p>
          <w:p>
            <w:pPr>
              <w:spacing w:line="360" w:lineRule="auto"/>
              <w:ind w:firstLine="480" w:firstLineChars="200"/>
              <w:rPr>
                <w:rFonts w:hint="eastAsia"/>
                <w:color w:val="auto"/>
                <w:sz w:val="24"/>
              </w:rPr>
            </w:pPr>
            <w:r>
              <w:rPr>
                <w:rFonts w:hint="eastAsia"/>
                <w:color w:val="auto"/>
                <w:sz w:val="24"/>
              </w:rPr>
              <w:t xml:space="preserve">滤池反冲洗水：在滤池的过滤过程中，滤料层截留的杂质数量不断增因而滤料层阻力不断增加，滤池水头损失增大，水位也会随之升高。因而在过虑过程中须定时对滤池进行反冲洗。 </w:t>
            </w:r>
          </w:p>
          <w:p>
            <w:pPr>
              <w:spacing w:line="360" w:lineRule="auto"/>
              <w:ind w:firstLine="480" w:firstLineChars="200"/>
              <w:rPr>
                <w:rFonts w:hint="eastAsia"/>
                <w:color w:val="auto"/>
                <w:sz w:val="24"/>
              </w:rPr>
            </w:pPr>
            <w:r>
              <w:rPr>
                <w:rFonts w:hint="eastAsia"/>
                <w:color w:val="auto"/>
                <w:sz w:val="24"/>
              </w:rPr>
              <w:t xml:space="preserve">沉淀池排泥水：自来水原水中含有各种悬浮物质、胶体和溶解物质，使水呈现浑浊度、色度、嗅味等。在自来水生产过程中首先必须采用投加药剂的方法，去除原水中的各类杂质。本项目采用絮凝沉淀的方法去除杂质，混凝剂采用液态聚合氯化铝，混凝剂投入反应池，与原水中的胶体相互凝聚，并且吸附水中的悬浮物质、部分溶解溶解。 </w:t>
            </w:r>
          </w:p>
          <w:p>
            <w:pPr>
              <w:spacing w:line="360" w:lineRule="auto"/>
              <w:ind w:firstLine="480" w:firstLineChars="200"/>
              <w:rPr>
                <w:rFonts w:hint="eastAsia"/>
                <w:color w:val="auto"/>
                <w:sz w:val="24"/>
              </w:rPr>
            </w:pPr>
            <w:r>
              <w:rPr>
                <w:rFonts w:hint="eastAsia"/>
                <w:color w:val="auto"/>
                <w:sz w:val="24"/>
              </w:rPr>
              <w:t>①根据《室外给水设计规范》（GB50013-2006），滤池反冲洗水计算如下： 项目虹吸滤池水冲强度15L/(m</w:t>
            </w:r>
            <w:r>
              <w:rPr>
                <w:rFonts w:hint="eastAsia"/>
                <w:color w:val="auto"/>
                <w:sz w:val="24"/>
                <w:vertAlign w:val="superscript"/>
              </w:rPr>
              <w:t>2</w:t>
            </w:r>
            <w:r>
              <w:rPr>
                <w:rFonts w:hint="eastAsia"/>
                <w:color w:val="auto"/>
                <w:sz w:val="24"/>
              </w:rPr>
              <w:t>•s)，时间7min，单格过滤面积为35m</w:t>
            </w:r>
            <w:r>
              <w:rPr>
                <w:rFonts w:hint="eastAsia"/>
                <w:color w:val="auto"/>
                <w:sz w:val="24"/>
                <w:vertAlign w:val="superscript"/>
              </w:rPr>
              <w:t>2</w:t>
            </w:r>
            <w:r>
              <w:rPr>
                <w:rFonts w:hint="eastAsia"/>
                <w:color w:val="auto"/>
                <w:sz w:val="24"/>
              </w:rPr>
              <w:t>，计算移动罩滤池单格反冲洗水量为220.5m</w:t>
            </w:r>
            <w:r>
              <w:rPr>
                <w:rFonts w:hint="eastAsia"/>
                <w:color w:val="auto"/>
                <w:sz w:val="24"/>
                <w:vertAlign w:val="superscript"/>
              </w:rPr>
              <w:t>3</w:t>
            </w:r>
            <w:r>
              <w:rPr>
                <w:rFonts w:hint="eastAsia"/>
                <w:color w:val="auto"/>
                <w:sz w:val="24"/>
              </w:rPr>
              <w:t>，虹吸滤池共</w:t>
            </w:r>
            <w:r>
              <w:rPr>
                <w:rFonts w:hint="eastAsia"/>
                <w:color w:val="auto"/>
                <w:sz w:val="24"/>
                <w:lang w:val="en-US" w:eastAsia="zh-CN"/>
              </w:rPr>
              <w:t>16</w:t>
            </w:r>
            <w:r>
              <w:rPr>
                <w:rFonts w:hint="eastAsia"/>
                <w:color w:val="auto"/>
                <w:sz w:val="24"/>
              </w:rPr>
              <w:t>格，冲洗周期24h，计算得出虹吸滤池反冲洗水量</w:t>
            </w:r>
            <w:r>
              <w:rPr>
                <w:rFonts w:hint="eastAsia"/>
                <w:color w:val="auto"/>
                <w:sz w:val="24"/>
                <w:lang w:val="en-US" w:eastAsia="zh-CN"/>
              </w:rPr>
              <w:t>3528</w:t>
            </w:r>
            <w:r>
              <w:rPr>
                <w:rFonts w:hint="eastAsia"/>
                <w:color w:val="auto"/>
                <w:sz w:val="24"/>
              </w:rPr>
              <w:t>m</w:t>
            </w:r>
            <w:r>
              <w:rPr>
                <w:rFonts w:hint="eastAsia"/>
                <w:color w:val="auto"/>
                <w:sz w:val="24"/>
                <w:vertAlign w:val="superscript"/>
              </w:rPr>
              <w:t>3</w:t>
            </w:r>
            <w:r>
              <w:rPr>
                <w:rFonts w:hint="eastAsia"/>
                <w:color w:val="auto"/>
                <w:sz w:val="24"/>
              </w:rPr>
              <w:t>/d（</w:t>
            </w:r>
            <w:r>
              <w:rPr>
                <w:rFonts w:hint="eastAsia"/>
                <w:color w:val="auto"/>
                <w:sz w:val="24"/>
                <w:lang w:val="en-US" w:eastAsia="zh-CN"/>
              </w:rPr>
              <w:t>1287720</w:t>
            </w:r>
            <w:r>
              <w:rPr>
                <w:rFonts w:hint="eastAsia"/>
                <w:color w:val="auto"/>
                <w:sz w:val="24"/>
              </w:rPr>
              <w:t>t/a）。</w:t>
            </w:r>
          </w:p>
          <w:p>
            <w:pPr>
              <w:spacing w:line="360" w:lineRule="auto"/>
              <w:ind w:firstLine="480" w:firstLineChars="200"/>
              <w:rPr>
                <w:rFonts w:hint="eastAsia"/>
                <w:color w:val="auto"/>
                <w:sz w:val="24"/>
              </w:rPr>
            </w:pPr>
            <w:r>
              <w:rPr>
                <w:rFonts w:hint="eastAsia"/>
                <w:color w:val="auto"/>
                <w:sz w:val="24"/>
              </w:rPr>
              <w:t>②沉淀池排泥水：本项目水直接取用黄金洞水库水源，根据现状监测可知水中悬浮物浓度较低，只是洪水期，水体较浑浊。水浑浊度高时，沉淀池一般每2-3小时排放废水一次，水清时，一个班排放一次，每次排放时间2-4分钟。根据建设方提供同类型水厂的资料可知，平均每生产1万t净水需排放12.5t废水，本项目预计沉淀池排泥废水量为</w:t>
            </w:r>
            <w:r>
              <w:rPr>
                <w:rFonts w:hint="eastAsia"/>
                <w:color w:val="auto"/>
                <w:sz w:val="24"/>
                <w:lang w:val="en-US" w:eastAsia="zh-CN"/>
              </w:rPr>
              <w:t>125</w:t>
            </w:r>
            <w:r>
              <w:rPr>
                <w:rFonts w:hint="eastAsia"/>
                <w:color w:val="auto"/>
                <w:sz w:val="24"/>
              </w:rPr>
              <w:t>t/d（</w:t>
            </w:r>
            <w:r>
              <w:rPr>
                <w:rFonts w:hint="eastAsia"/>
                <w:color w:val="auto"/>
                <w:sz w:val="24"/>
                <w:lang w:val="en-US" w:eastAsia="zh-CN"/>
              </w:rPr>
              <w:t>45625</w:t>
            </w:r>
            <w:r>
              <w:rPr>
                <w:rFonts w:hint="eastAsia"/>
                <w:color w:val="auto"/>
                <w:sz w:val="24"/>
              </w:rPr>
              <w:t>t/a）。</w:t>
            </w:r>
          </w:p>
          <w:p>
            <w:pPr>
              <w:spacing w:line="360" w:lineRule="auto"/>
              <w:ind w:firstLine="480" w:firstLineChars="200"/>
              <w:rPr>
                <w:rFonts w:hint="eastAsia"/>
                <w:color w:val="auto"/>
                <w:sz w:val="24"/>
              </w:rPr>
            </w:pPr>
            <w:r>
              <w:rPr>
                <w:rFonts w:hint="eastAsia"/>
                <w:color w:val="auto"/>
                <w:sz w:val="24"/>
              </w:rPr>
              <w:t>通过类比对同类型自来水沉淀排废水和滤池反冲洗水取样监测，废水中主要污染物的监测平均值和变化范围如表</w:t>
            </w:r>
            <w:r>
              <w:rPr>
                <w:rFonts w:hint="eastAsia"/>
                <w:color w:val="auto"/>
                <w:sz w:val="24"/>
                <w:lang w:val="en-US" w:eastAsia="zh-CN"/>
              </w:rPr>
              <w:t>29</w:t>
            </w:r>
            <w:r>
              <w:rPr>
                <w:rFonts w:hint="eastAsia"/>
                <w:color w:val="auto"/>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29</w:t>
            </w:r>
            <w:r>
              <w:rPr>
                <w:rFonts w:hint="eastAsia"/>
                <w:b/>
                <w:color w:val="auto"/>
                <w:sz w:val="24"/>
              </w:rPr>
              <w:t xml:space="preserve">    水厂各类废水中污染物浓度（mg/L）</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67"/>
              <w:gridCol w:w="2067"/>
              <w:gridCol w:w="2076"/>
              <w:gridCol w:w="20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4134" w:type="dxa"/>
                  <w:gridSpan w:val="2"/>
                  <w:vAlign w:val="center"/>
                </w:tcPr>
                <w:p>
                  <w:pPr>
                    <w:jc w:val="center"/>
                    <w:rPr>
                      <w:rFonts w:hint="eastAsia"/>
                      <w:color w:val="auto"/>
                      <w:sz w:val="21"/>
                      <w:szCs w:val="21"/>
                    </w:rPr>
                  </w:pPr>
                  <w:r>
                    <w:rPr>
                      <w:rFonts w:hint="eastAsia"/>
                      <w:color w:val="auto"/>
                      <w:sz w:val="21"/>
                      <w:szCs w:val="21"/>
                    </w:rPr>
                    <w:t>名称</w:t>
                  </w:r>
                </w:p>
              </w:tc>
              <w:tc>
                <w:tcPr>
                  <w:tcW w:w="2076" w:type="dxa"/>
                  <w:vAlign w:val="center"/>
                </w:tcPr>
                <w:p>
                  <w:pPr>
                    <w:jc w:val="center"/>
                    <w:rPr>
                      <w:rFonts w:hint="eastAsia"/>
                      <w:color w:val="auto"/>
                      <w:sz w:val="21"/>
                      <w:szCs w:val="21"/>
                    </w:rPr>
                  </w:pPr>
                  <w:r>
                    <w:rPr>
                      <w:rFonts w:hint="eastAsia"/>
                      <w:color w:val="auto"/>
                      <w:sz w:val="21"/>
                      <w:szCs w:val="21"/>
                    </w:rPr>
                    <w:t>COD</w:t>
                  </w:r>
                </w:p>
              </w:tc>
              <w:tc>
                <w:tcPr>
                  <w:tcW w:w="2072" w:type="dxa"/>
                  <w:vAlign w:val="center"/>
                </w:tcPr>
                <w:p>
                  <w:pPr>
                    <w:jc w:val="center"/>
                    <w:rPr>
                      <w:rFonts w:hint="eastAsia"/>
                      <w:color w:val="auto"/>
                      <w:sz w:val="21"/>
                      <w:szCs w:val="21"/>
                    </w:rPr>
                  </w:pPr>
                  <w:r>
                    <w:rPr>
                      <w:rFonts w:hint="eastAsia"/>
                      <w:color w:val="auto"/>
                      <w:sz w:val="21"/>
                      <w:szCs w:val="21"/>
                    </w:rPr>
                    <w:t>SS</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Merge w:val="restart"/>
                  <w:vAlign w:val="center"/>
                </w:tcPr>
                <w:p>
                  <w:pPr>
                    <w:jc w:val="center"/>
                    <w:rPr>
                      <w:rFonts w:hint="eastAsia"/>
                      <w:color w:val="auto"/>
                      <w:sz w:val="21"/>
                      <w:szCs w:val="21"/>
                    </w:rPr>
                  </w:pPr>
                  <w:r>
                    <w:rPr>
                      <w:rFonts w:hint="eastAsia"/>
                      <w:color w:val="auto"/>
                      <w:sz w:val="21"/>
                      <w:szCs w:val="21"/>
                    </w:rPr>
                    <w:t>沉淀池排废水</w:t>
                  </w:r>
                </w:p>
              </w:tc>
              <w:tc>
                <w:tcPr>
                  <w:tcW w:w="2067" w:type="dxa"/>
                  <w:vAlign w:val="center"/>
                </w:tcPr>
                <w:p>
                  <w:pPr>
                    <w:jc w:val="center"/>
                    <w:rPr>
                      <w:rFonts w:hint="eastAsia"/>
                      <w:color w:val="auto"/>
                      <w:sz w:val="21"/>
                      <w:szCs w:val="21"/>
                    </w:rPr>
                  </w:pPr>
                  <w:r>
                    <w:rPr>
                      <w:rFonts w:hint="eastAsia"/>
                      <w:color w:val="auto"/>
                      <w:sz w:val="21"/>
                      <w:szCs w:val="21"/>
                    </w:rPr>
                    <w:t>平均值</w:t>
                  </w:r>
                </w:p>
              </w:tc>
              <w:tc>
                <w:tcPr>
                  <w:tcW w:w="2076" w:type="dxa"/>
                  <w:vAlign w:val="center"/>
                </w:tcPr>
                <w:p>
                  <w:pPr>
                    <w:jc w:val="center"/>
                    <w:rPr>
                      <w:rFonts w:hint="eastAsia"/>
                      <w:color w:val="auto"/>
                      <w:sz w:val="21"/>
                      <w:szCs w:val="21"/>
                    </w:rPr>
                  </w:pPr>
                  <w:r>
                    <w:rPr>
                      <w:color w:val="auto"/>
                      <w:sz w:val="21"/>
                      <w:szCs w:val="21"/>
                    </w:rPr>
                    <w:t>49.8</w:t>
                  </w:r>
                </w:p>
              </w:tc>
              <w:tc>
                <w:tcPr>
                  <w:tcW w:w="2072" w:type="dxa"/>
                  <w:vAlign w:val="center"/>
                </w:tcPr>
                <w:p>
                  <w:pPr>
                    <w:jc w:val="center"/>
                    <w:rPr>
                      <w:rFonts w:hint="eastAsia"/>
                      <w:color w:val="auto"/>
                      <w:sz w:val="21"/>
                      <w:szCs w:val="21"/>
                    </w:rPr>
                  </w:pPr>
                  <w:r>
                    <w:rPr>
                      <w:rFonts w:hint="eastAsia"/>
                      <w:color w:val="auto"/>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Merge w:val="continue"/>
                  <w:vAlign w:val="center"/>
                </w:tcPr>
                <w:p>
                  <w:pPr>
                    <w:jc w:val="center"/>
                    <w:rPr>
                      <w:rFonts w:hint="eastAsia"/>
                      <w:color w:val="auto"/>
                      <w:sz w:val="21"/>
                      <w:szCs w:val="21"/>
                    </w:rPr>
                  </w:pPr>
                </w:p>
              </w:tc>
              <w:tc>
                <w:tcPr>
                  <w:tcW w:w="2067" w:type="dxa"/>
                  <w:vAlign w:val="center"/>
                </w:tcPr>
                <w:p>
                  <w:pPr>
                    <w:jc w:val="center"/>
                    <w:rPr>
                      <w:rFonts w:hint="eastAsia"/>
                      <w:color w:val="auto"/>
                      <w:sz w:val="21"/>
                      <w:szCs w:val="21"/>
                    </w:rPr>
                  </w:pPr>
                  <w:r>
                    <w:rPr>
                      <w:rFonts w:hint="eastAsia"/>
                      <w:color w:val="auto"/>
                      <w:sz w:val="21"/>
                      <w:szCs w:val="21"/>
                    </w:rPr>
                    <w:t>变化范围</w:t>
                  </w:r>
                </w:p>
              </w:tc>
              <w:tc>
                <w:tcPr>
                  <w:tcW w:w="2076" w:type="dxa"/>
                  <w:vAlign w:val="center"/>
                </w:tcPr>
                <w:p>
                  <w:pPr>
                    <w:jc w:val="center"/>
                    <w:rPr>
                      <w:rFonts w:hint="eastAsia"/>
                      <w:color w:val="auto"/>
                      <w:sz w:val="21"/>
                      <w:szCs w:val="21"/>
                    </w:rPr>
                  </w:pPr>
                  <w:r>
                    <w:rPr>
                      <w:color w:val="auto"/>
                      <w:sz w:val="21"/>
                      <w:szCs w:val="21"/>
                    </w:rPr>
                    <w:t>46.73-52.91</w:t>
                  </w:r>
                </w:p>
              </w:tc>
              <w:tc>
                <w:tcPr>
                  <w:tcW w:w="2072" w:type="dxa"/>
                  <w:vAlign w:val="center"/>
                </w:tcPr>
                <w:p>
                  <w:pPr>
                    <w:jc w:val="center"/>
                    <w:rPr>
                      <w:rFonts w:hint="eastAsia"/>
                      <w:color w:val="auto"/>
                      <w:sz w:val="21"/>
                      <w:szCs w:val="21"/>
                    </w:rPr>
                  </w:pPr>
                  <w:r>
                    <w:rPr>
                      <w:color w:val="auto"/>
                      <w:sz w:val="21"/>
                      <w:szCs w:val="21"/>
                    </w:rPr>
                    <w:t>277-323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Merge w:val="restart"/>
                  <w:vAlign w:val="center"/>
                </w:tcPr>
                <w:p>
                  <w:pPr>
                    <w:jc w:val="center"/>
                    <w:rPr>
                      <w:rFonts w:hint="eastAsia"/>
                      <w:color w:val="auto"/>
                      <w:sz w:val="21"/>
                      <w:szCs w:val="21"/>
                    </w:rPr>
                  </w:pPr>
                  <w:r>
                    <w:rPr>
                      <w:rFonts w:hint="eastAsia"/>
                      <w:color w:val="auto"/>
                      <w:sz w:val="21"/>
                      <w:szCs w:val="21"/>
                    </w:rPr>
                    <w:t>滤池反冲洗水</w:t>
                  </w:r>
                </w:p>
              </w:tc>
              <w:tc>
                <w:tcPr>
                  <w:tcW w:w="2067" w:type="dxa"/>
                  <w:vAlign w:val="center"/>
                </w:tcPr>
                <w:p>
                  <w:pPr>
                    <w:jc w:val="center"/>
                    <w:rPr>
                      <w:rFonts w:hint="eastAsia"/>
                      <w:color w:val="auto"/>
                      <w:sz w:val="21"/>
                      <w:szCs w:val="21"/>
                    </w:rPr>
                  </w:pPr>
                  <w:r>
                    <w:rPr>
                      <w:rFonts w:hint="eastAsia"/>
                      <w:color w:val="auto"/>
                      <w:sz w:val="21"/>
                      <w:szCs w:val="21"/>
                    </w:rPr>
                    <w:t>平均值</w:t>
                  </w:r>
                </w:p>
              </w:tc>
              <w:tc>
                <w:tcPr>
                  <w:tcW w:w="2076" w:type="dxa"/>
                  <w:vAlign w:val="center"/>
                </w:tcPr>
                <w:p>
                  <w:pPr>
                    <w:jc w:val="center"/>
                    <w:rPr>
                      <w:rFonts w:hint="eastAsia"/>
                      <w:color w:val="auto"/>
                      <w:sz w:val="21"/>
                      <w:szCs w:val="21"/>
                    </w:rPr>
                  </w:pPr>
                  <w:r>
                    <w:rPr>
                      <w:color w:val="auto"/>
                      <w:sz w:val="21"/>
                      <w:szCs w:val="21"/>
                    </w:rPr>
                    <w:t>42.39</w:t>
                  </w:r>
                </w:p>
              </w:tc>
              <w:tc>
                <w:tcPr>
                  <w:tcW w:w="2072" w:type="dxa"/>
                  <w:vAlign w:val="center"/>
                </w:tcPr>
                <w:p>
                  <w:pPr>
                    <w:jc w:val="center"/>
                    <w:rPr>
                      <w:rFonts w:hint="eastAsia"/>
                      <w:color w:val="auto"/>
                      <w:sz w:val="21"/>
                      <w:szCs w:val="21"/>
                    </w:rPr>
                  </w:pPr>
                  <w:r>
                    <w:rPr>
                      <w:color w:val="auto"/>
                      <w:sz w:val="21"/>
                      <w:szCs w:val="21"/>
                    </w:rPr>
                    <w:t>254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Merge w:val="continue"/>
                  <w:vAlign w:val="center"/>
                </w:tcPr>
                <w:p>
                  <w:pPr>
                    <w:jc w:val="center"/>
                    <w:rPr>
                      <w:rFonts w:hint="eastAsia"/>
                      <w:color w:val="auto"/>
                      <w:sz w:val="21"/>
                      <w:szCs w:val="21"/>
                    </w:rPr>
                  </w:pPr>
                </w:p>
              </w:tc>
              <w:tc>
                <w:tcPr>
                  <w:tcW w:w="2067" w:type="dxa"/>
                  <w:vAlign w:val="center"/>
                </w:tcPr>
                <w:p>
                  <w:pPr>
                    <w:jc w:val="center"/>
                    <w:rPr>
                      <w:rFonts w:hint="eastAsia"/>
                      <w:color w:val="auto"/>
                      <w:sz w:val="21"/>
                      <w:szCs w:val="21"/>
                    </w:rPr>
                  </w:pPr>
                  <w:r>
                    <w:rPr>
                      <w:rFonts w:hint="eastAsia"/>
                      <w:color w:val="auto"/>
                      <w:sz w:val="21"/>
                      <w:szCs w:val="21"/>
                    </w:rPr>
                    <w:t>变化范围</w:t>
                  </w:r>
                </w:p>
              </w:tc>
              <w:tc>
                <w:tcPr>
                  <w:tcW w:w="2076" w:type="dxa"/>
                  <w:vAlign w:val="center"/>
                </w:tcPr>
                <w:p>
                  <w:pPr>
                    <w:jc w:val="center"/>
                    <w:rPr>
                      <w:rFonts w:hint="eastAsia"/>
                      <w:color w:val="auto"/>
                      <w:sz w:val="21"/>
                      <w:szCs w:val="21"/>
                    </w:rPr>
                  </w:pPr>
                  <w:r>
                    <w:rPr>
                      <w:color w:val="auto"/>
                      <w:sz w:val="21"/>
                      <w:szCs w:val="21"/>
                    </w:rPr>
                    <w:t>36.7-48.08</w:t>
                  </w:r>
                </w:p>
              </w:tc>
              <w:tc>
                <w:tcPr>
                  <w:tcW w:w="2072" w:type="dxa"/>
                  <w:vAlign w:val="center"/>
                </w:tcPr>
                <w:p>
                  <w:pPr>
                    <w:jc w:val="center"/>
                    <w:rPr>
                      <w:rFonts w:hint="eastAsia"/>
                      <w:color w:val="auto"/>
                      <w:sz w:val="21"/>
                      <w:szCs w:val="21"/>
                    </w:rPr>
                  </w:pPr>
                  <w:r>
                    <w:rPr>
                      <w:color w:val="auto"/>
                      <w:sz w:val="21"/>
                      <w:szCs w:val="21"/>
                    </w:rPr>
                    <w:t>236-272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4134" w:type="dxa"/>
                  <w:gridSpan w:val="2"/>
                  <w:vAlign w:val="center"/>
                </w:tcPr>
                <w:p>
                  <w:pPr>
                    <w:jc w:val="center"/>
                    <w:rPr>
                      <w:rFonts w:hint="eastAsia"/>
                      <w:color w:val="auto"/>
                      <w:sz w:val="21"/>
                      <w:szCs w:val="21"/>
                    </w:rPr>
                  </w:pPr>
                  <w:r>
                    <w:rPr>
                      <w:rFonts w:hint="eastAsia"/>
                      <w:color w:val="auto"/>
                      <w:sz w:val="21"/>
                      <w:szCs w:val="21"/>
                    </w:rPr>
                    <w:t>混合后平均浓度</w:t>
                  </w:r>
                </w:p>
              </w:tc>
              <w:tc>
                <w:tcPr>
                  <w:tcW w:w="2076" w:type="dxa"/>
                  <w:vAlign w:val="center"/>
                </w:tcPr>
                <w:p>
                  <w:pPr>
                    <w:jc w:val="center"/>
                    <w:rPr>
                      <w:rFonts w:hint="eastAsia"/>
                      <w:color w:val="auto"/>
                      <w:sz w:val="21"/>
                      <w:szCs w:val="21"/>
                    </w:rPr>
                  </w:pPr>
                  <w:r>
                    <w:rPr>
                      <w:rFonts w:hint="eastAsia"/>
                      <w:color w:val="auto"/>
                      <w:sz w:val="21"/>
                      <w:szCs w:val="21"/>
                    </w:rPr>
                    <w:t>43.6</w:t>
                  </w:r>
                </w:p>
              </w:tc>
              <w:tc>
                <w:tcPr>
                  <w:tcW w:w="2072" w:type="dxa"/>
                  <w:vAlign w:val="center"/>
                </w:tcPr>
                <w:p>
                  <w:pPr>
                    <w:jc w:val="center"/>
                    <w:rPr>
                      <w:rFonts w:hint="eastAsia"/>
                      <w:color w:val="auto"/>
                      <w:sz w:val="21"/>
                      <w:szCs w:val="21"/>
                    </w:rPr>
                  </w:pPr>
                  <w:r>
                    <w:rPr>
                      <w:rFonts w:hint="eastAsia"/>
                      <w:color w:val="auto"/>
                      <w:sz w:val="21"/>
                      <w:szCs w:val="21"/>
                    </w:rPr>
                    <w:t>260.5</w:t>
                  </w:r>
                </w:p>
              </w:tc>
            </w:tr>
          </w:tbl>
          <w:p>
            <w:pPr>
              <w:spacing w:line="360" w:lineRule="auto"/>
              <w:ind w:firstLine="480" w:firstLineChars="200"/>
              <w:rPr>
                <w:rFonts w:hint="eastAsia"/>
                <w:color w:val="auto"/>
                <w:sz w:val="24"/>
              </w:rPr>
            </w:pPr>
            <w:r>
              <w:rPr>
                <w:rFonts w:hint="eastAsia"/>
                <w:color w:val="auto"/>
                <w:sz w:val="24"/>
              </w:rPr>
              <w:t>按表3-6的平均浓度估算，则沉淀池废水中COD的排放量现有的产生量为</w:t>
            </w:r>
            <w:r>
              <w:rPr>
                <w:rFonts w:hint="eastAsia"/>
                <w:color w:val="auto"/>
                <w:sz w:val="24"/>
                <w:lang w:val="en-US" w:eastAsia="zh-CN"/>
              </w:rPr>
              <w:t>6.24</w:t>
            </w:r>
            <w:r>
              <w:rPr>
                <w:rFonts w:hint="eastAsia"/>
                <w:color w:val="auto"/>
                <w:sz w:val="24"/>
              </w:rPr>
              <w:t>kg/d（</w:t>
            </w:r>
            <w:r>
              <w:rPr>
                <w:rFonts w:hint="eastAsia"/>
                <w:color w:val="auto"/>
                <w:sz w:val="24"/>
                <w:lang w:val="en-US" w:eastAsia="zh-CN"/>
              </w:rPr>
              <w:t>2.28</w:t>
            </w:r>
            <w:r>
              <w:rPr>
                <w:rFonts w:hint="eastAsia"/>
                <w:color w:val="auto"/>
                <w:sz w:val="24"/>
              </w:rPr>
              <w:t>t/a），SS产生量为</w:t>
            </w:r>
            <w:r>
              <w:rPr>
                <w:rFonts w:hint="eastAsia"/>
                <w:color w:val="auto"/>
                <w:sz w:val="24"/>
                <w:lang w:val="en-US" w:eastAsia="zh-CN"/>
              </w:rPr>
              <w:t>37.5</w:t>
            </w:r>
            <w:r>
              <w:rPr>
                <w:rFonts w:hint="eastAsia"/>
                <w:color w:val="auto"/>
                <w:sz w:val="24"/>
              </w:rPr>
              <w:t>kg/d（</w:t>
            </w:r>
            <w:r>
              <w:rPr>
                <w:rFonts w:hint="eastAsia"/>
                <w:color w:val="auto"/>
                <w:sz w:val="24"/>
                <w:lang w:val="en-US" w:eastAsia="zh-CN"/>
              </w:rPr>
              <w:t>13.7</w:t>
            </w:r>
            <w:r>
              <w:rPr>
                <w:rFonts w:hint="eastAsia"/>
                <w:color w:val="auto"/>
                <w:sz w:val="24"/>
              </w:rPr>
              <w:t>t/a）；滤池反冲洗水的COD的产生量为</w:t>
            </w:r>
            <w:r>
              <w:rPr>
                <w:rFonts w:hint="eastAsia"/>
                <w:color w:val="auto"/>
                <w:sz w:val="24"/>
                <w:lang w:val="en-US" w:eastAsia="zh-CN"/>
              </w:rPr>
              <w:t>153</w:t>
            </w:r>
            <w:r>
              <w:rPr>
                <w:rFonts w:hint="eastAsia"/>
                <w:color w:val="auto"/>
                <w:sz w:val="24"/>
              </w:rPr>
              <w:t>kg/d（</w:t>
            </w:r>
            <w:r>
              <w:rPr>
                <w:rFonts w:hint="eastAsia"/>
                <w:color w:val="auto"/>
                <w:sz w:val="24"/>
                <w:lang w:val="en-US" w:eastAsia="zh-CN"/>
              </w:rPr>
              <w:t>55.84</w:t>
            </w:r>
            <w:r>
              <w:rPr>
                <w:rFonts w:hint="eastAsia"/>
                <w:color w:val="auto"/>
                <w:sz w:val="24"/>
              </w:rPr>
              <w:t>t/a），SS的产生量为</w:t>
            </w:r>
            <w:r>
              <w:rPr>
                <w:rFonts w:hint="eastAsia"/>
                <w:color w:val="auto"/>
                <w:sz w:val="24"/>
                <w:lang w:val="en-US" w:eastAsia="zh-CN"/>
              </w:rPr>
              <w:t>914.2</w:t>
            </w:r>
            <w:r>
              <w:rPr>
                <w:rFonts w:hint="eastAsia"/>
                <w:color w:val="auto"/>
                <w:sz w:val="24"/>
              </w:rPr>
              <w:t>kg/d（</w:t>
            </w:r>
            <w:r>
              <w:rPr>
                <w:rFonts w:hint="eastAsia"/>
                <w:color w:val="auto"/>
                <w:sz w:val="24"/>
                <w:lang w:val="en-US" w:eastAsia="zh-CN"/>
              </w:rPr>
              <w:t>333.68</w:t>
            </w:r>
            <w:r>
              <w:rPr>
                <w:rFonts w:hint="eastAsia"/>
                <w:color w:val="auto"/>
                <w:sz w:val="24"/>
              </w:rPr>
              <w:t>t/a）。</w:t>
            </w:r>
          </w:p>
          <w:p>
            <w:pPr>
              <w:spacing w:line="360" w:lineRule="auto"/>
              <w:ind w:firstLine="480" w:firstLineChars="200"/>
              <w:rPr>
                <w:rFonts w:hint="eastAsia"/>
                <w:color w:val="auto"/>
                <w:sz w:val="24"/>
              </w:rPr>
            </w:pPr>
            <w:r>
              <w:rPr>
                <w:rFonts w:hint="eastAsia"/>
                <w:color w:val="auto"/>
                <w:sz w:val="24"/>
              </w:rPr>
              <w:t>本项目生产废水污染物排放量估算结果见表</w:t>
            </w:r>
            <w:r>
              <w:rPr>
                <w:rFonts w:hint="eastAsia"/>
                <w:color w:val="auto"/>
                <w:sz w:val="24"/>
                <w:lang w:val="en-US" w:eastAsia="zh-CN"/>
              </w:rPr>
              <w:t>30</w:t>
            </w:r>
            <w:r>
              <w:rPr>
                <w:rFonts w:hint="eastAsia"/>
                <w:color w:val="auto"/>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30</w:t>
            </w:r>
            <w:r>
              <w:rPr>
                <w:rFonts w:hint="eastAsia"/>
                <w:b/>
                <w:color w:val="auto"/>
                <w:sz w:val="24"/>
              </w:rPr>
              <w:t xml:space="preserve">   项目各类工艺废水污染物产生量</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67"/>
              <w:gridCol w:w="2070"/>
              <w:gridCol w:w="2073"/>
              <w:gridCol w:w="20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Align w:val="center"/>
                </w:tcPr>
                <w:p>
                  <w:pPr>
                    <w:jc w:val="center"/>
                    <w:rPr>
                      <w:rFonts w:hint="eastAsia"/>
                      <w:color w:val="auto"/>
                      <w:sz w:val="21"/>
                      <w:szCs w:val="21"/>
                    </w:rPr>
                  </w:pPr>
                  <w:r>
                    <w:rPr>
                      <w:rFonts w:hint="eastAsia"/>
                      <w:color w:val="auto"/>
                      <w:sz w:val="21"/>
                      <w:szCs w:val="21"/>
                    </w:rPr>
                    <w:t>废水种类</w:t>
                  </w:r>
                </w:p>
              </w:tc>
              <w:tc>
                <w:tcPr>
                  <w:tcW w:w="2070" w:type="dxa"/>
                  <w:vAlign w:val="center"/>
                </w:tcPr>
                <w:p>
                  <w:pPr>
                    <w:jc w:val="center"/>
                    <w:rPr>
                      <w:rFonts w:hint="eastAsia"/>
                      <w:color w:val="auto"/>
                      <w:sz w:val="21"/>
                      <w:szCs w:val="21"/>
                    </w:rPr>
                  </w:pPr>
                  <w:r>
                    <w:rPr>
                      <w:rFonts w:hint="eastAsia"/>
                      <w:color w:val="auto"/>
                      <w:sz w:val="21"/>
                      <w:szCs w:val="21"/>
                    </w:rPr>
                    <w:t>废水产生量（t/d）</w:t>
                  </w:r>
                </w:p>
              </w:tc>
              <w:tc>
                <w:tcPr>
                  <w:tcW w:w="2073" w:type="dxa"/>
                  <w:vAlign w:val="center"/>
                </w:tcPr>
                <w:p>
                  <w:pPr>
                    <w:jc w:val="center"/>
                    <w:rPr>
                      <w:rFonts w:hint="eastAsia"/>
                      <w:color w:val="auto"/>
                      <w:sz w:val="21"/>
                      <w:szCs w:val="21"/>
                    </w:rPr>
                  </w:pPr>
                  <w:r>
                    <w:rPr>
                      <w:rFonts w:hint="eastAsia"/>
                      <w:color w:val="auto"/>
                      <w:sz w:val="21"/>
                      <w:szCs w:val="21"/>
                    </w:rPr>
                    <w:t>COD产生量（kg/d）</w:t>
                  </w:r>
                </w:p>
              </w:tc>
              <w:tc>
                <w:tcPr>
                  <w:tcW w:w="2072" w:type="dxa"/>
                  <w:vAlign w:val="center"/>
                </w:tcPr>
                <w:p>
                  <w:pPr>
                    <w:jc w:val="center"/>
                    <w:rPr>
                      <w:rFonts w:hint="eastAsia"/>
                      <w:color w:val="auto"/>
                      <w:sz w:val="21"/>
                      <w:szCs w:val="21"/>
                    </w:rPr>
                  </w:pPr>
                  <w:r>
                    <w:rPr>
                      <w:rFonts w:hint="eastAsia"/>
                      <w:color w:val="auto"/>
                      <w:sz w:val="21"/>
                      <w:szCs w:val="21"/>
                    </w:rPr>
                    <w:t>SS产生量（kg/d）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Align w:val="center"/>
                </w:tcPr>
                <w:p>
                  <w:pPr>
                    <w:jc w:val="center"/>
                    <w:rPr>
                      <w:rFonts w:hint="eastAsia"/>
                      <w:color w:val="auto"/>
                      <w:sz w:val="21"/>
                      <w:szCs w:val="21"/>
                    </w:rPr>
                  </w:pPr>
                  <w:r>
                    <w:rPr>
                      <w:rFonts w:hint="eastAsia"/>
                      <w:color w:val="auto"/>
                      <w:sz w:val="21"/>
                      <w:szCs w:val="21"/>
                    </w:rPr>
                    <w:t>沉淀池排废水</w:t>
                  </w:r>
                </w:p>
              </w:tc>
              <w:tc>
                <w:tcPr>
                  <w:tcW w:w="2070" w:type="dxa"/>
                  <w:textDirection w:val="lrTb"/>
                  <w:vAlign w:val="center"/>
                </w:tcPr>
                <w:p>
                  <w:pPr>
                    <w:jc w:val="center"/>
                    <w:rPr>
                      <w:rFonts w:hint="eastAsia"/>
                      <w:color w:val="auto"/>
                      <w:sz w:val="21"/>
                      <w:szCs w:val="21"/>
                    </w:rPr>
                  </w:pPr>
                  <w:r>
                    <w:rPr>
                      <w:rFonts w:hint="eastAsia"/>
                      <w:color w:val="auto"/>
                      <w:sz w:val="21"/>
                      <w:szCs w:val="21"/>
                      <w:lang w:val="en-US" w:eastAsia="zh-CN"/>
                    </w:rPr>
                    <w:t>125</w:t>
                  </w:r>
                </w:p>
              </w:tc>
              <w:tc>
                <w:tcPr>
                  <w:tcW w:w="2073" w:type="dxa"/>
                  <w:textDirection w:val="lrTb"/>
                  <w:vAlign w:val="center"/>
                </w:tcPr>
                <w:p>
                  <w:pPr>
                    <w:jc w:val="center"/>
                    <w:rPr>
                      <w:rFonts w:hint="eastAsia"/>
                      <w:color w:val="auto"/>
                      <w:sz w:val="21"/>
                      <w:szCs w:val="21"/>
                    </w:rPr>
                  </w:pPr>
                  <w:r>
                    <w:rPr>
                      <w:rFonts w:hint="eastAsia"/>
                      <w:color w:val="auto"/>
                      <w:sz w:val="21"/>
                      <w:szCs w:val="21"/>
                      <w:lang w:val="en-US" w:eastAsia="zh-CN"/>
                    </w:rPr>
                    <w:t>6.24</w:t>
                  </w:r>
                </w:p>
              </w:tc>
              <w:tc>
                <w:tcPr>
                  <w:tcW w:w="2072" w:type="dxa"/>
                  <w:textDirection w:val="lrTb"/>
                  <w:vAlign w:val="center"/>
                </w:tcPr>
                <w:p>
                  <w:pPr>
                    <w:jc w:val="center"/>
                    <w:rPr>
                      <w:rFonts w:hint="eastAsia"/>
                      <w:color w:val="auto"/>
                      <w:sz w:val="21"/>
                      <w:szCs w:val="21"/>
                    </w:rPr>
                  </w:pPr>
                  <w:r>
                    <w:rPr>
                      <w:rFonts w:hint="eastAsia"/>
                      <w:color w:val="auto"/>
                      <w:sz w:val="21"/>
                      <w:szCs w:val="21"/>
                      <w:lang w:val="en-US" w:eastAsia="zh-CN"/>
                    </w:rPr>
                    <w:t>37.5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Align w:val="center"/>
                </w:tcPr>
                <w:p>
                  <w:pPr>
                    <w:jc w:val="center"/>
                    <w:rPr>
                      <w:rFonts w:hint="eastAsia"/>
                      <w:color w:val="auto"/>
                      <w:sz w:val="21"/>
                      <w:szCs w:val="21"/>
                    </w:rPr>
                  </w:pPr>
                  <w:r>
                    <w:rPr>
                      <w:rFonts w:hint="eastAsia"/>
                      <w:color w:val="auto"/>
                      <w:sz w:val="21"/>
                      <w:szCs w:val="21"/>
                    </w:rPr>
                    <w:t>滤池反冲洗水</w:t>
                  </w:r>
                </w:p>
              </w:tc>
              <w:tc>
                <w:tcPr>
                  <w:tcW w:w="2070" w:type="dxa"/>
                  <w:textDirection w:val="lrTb"/>
                  <w:vAlign w:val="center"/>
                </w:tcPr>
                <w:p>
                  <w:pPr>
                    <w:jc w:val="center"/>
                    <w:rPr>
                      <w:rFonts w:hint="eastAsia"/>
                      <w:color w:val="auto"/>
                      <w:sz w:val="21"/>
                      <w:szCs w:val="21"/>
                    </w:rPr>
                  </w:pPr>
                  <w:r>
                    <w:rPr>
                      <w:rFonts w:hint="eastAsia"/>
                      <w:color w:val="auto"/>
                      <w:sz w:val="21"/>
                      <w:szCs w:val="21"/>
                      <w:lang w:val="en-US" w:eastAsia="zh-CN"/>
                    </w:rPr>
                    <w:t>3528</w:t>
                  </w:r>
                </w:p>
              </w:tc>
              <w:tc>
                <w:tcPr>
                  <w:tcW w:w="2073" w:type="dxa"/>
                  <w:textDirection w:val="lrTb"/>
                  <w:vAlign w:val="center"/>
                </w:tcPr>
                <w:p>
                  <w:pPr>
                    <w:jc w:val="center"/>
                    <w:rPr>
                      <w:rFonts w:hint="eastAsia"/>
                      <w:color w:val="auto"/>
                      <w:sz w:val="21"/>
                      <w:szCs w:val="21"/>
                    </w:rPr>
                  </w:pPr>
                  <w:r>
                    <w:rPr>
                      <w:rFonts w:hint="eastAsia"/>
                      <w:color w:val="auto"/>
                      <w:sz w:val="21"/>
                      <w:szCs w:val="21"/>
                      <w:lang w:val="en-US" w:eastAsia="zh-CN"/>
                    </w:rPr>
                    <w:t>153</w:t>
                  </w:r>
                </w:p>
              </w:tc>
              <w:tc>
                <w:tcPr>
                  <w:tcW w:w="2072" w:type="dxa"/>
                  <w:textDirection w:val="lrTb"/>
                  <w:vAlign w:val="center"/>
                </w:tcPr>
                <w:p>
                  <w:pPr>
                    <w:jc w:val="center"/>
                    <w:rPr>
                      <w:rFonts w:hint="eastAsia"/>
                      <w:color w:val="auto"/>
                      <w:sz w:val="21"/>
                      <w:szCs w:val="21"/>
                    </w:rPr>
                  </w:pPr>
                  <w:r>
                    <w:rPr>
                      <w:rFonts w:hint="eastAsia"/>
                      <w:color w:val="auto"/>
                      <w:sz w:val="21"/>
                      <w:szCs w:val="21"/>
                      <w:lang w:val="en-US" w:eastAsia="zh-CN"/>
                    </w:rPr>
                    <w:t>914.2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067" w:type="dxa"/>
                  <w:vAlign w:val="center"/>
                </w:tcPr>
                <w:p>
                  <w:pPr>
                    <w:jc w:val="center"/>
                    <w:rPr>
                      <w:rFonts w:hint="eastAsia"/>
                      <w:color w:val="auto"/>
                      <w:sz w:val="21"/>
                      <w:szCs w:val="21"/>
                    </w:rPr>
                  </w:pPr>
                  <w:r>
                    <w:rPr>
                      <w:rFonts w:hint="eastAsia"/>
                      <w:color w:val="auto"/>
                      <w:sz w:val="21"/>
                      <w:szCs w:val="21"/>
                    </w:rPr>
                    <w:t>合计</w:t>
                  </w:r>
                </w:p>
              </w:tc>
              <w:tc>
                <w:tcPr>
                  <w:tcW w:w="2070" w:type="dxa"/>
                  <w:textDirection w:val="lrTb"/>
                  <w:vAlign w:val="center"/>
                </w:tcPr>
                <w:p>
                  <w:pPr>
                    <w:jc w:val="center"/>
                    <w:rPr>
                      <w:rFonts w:hint="eastAsia"/>
                      <w:color w:val="auto"/>
                      <w:sz w:val="21"/>
                      <w:szCs w:val="21"/>
                    </w:rPr>
                  </w:pPr>
                  <w:r>
                    <w:rPr>
                      <w:rFonts w:hint="eastAsia"/>
                      <w:color w:val="auto"/>
                      <w:sz w:val="21"/>
                      <w:szCs w:val="21"/>
                      <w:lang w:val="en-US" w:eastAsia="zh-CN"/>
                    </w:rPr>
                    <w:t>3653</w:t>
                  </w:r>
                </w:p>
              </w:tc>
              <w:tc>
                <w:tcPr>
                  <w:tcW w:w="2073" w:type="dxa"/>
                  <w:textDirection w:val="lrTb"/>
                  <w:vAlign w:val="center"/>
                </w:tcPr>
                <w:p>
                  <w:pPr>
                    <w:jc w:val="center"/>
                    <w:rPr>
                      <w:rFonts w:hint="eastAsia"/>
                      <w:color w:val="auto"/>
                      <w:sz w:val="21"/>
                      <w:szCs w:val="21"/>
                    </w:rPr>
                  </w:pPr>
                  <w:r>
                    <w:rPr>
                      <w:rFonts w:hint="eastAsia"/>
                      <w:color w:val="auto"/>
                      <w:sz w:val="21"/>
                      <w:szCs w:val="21"/>
                      <w:lang w:val="en-US" w:eastAsia="zh-CN"/>
                    </w:rPr>
                    <w:t>159.24</w:t>
                  </w:r>
                </w:p>
              </w:tc>
              <w:tc>
                <w:tcPr>
                  <w:tcW w:w="2072" w:type="dxa"/>
                  <w:textDirection w:val="lrTb"/>
                  <w:vAlign w:val="center"/>
                </w:tcPr>
                <w:p>
                  <w:pPr>
                    <w:jc w:val="center"/>
                    <w:rPr>
                      <w:rFonts w:hint="eastAsia"/>
                      <w:color w:val="auto"/>
                      <w:sz w:val="21"/>
                      <w:szCs w:val="21"/>
                    </w:rPr>
                  </w:pPr>
                  <w:r>
                    <w:rPr>
                      <w:rFonts w:hint="eastAsia"/>
                      <w:color w:val="auto"/>
                      <w:sz w:val="21"/>
                      <w:szCs w:val="21"/>
                      <w:lang w:val="en-US" w:eastAsia="zh-CN"/>
                    </w:rPr>
                    <w:t>951.7</w:t>
                  </w:r>
                </w:p>
              </w:tc>
            </w:tr>
          </w:tbl>
          <w:p>
            <w:pPr>
              <w:spacing w:line="360" w:lineRule="auto"/>
              <w:ind w:firstLine="480" w:firstLineChars="200"/>
              <w:rPr>
                <w:rFonts w:hint="eastAsia"/>
                <w:color w:val="auto"/>
                <w:sz w:val="24"/>
              </w:rPr>
            </w:pPr>
            <w:r>
              <w:rPr>
                <w:rFonts w:hint="eastAsia"/>
                <w:color w:val="auto"/>
                <w:sz w:val="24"/>
              </w:rPr>
              <w:t>排泥水经污泥浓缩和脱水处理产生上清液和压滤水与滤池反冲洗水一起排入废水池沉淀处理后90%回用于原水，回用量为</w:t>
            </w:r>
            <w:r>
              <w:rPr>
                <w:rFonts w:hint="eastAsia"/>
                <w:color w:val="auto"/>
                <w:sz w:val="24"/>
                <w:lang w:val="en-US" w:eastAsia="zh-CN"/>
              </w:rPr>
              <w:t>3287.7</w:t>
            </w:r>
            <w:r>
              <w:rPr>
                <w:rFonts w:hint="eastAsia"/>
                <w:color w:val="auto"/>
                <w:sz w:val="24"/>
              </w:rPr>
              <w:t>m</w:t>
            </w:r>
            <w:r>
              <w:rPr>
                <w:color w:val="auto"/>
                <w:sz w:val="24"/>
                <w:vertAlign w:val="superscript"/>
              </w:rPr>
              <w:t>3</w:t>
            </w:r>
            <w:r>
              <w:rPr>
                <w:rFonts w:hint="eastAsia"/>
                <w:color w:val="auto"/>
                <w:sz w:val="24"/>
              </w:rPr>
              <w:t>/d（</w:t>
            </w:r>
            <w:r>
              <w:rPr>
                <w:rFonts w:hint="eastAsia"/>
                <w:color w:val="auto"/>
                <w:sz w:val="24"/>
                <w:lang w:val="en-US" w:eastAsia="zh-CN"/>
              </w:rPr>
              <w:t>12</w:t>
            </w:r>
            <w:r>
              <w:rPr>
                <w:rFonts w:hint="eastAsia"/>
                <w:color w:val="auto"/>
                <w:sz w:val="24"/>
              </w:rPr>
              <w:t>000</w:t>
            </w:r>
            <w:r>
              <w:rPr>
                <w:rFonts w:hint="eastAsia"/>
                <w:color w:val="auto"/>
                <w:sz w:val="24"/>
                <w:lang w:val="en-US" w:eastAsia="zh-CN"/>
              </w:rPr>
              <w:t>10</w:t>
            </w:r>
            <w:r>
              <w:rPr>
                <w:rFonts w:hint="eastAsia"/>
                <w:color w:val="auto"/>
                <w:sz w:val="24"/>
              </w:rPr>
              <w:t>.5t/a）。10%废水达《污水综综合排放标准》（GB8978-1996）一级标准后排放，排放废水量为</w:t>
            </w:r>
            <w:r>
              <w:rPr>
                <w:rFonts w:hint="eastAsia"/>
                <w:color w:val="auto"/>
                <w:sz w:val="24"/>
                <w:lang w:val="en-US" w:eastAsia="zh-CN"/>
              </w:rPr>
              <w:t>365.3</w:t>
            </w:r>
            <w:r>
              <w:rPr>
                <w:rFonts w:hint="eastAsia"/>
                <w:color w:val="auto"/>
                <w:sz w:val="24"/>
              </w:rPr>
              <w:t>m</w:t>
            </w:r>
            <w:r>
              <w:rPr>
                <w:color w:val="auto"/>
                <w:sz w:val="24"/>
                <w:vertAlign w:val="superscript"/>
              </w:rPr>
              <w:t>3</w:t>
            </w:r>
            <w:r>
              <w:rPr>
                <w:rFonts w:hint="eastAsia"/>
                <w:color w:val="auto"/>
                <w:sz w:val="24"/>
              </w:rPr>
              <w:t>/d（</w:t>
            </w:r>
            <w:r>
              <w:rPr>
                <w:rFonts w:hint="eastAsia"/>
                <w:color w:val="auto"/>
                <w:sz w:val="24"/>
                <w:lang w:val="en-US" w:eastAsia="zh-CN"/>
              </w:rPr>
              <w:t>133334.5</w:t>
            </w:r>
            <w:r>
              <w:rPr>
                <w:rFonts w:hint="eastAsia"/>
                <w:color w:val="auto"/>
                <w:sz w:val="24"/>
              </w:rPr>
              <w:t>t/a）， COD</w:t>
            </w:r>
            <w:r>
              <w:rPr>
                <w:rFonts w:hint="eastAsia"/>
                <w:color w:val="auto"/>
                <w:sz w:val="24"/>
                <w:vertAlign w:val="subscript"/>
              </w:rPr>
              <w:t>Cr</w:t>
            </w:r>
            <w:r>
              <w:rPr>
                <w:rFonts w:hint="eastAsia"/>
                <w:color w:val="auto"/>
                <w:sz w:val="24"/>
              </w:rPr>
              <w:t>排放排放量为</w:t>
            </w:r>
            <w:r>
              <w:rPr>
                <w:rFonts w:hint="eastAsia"/>
                <w:color w:val="auto"/>
                <w:sz w:val="24"/>
                <w:lang w:val="en-US" w:eastAsia="zh-CN"/>
              </w:rPr>
              <w:t>5.82</w:t>
            </w:r>
            <w:r>
              <w:rPr>
                <w:rFonts w:hint="eastAsia"/>
                <w:color w:val="auto"/>
                <w:sz w:val="24"/>
              </w:rPr>
              <w:t>t/a。</w:t>
            </w:r>
          </w:p>
          <w:p>
            <w:pPr>
              <w:spacing w:line="360" w:lineRule="auto"/>
              <w:ind w:firstLine="480" w:firstLineChars="200"/>
              <w:rPr>
                <w:rFonts w:hint="eastAsia"/>
                <w:color w:val="auto"/>
                <w:sz w:val="24"/>
              </w:rPr>
            </w:pPr>
            <w:r>
              <w:rPr>
                <w:rFonts w:hint="eastAsia"/>
                <w:color w:val="auto"/>
                <w:sz w:val="24"/>
              </w:rPr>
              <w:t xml:space="preserve">2、生活废水 </w:t>
            </w:r>
          </w:p>
          <w:p>
            <w:pPr>
              <w:spacing w:line="360" w:lineRule="auto"/>
              <w:ind w:firstLine="480" w:firstLineChars="200"/>
              <w:rPr>
                <w:color w:val="auto"/>
                <w:sz w:val="24"/>
              </w:rPr>
            </w:pPr>
            <w:r>
              <w:rPr>
                <w:rFonts w:hint="eastAsia"/>
                <w:color w:val="auto"/>
                <w:sz w:val="24"/>
              </w:rPr>
              <w:t>本项目净水厂</w:t>
            </w:r>
            <w:r>
              <w:rPr>
                <w:rFonts w:hint="eastAsia"/>
                <w:color w:val="auto"/>
                <w:sz w:val="24"/>
                <w:lang w:eastAsia="zh-CN"/>
              </w:rPr>
              <w:t>及配水管网</w:t>
            </w:r>
            <w:r>
              <w:rPr>
                <w:rFonts w:hint="eastAsia"/>
                <w:color w:val="auto"/>
                <w:sz w:val="24"/>
              </w:rPr>
              <w:t>劳动定员人数为</w:t>
            </w:r>
            <w:r>
              <w:rPr>
                <w:rFonts w:hint="eastAsia"/>
                <w:color w:val="auto"/>
                <w:sz w:val="24"/>
                <w:lang w:val="en-US" w:eastAsia="zh-CN"/>
              </w:rPr>
              <w:t>55</w:t>
            </w:r>
            <w:r>
              <w:rPr>
                <w:rFonts w:hint="eastAsia"/>
                <w:color w:val="auto"/>
                <w:sz w:val="24"/>
              </w:rPr>
              <w:t>人，均在净水厂内食宿，</w:t>
            </w:r>
            <w:r>
              <w:rPr>
                <w:color w:val="auto"/>
                <w:sz w:val="24"/>
              </w:rPr>
              <w:t>按照《湖南省用水定额》(DB43/T388-20</w:t>
            </w:r>
            <w:r>
              <w:rPr>
                <w:rFonts w:hint="eastAsia"/>
                <w:color w:val="auto"/>
                <w:sz w:val="24"/>
              </w:rPr>
              <w:t>14</w:t>
            </w:r>
            <w:r>
              <w:rPr>
                <w:color w:val="auto"/>
                <w:sz w:val="24"/>
              </w:rPr>
              <w:t>)中的指标计算，职工生活用水量按</w:t>
            </w:r>
            <w:r>
              <w:rPr>
                <w:rFonts w:hint="eastAsia"/>
                <w:color w:val="auto"/>
                <w:sz w:val="24"/>
              </w:rPr>
              <w:t>140</w:t>
            </w:r>
            <w:r>
              <w:rPr>
                <w:color w:val="auto"/>
                <w:sz w:val="24"/>
              </w:rPr>
              <w:t>L/d•人计，则本项目生活用水量为</w:t>
            </w:r>
            <w:r>
              <w:rPr>
                <w:rFonts w:hint="eastAsia"/>
                <w:color w:val="auto"/>
                <w:sz w:val="24"/>
                <w:lang w:val="en-US" w:eastAsia="zh-CN"/>
              </w:rPr>
              <w:t>7.7</w:t>
            </w:r>
            <w:r>
              <w:rPr>
                <w:color w:val="auto"/>
                <w:sz w:val="24"/>
              </w:rPr>
              <w:t>m</w:t>
            </w:r>
            <w:r>
              <w:rPr>
                <w:color w:val="auto"/>
                <w:sz w:val="24"/>
                <w:vertAlign w:val="superscript"/>
              </w:rPr>
              <w:t>3</w:t>
            </w:r>
            <w:r>
              <w:rPr>
                <w:color w:val="auto"/>
                <w:sz w:val="24"/>
              </w:rPr>
              <w:t>/d（</w:t>
            </w:r>
            <w:r>
              <w:rPr>
                <w:rFonts w:hint="eastAsia"/>
                <w:color w:val="auto"/>
                <w:sz w:val="24"/>
                <w:lang w:val="en-US" w:eastAsia="zh-CN"/>
              </w:rPr>
              <w:t>2810.5</w:t>
            </w:r>
            <w:r>
              <w:rPr>
                <w:color w:val="auto"/>
                <w:sz w:val="24"/>
              </w:rPr>
              <w:t>t/a），污水排放系数取0.8，则生活污水排放量约为</w:t>
            </w:r>
            <w:r>
              <w:rPr>
                <w:rFonts w:hint="eastAsia"/>
                <w:color w:val="auto"/>
                <w:sz w:val="24"/>
                <w:lang w:val="en-US" w:eastAsia="zh-CN"/>
              </w:rPr>
              <w:t>6.16</w:t>
            </w:r>
            <w:r>
              <w:rPr>
                <w:color w:val="auto"/>
                <w:sz w:val="24"/>
              </w:rPr>
              <w:t>m</w:t>
            </w:r>
            <w:r>
              <w:rPr>
                <w:color w:val="auto"/>
                <w:sz w:val="24"/>
                <w:vertAlign w:val="superscript"/>
              </w:rPr>
              <w:t>3</w:t>
            </w:r>
            <w:r>
              <w:rPr>
                <w:color w:val="auto"/>
                <w:sz w:val="24"/>
              </w:rPr>
              <w:t>/d，</w:t>
            </w:r>
            <w:r>
              <w:rPr>
                <w:rFonts w:hint="eastAsia"/>
                <w:color w:val="auto"/>
                <w:sz w:val="24"/>
                <w:lang w:val="en-US" w:eastAsia="zh-CN"/>
              </w:rPr>
              <w:t>2248.4</w:t>
            </w:r>
            <w:r>
              <w:rPr>
                <w:color w:val="auto"/>
                <w:sz w:val="24"/>
              </w:rPr>
              <w:t>t/a。生活污水产生情况见表</w:t>
            </w:r>
            <w:r>
              <w:rPr>
                <w:rFonts w:hint="eastAsia"/>
                <w:color w:val="auto"/>
                <w:sz w:val="24"/>
                <w:lang w:val="en-US" w:eastAsia="zh-CN"/>
              </w:rPr>
              <w:t>31</w:t>
            </w:r>
            <w:r>
              <w:rPr>
                <w:color w:val="auto"/>
                <w:sz w:val="24"/>
              </w:rPr>
              <w:t>。</w:t>
            </w:r>
          </w:p>
          <w:p>
            <w:pPr>
              <w:widowControl/>
              <w:spacing w:before="156"/>
              <w:jc w:val="center"/>
              <w:rPr>
                <w:b/>
                <w:bCs/>
                <w:color w:val="auto"/>
                <w:kern w:val="0"/>
                <w:sz w:val="24"/>
              </w:rPr>
            </w:pPr>
            <w:r>
              <w:rPr>
                <w:b/>
                <w:bCs/>
                <w:color w:val="auto"/>
                <w:kern w:val="0"/>
                <w:sz w:val="24"/>
              </w:rPr>
              <w:t>表</w:t>
            </w:r>
            <w:r>
              <w:rPr>
                <w:rFonts w:hint="eastAsia"/>
                <w:b/>
                <w:bCs/>
                <w:color w:val="auto"/>
                <w:kern w:val="0"/>
                <w:sz w:val="24"/>
                <w:lang w:val="en-US" w:eastAsia="zh-CN"/>
              </w:rPr>
              <w:t>31</w:t>
            </w:r>
            <w:r>
              <w:rPr>
                <w:b/>
                <w:bCs/>
                <w:color w:val="auto"/>
                <w:kern w:val="0"/>
                <w:sz w:val="24"/>
              </w:rPr>
              <w:t xml:space="preserve">  生活污水产生情况</w:t>
            </w:r>
          </w:p>
          <w:tbl>
            <w:tblPr>
              <w:tblStyle w:val="14"/>
              <w:tblW w:w="8282" w:type="dxa"/>
              <w:jc w:val="center"/>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987"/>
              <w:gridCol w:w="2084"/>
              <w:gridCol w:w="2084"/>
              <w:gridCol w:w="212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98" w:hRule="atLeast"/>
                <w:jc w:val="center"/>
              </w:trPr>
              <w:tc>
                <w:tcPr>
                  <w:tcW w:w="1987" w:type="dxa"/>
                  <w:vAlign w:val="center"/>
                </w:tcPr>
                <w:p>
                  <w:pPr>
                    <w:jc w:val="center"/>
                    <w:rPr>
                      <w:rFonts w:hint="eastAsia"/>
                      <w:color w:val="auto"/>
                      <w:sz w:val="21"/>
                      <w:szCs w:val="21"/>
                    </w:rPr>
                  </w:pPr>
                  <w:r>
                    <w:rPr>
                      <w:rFonts w:hint="eastAsia"/>
                      <w:color w:val="auto"/>
                      <w:sz w:val="21"/>
                      <w:szCs w:val="21"/>
                    </w:rPr>
                    <w:t>产生环节</w:t>
                  </w:r>
                </w:p>
              </w:tc>
              <w:tc>
                <w:tcPr>
                  <w:tcW w:w="2084" w:type="dxa"/>
                  <w:vAlign w:val="center"/>
                </w:tcPr>
                <w:p>
                  <w:pPr>
                    <w:jc w:val="center"/>
                    <w:rPr>
                      <w:rFonts w:hint="eastAsia"/>
                      <w:color w:val="auto"/>
                      <w:sz w:val="21"/>
                      <w:szCs w:val="21"/>
                    </w:rPr>
                  </w:pPr>
                  <w:r>
                    <w:rPr>
                      <w:rFonts w:hint="eastAsia"/>
                      <w:color w:val="auto"/>
                      <w:sz w:val="21"/>
                      <w:szCs w:val="21"/>
                    </w:rPr>
                    <w:t>指标</w:t>
                  </w:r>
                </w:p>
              </w:tc>
              <w:tc>
                <w:tcPr>
                  <w:tcW w:w="2084" w:type="dxa"/>
                  <w:vAlign w:val="center"/>
                </w:tcPr>
                <w:p>
                  <w:pPr>
                    <w:jc w:val="center"/>
                    <w:rPr>
                      <w:rFonts w:hint="eastAsia"/>
                      <w:color w:val="auto"/>
                      <w:sz w:val="21"/>
                      <w:szCs w:val="21"/>
                    </w:rPr>
                  </w:pPr>
                  <w:r>
                    <w:rPr>
                      <w:rFonts w:hint="eastAsia"/>
                      <w:color w:val="auto"/>
                      <w:sz w:val="21"/>
                      <w:szCs w:val="21"/>
                    </w:rPr>
                    <w:t>水质(mg/L)</w:t>
                  </w:r>
                </w:p>
              </w:tc>
              <w:tc>
                <w:tcPr>
                  <w:tcW w:w="2127" w:type="dxa"/>
                  <w:vAlign w:val="center"/>
                </w:tcPr>
                <w:p>
                  <w:pPr>
                    <w:jc w:val="center"/>
                    <w:rPr>
                      <w:rFonts w:hint="eastAsia"/>
                      <w:color w:val="auto"/>
                      <w:sz w:val="21"/>
                      <w:szCs w:val="21"/>
                    </w:rPr>
                  </w:pPr>
                  <w:r>
                    <w:rPr>
                      <w:rFonts w:hint="eastAsia"/>
                      <w:color w:val="auto"/>
                      <w:sz w:val="21"/>
                      <w:szCs w:val="21"/>
                    </w:rPr>
                    <w:t>年产生量（t/a）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400" w:hRule="atLeast"/>
                <w:jc w:val="center"/>
              </w:trPr>
              <w:tc>
                <w:tcPr>
                  <w:tcW w:w="1987" w:type="dxa"/>
                  <w:vMerge w:val="restart"/>
                  <w:vAlign w:val="center"/>
                </w:tcPr>
                <w:p>
                  <w:pPr>
                    <w:jc w:val="center"/>
                    <w:rPr>
                      <w:rFonts w:hint="eastAsia"/>
                      <w:color w:val="auto"/>
                      <w:sz w:val="21"/>
                      <w:szCs w:val="21"/>
                    </w:rPr>
                  </w:pPr>
                  <w:r>
                    <w:rPr>
                      <w:rFonts w:hint="eastAsia"/>
                      <w:color w:val="auto"/>
                      <w:sz w:val="21"/>
                      <w:szCs w:val="21"/>
                    </w:rPr>
                    <w:t>生活污水</w:t>
                  </w:r>
                </w:p>
              </w:tc>
              <w:tc>
                <w:tcPr>
                  <w:tcW w:w="2084" w:type="dxa"/>
                  <w:vAlign w:val="center"/>
                </w:tcPr>
                <w:p>
                  <w:pPr>
                    <w:jc w:val="center"/>
                    <w:rPr>
                      <w:rFonts w:hint="eastAsia"/>
                      <w:color w:val="auto"/>
                      <w:sz w:val="21"/>
                      <w:szCs w:val="21"/>
                    </w:rPr>
                  </w:pPr>
                  <w:r>
                    <w:rPr>
                      <w:rFonts w:hint="eastAsia"/>
                      <w:color w:val="auto"/>
                      <w:sz w:val="21"/>
                      <w:szCs w:val="21"/>
                    </w:rPr>
                    <w:t>水量</w:t>
                  </w:r>
                </w:p>
              </w:tc>
              <w:tc>
                <w:tcPr>
                  <w:tcW w:w="2084" w:type="dxa"/>
                  <w:vAlign w:val="center"/>
                </w:tcPr>
                <w:p>
                  <w:pPr>
                    <w:jc w:val="center"/>
                    <w:rPr>
                      <w:rFonts w:hint="eastAsia"/>
                      <w:color w:val="auto"/>
                      <w:sz w:val="21"/>
                      <w:szCs w:val="21"/>
                    </w:rPr>
                  </w:pPr>
                  <w:r>
                    <w:rPr>
                      <w:rFonts w:hint="eastAsia"/>
                      <w:color w:val="auto"/>
                      <w:sz w:val="21"/>
                      <w:szCs w:val="21"/>
                    </w:rPr>
                    <w:t>——</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2248.4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98" w:hRule="atLeast"/>
                <w:jc w:val="center"/>
              </w:trPr>
              <w:tc>
                <w:tcPr>
                  <w:tcW w:w="1987" w:type="dxa"/>
                  <w:vMerge w:val="continue"/>
                  <w:vAlign w:val="center"/>
                </w:tcPr>
                <w:p>
                  <w:pPr>
                    <w:jc w:val="center"/>
                    <w:rPr>
                      <w:rFonts w:hint="eastAsia"/>
                      <w:color w:val="auto"/>
                      <w:sz w:val="21"/>
                      <w:szCs w:val="21"/>
                    </w:rPr>
                  </w:pPr>
                </w:p>
              </w:tc>
              <w:tc>
                <w:tcPr>
                  <w:tcW w:w="2084" w:type="dxa"/>
                  <w:vAlign w:val="center"/>
                </w:tcPr>
                <w:p>
                  <w:pPr>
                    <w:jc w:val="center"/>
                    <w:rPr>
                      <w:rFonts w:hint="eastAsia"/>
                      <w:color w:val="auto"/>
                      <w:sz w:val="21"/>
                      <w:szCs w:val="21"/>
                    </w:rPr>
                  </w:pPr>
                  <w:r>
                    <w:rPr>
                      <w:rFonts w:hint="eastAsia"/>
                      <w:color w:val="auto"/>
                      <w:sz w:val="21"/>
                      <w:szCs w:val="21"/>
                    </w:rPr>
                    <w:t>COD</w:t>
                  </w:r>
                </w:p>
              </w:tc>
              <w:tc>
                <w:tcPr>
                  <w:tcW w:w="2084" w:type="dxa"/>
                  <w:vAlign w:val="center"/>
                </w:tcPr>
                <w:p>
                  <w:pPr>
                    <w:jc w:val="center"/>
                    <w:rPr>
                      <w:rFonts w:hint="eastAsia"/>
                      <w:color w:val="auto"/>
                      <w:sz w:val="21"/>
                      <w:szCs w:val="21"/>
                    </w:rPr>
                  </w:pPr>
                  <w:r>
                    <w:rPr>
                      <w:rFonts w:hint="eastAsia"/>
                      <w:color w:val="auto"/>
                      <w:sz w:val="21"/>
                      <w:szCs w:val="21"/>
                    </w:rPr>
                    <w:t>300</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0.67452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98" w:hRule="atLeast"/>
                <w:jc w:val="center"/>
              </w:trPr>
              <w:tc>
                <w:tcPr>
                  <w:tcW w:w="1987" w:type="dxa"/>
                  <w:vMerge w:val="continue"/>
                  <w:vAlign w:val="center"/>
                </w:tcPr>
                <w:p>
                  <w:pPr>
                    <w:jc w:val="center"/>
                    <w:rPr>
                      <w:rFonts w:hint="eastAsia"/>
                      <w:color w:val="auto"/>
                      <w:sz w:val="21"/>
                      <w:szCs w:val="21"/>
                    </w:rPr>
                  </w:pPr>
                </w:p>
              </w:tc>
              <w:tc>
                <w:tcPr>
                  <w:tcW w:w="2084" w:type="dxa"/>
                  <w:vAlign w:val="center"/>
                </w:tcPr>
                <w:p>
                  <w:pPr>
                    <w:jc w:val="center"/>
                    <w:rPr>
                      <w:rFonts w:hint="eastAsia"/>
                      <w:color w:val="auto"/>
                      <w:sz w:val="21"/>
                      <w:szCs w:val="21"/>
                    </w:rPr>
                  </w:pPr>
                  <w:r>
                    <w:rPr>
                      <w:rFonts w:hint="eastAsia"/>
                      <w:color w:val="auto"/>
                      <w:sz w:val="21"/>
                      <w:szCs w:val="21"/>
                    </w:rPr>
                    <w:t>BOD5</w:t>
                  </w:r>
                </w:p>
              </w:tc>
              <w:tc>
                <w:tcPr>
                  <w:tcW w:w="2084" w:type="dxa"/>
                  <w:vAlign w:val="center"/>
                </w:tcPr>
                <w:p>
                  <w:pPr>
                    <w:jc w:val="center"/>
                    <w:rPr>
                      <w:rFonts w:hint="eastAsia"/>
                      <w:color w:val="auto"/>
                      <w:sz w:val="21"/>
                      <w:szCs w:val="21"/>
                    </w:rPr>
                  </w:pPr>
                  <w:r>
                    <w:rPr>
                      <w:rFonts w:hint="eastAsia"/>
                      <w:color w:val="auto"/>
                      <w:sz w:val="21"/>
                      <w:szCs w:val="21"/>
                    </w:rPr>
                    <w:t>150</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0.33726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05" w:hRule="atLeast"/>
                <w:jc w:val="center"/>
              </w:trPr>
              <w:tc>
                <w:tcPr>
                  <w:tcW w:w="1987" w:type="dxa"/>
                  <w:vMerge w:val="continue"/>
                  <w:vAlign w:val="center"/>
                </w:tcPr>
                <w:p>
                  <w:pPr>
                    <w:jc w:val="center"/>
                    <w:rPr>
                      <w:rFonts w:hint="eastAsia"/>
                      <w:color w:val="auto"/>
                      <w:sz w:val="21"/>
                      <w:szCs w:val="21"/>
                    </w:rPr>
                  </w:pPr>
                </w:p>
              </w:tc>
              <w:tc>
                <w:tcPr>
                  <w:tcW w:w="2084" w:type="dxa"/>
                  <w:vAlign w:val="center"/>
                </w:tcPr>
                <w:p>
                  <w:pPr>
                    <w:jc w:val="center"/>
                    <w:rPr>
                      <w:rFonts w:hint="eastAsia"/>
                      <w:color w:val="auto"/>
                      <w:sz w:val="21"/>
                      <w:szCs w:val="21"/>
                    </w:rPr>
                  </w:pPr>
                  <w:r>
                    <w:rPr>
                      <w:rFonts w:hint="eastAsia"/>
                      <w:color w:val="auto"/>
                      <w:sz w:val="21"/>
                      <w:szCs w:val="21"/>
                    </w:rPr>
                    <w:t>SS</w:t>
                  </w:r>
                </w:p>
              </w:tc>
              <w:tc>
                <w:tcPr>
                  <w:tcW w:w="2084" w:type="dxa"/>
                  <w:vAlign w:val="center"/>
                </w:tcPr>
                <w:p>
                  <w:pPr>
                    <w:jc w:val="center"/>
                    <w:rPr>
                      <w:rFonts w:hint="eastAsia"/>
                      <w:color w:val="auto"/>
                      <w:sz w:val="21"/>
                      <w:szCs w:val="21"/>
                    </w:rPr>
                  </w:pPr>
                  <w:r>
                    <w:rPr>
                      <w:rFonts w:hint="eastAsia"/>
                      <w:color w:val="auto"/>
                      <w:sz w:val="21"/>
                      <w:szCs w:val="21"/>
                    </w:rPr>
                    <w:t>200</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0.44968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98" w:hRule="atLeast"/>
                <w:jc w:val="center"/>
              </w:trPr>
              <w:tc>
                <w:tcPr>
                  <w:tcW w:w="1987" w:type="dxa"/>
                  <w:vMerge w:val="continue"/>
                  <w:vAlign w:val="center"/>
                </w:tcPr>
                <w:p>
                  <w:pPr>
                    <w:jc w:val="center"/>
                    <w:rPr>
                      <w:rFonts w:hint="eastAsia"/>
                      <w:color w:val="auto"/>
                      <w:sz w:val="21"/>
                      <w:szCs w:val="21"/>
                    </w:rPr>
                  </w:pPr>
                </w:p>
              </w:tc>
              <w:tc>
                <w:tcPr>
                  <w:tcW w:w="2084" w:type="dxa"/>
                  <w:vAlign w:val="center"/>
                </w:tcPr>
                <w:p>
                  <w:pPr>
                    <w:jc w:val="center"/>
                    <w:rPr>
                      <w:rFonts w:hint="eastAsia"/>
                      <w:color w:val="auto"/>
                      <w:sz w:val="21"/>
                      <w:szCs w:val="21"/>
                    </w:rPr>
                  </w:pPr>
                  <w:r>
                    <w:rPr>
                      <w:rFonts w:hint="eastAsia"/>
                      <w:color w:val="auto"/>
                      <w:sz w:val="21"/>
                      <w:szCs w:val="21"/>
                    </w:rPr>
                    <w:t>NH3-N</w:t>
                  </w:r>
                </w:p>
              </w:tc>
              <w:tc>
                <w:tcPr>
                  <w:tcW w:w="2084" w:type="dxa"/>
                  <w:vAlign w:val="center"/>
                </w:tcPr>
                <w:p>
                  <w:pPr>
                    <w:jc w:val="center"/>
                    <w:rPr>
                      <w:rFonts w:hint="eastAsia"/>
                      <w:color w:val="auto"/>
                      <w:sz w:val="21"/>
                      <w:szCs w:val="21"/>
                    </w:rPr>
                  </w:pPr>
                  <w:r>
                    <w:rPr>
                      <w:rFonts w:hint="eastAsia"/>
                      <w:color w:val="auto"/>
                      <w:sz w:val="21"/>
                      <w:szCs w:val="21"/>
                    </w:rPr>
                    <w:t>30</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0.067452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Ex>
              <w:trPr>
                <w:trHeight w:val="298" w:hRule="atLeast"/>
                <w:jc w:val="center"/>
              </w:trPr>
              <w:tc>
                <w:tcPr>
                  <w:tcW w:w="1987" w:type="dxa"/>
                  <w:vMerge w:val="continue"/>
                  <w:vAlign w:val="center"/>
                </w:tcPr>
                <w:p>
                  <w:pPr>
                    <w:jc w:val="center"/>
                    <w:rPr>
                      <w:rFonts w:hint="eastAsia"/>
                      <w:color w:val="auto"/>
                      <w:sz w:val="21"/>
                      <w:szCs w:val="21"/>
                    </w:rPr>
                  </w:pPr>
                </w:p>
              </w:tc>
              <w:tc>
                <w:tcPr>
                  <w:tcW w:w="2084" w:type="dxa"/>
                  <w:vAlign w:val="center"/>
                </w:tcPr>
                <w:p>
                  <w:pPr>
                    <w:jc w:val="center"/>
                    <w:rPr>
                      <w:rFonts w:hint="eastAsia"/>
                      <w:color w:val="auto"/>
                      <w:sz w:val="21"/>
                      <w:szCs w:val="21"/>
                    </w:rPr>
                  </w:pPr>
                  <w:r>
                    <w:rPr>
                      <w:rFonts w:hint="eastAsia"/>
                      <w:color w:val="auto"/>
                      <w:sz w:val="21"/>
                      <w:szCs w:val="21"/>
                    </w:rPr>
                    <w:t>动植物油</w:t>
                  </w:r>
                </w:p>
              </w:tc>
              <w:tc>
                <w:tcPr>
                  <w:tcW w:w="2084" w:type="dxa"/>
                  <w:vAlign w:val="center"/>
                </w:tcPr>
                <w:p>
                  <w:pPr>
                    <w:jc w:val="center"/>
                    <w:rPr>
                      <w:rFonts w:hint="eastAsia"/>
                      <w:color w:val="auto"/>
                      <w:sz w:val="21"/>
                      <w:szCs w:val="21"/>
                    </w:rPr>
                  </w:pPr>
                  <w:r>
                    <w:rPr>
                      <w:rFonts w:hint="eastAsia"/>
                      <w:color w:val="auto"/>
                      <w:sz w:val="21"/>
                      <w:szCs w:val="21"/>
                    </w:rPr>
                    <w:t>20</w:t>
                  </w:r>
                </w:p>
              </w:tc>
              <w:tc>
                <w:tcPr>
                  <w:tcW w:w="2127" w:type="dxa"/>
                  <w:textDirection w:val="lrTb"/>
                  <w:vAlign w:val="center"/>
                </w:tcPr>
                <w:p>
                  <w:pPr>
                    <w:jc w:val="center"/>
                    <w:rPr>
                      <w:rFonts w:hint="eastAsia"/>
                      <w:color w:val="auto"/>
                      <w:sz w:val="21"/>
                      <w:szCs w:val="21"/>
                    </w:rPr>
                  </w:pPr>
                  <w:r>
                    <w:rPr>
                      <w:rFonts w:hint="eastAsia"/>
                      <w:color w:val="auto"/>
                      <w:sz w:val="21"/>
                      <w:szCs w:val="21"/>
                      <w:lang w:val="en-US" w:eastAsia="zh-CN"/>
                    </w:rPr>
                    <w:t>0.044968</w:t>
                  </w:r>
                </w:p>
              </w:tc>
            </w:tr>
          </w:tbl>
          <w:p>
            <w:pPr>
              <w:spacing w:line="360" w:lineRule="auto"/>
              <w:ind w:firstLine="480" w:firstLineChars="200"/>
              <w:rPr>
                <w:rFonts w:hint="eastAsia"/>
                <w:color w:val="auto"/>
                <w:sz w:val="24"/>
              </w:rPr>
            </w:pPr>
            <w:r>
              <w:rPr>
                <w:rFonts w:hint="eastAsia"/>
                <w:color w:val="auto"/>
                <w:sz w:val="24"/>
              </w:rPr>
              <w:t>本项目废水污染源强见表</w:t>
            </w:r>
            <w:r>
              <w:rPr>
                <w:rFonts w:hint="eastAsia"/>
                <w:color w:val="auto"/>
                <w:sz w:val="24"/>
                <w:lang w:val="en-US" w:eastAsia="zh-CN"/>
              </w:rPr>
              <w:t>32</w:t>
            </w:r>
            <w:r>
              <w:rPr>
                <w:rFonts w:hint="eastAsia"/>
                <w:color w:val="auto"/>
                <w:sz w:val="24"/>
              </w:rPr>
              <w:t>，水平衡见图</w:t>
            </w:r>
            <w:r>
              <w:rPr>
                <w:rFonts w:hint="eastAsia"/>
                <w:color w:val="auto"/>
                <w:sz w:val="24"/>
                <w:lang w:val="en-US" w:eastAsia="zh-CN"/>
              </w:rPr>
              <w:t>4</w:t>
            </w:r>
            <w:r>
              <w:rPr>
                <w:rFonts w:hint="eastAsia"/>
                <w:color w:val="auto"/>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32</w:t>
            </w:r>
            <w:r>
              <w:rPr>
                <w:rFonts w:hint="eastAsia"/>
                <w:b/>
                <w:color w:val="auto"/>
                <w:sz w:val="24"/>
              </w:rPr>
              <w:t xml:space="preserve">   项目废水污染源强一览表</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73"/>
              <w:gridCol w:w="1175"/>
              <w:gridCol w:w="839"/>
              <w:gridCol w:w="869"/>
              <w:gridCol w:w="833"/>
              <w:gridCol w:w="869"/>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Merge w:val="restart"/>
                  <w:vAlign w:val="center"/>
                </w:tcPr>
                <w:p>
                  <w:pPr>
                    <w:jc w:val="center"/>
                    <w:rPr>
                      <w:rFonts w:hint="eastAsia"/>
                      <w:color w:val="auto"/>
                      <w:sz w:val="21"/>
                      <w:szCs w:val="21"/>
                    </w:rPr>
                  </w:pPr>
                  <w:r>
                    <w:rPr>
                      <w:rFonts w:hint="eastAsia"/>
                      <w:color w:val="auto"/>
                      <w:sz w:val="21"/>
                      <w:szCs w:val="21"/>
                    </w:rPr>
                    <w:t>废水来源</w:t>
                  </w:r>
                </w:p>
              </w:tc>
              <w:tc>
                <w:tcPr>
                  <w:tcW w:w="1175" w:type="dxa"/>
                  <w:vMerge w:val="restart"/>
                  <w:vAlign w:val="center"/>
                </w:tcPr>
                <w:p>
                  <w:pPr>
                    <w:jc w:val="center"/>
                    <w:rPr>
                      <w:rFonts w:hint="eastAsia"/>
                      <w:color w:val="auto"/>
                      <w:sz w:val="21"/>
                      <w:szCs w:val="21"/>
                    </w:rPr>
                  </w:pPr>
                  <w:r>
                    <w:rPr>
                      <w:rFonts w:hint="eastAsia"/>
                      <w:color w:val="auto"/>
                      <w:sz w:val="21"/>
                      <w:szCs w:val="21"/>
                    </w:rPr>
                    <w:t>废水生产量m3/a</w:t>
                  </w:r>
                </w:p>
              </w:tc>
              <w:tc>
                <w:tcPr>
                  <w:tcW w:w="3410" w:type="dxa"/>
                  <w:gridSpan w:val="4"/>
                  <w:vAlign w:val="center"/>
                </w:tcPr>
                <w:p>
                  <w:pPr>
                    <w:jc w:val="center"/>
                    <w:rPr>
                      <w:rFonts w:hint="eastAsia"/>
                      <w:color w:val="auto"/>
                      <w:sz w:val="21"/>
                      <w:szCs w:val="21"/>
                    </w:rPr>
                  </w:pPr>
                  <w:r>
                    <w:rPr>
                      <w:rFonts w:hint="eastAsia"/>
                      <w:color w:val="auto"/>
                      <w:sz w:val="21"/>
                      <w:szCs w:val="21"/>
                    </w:rPr>
                    <w:t>污染物产生量</w:t>
                  </w:r>
                </w:p>
              </w:tc>
              <w:tc>
                <w:tcPr>
                  <w:tcW w:w="2524" w:type="dxa"/>
                  <w:vMerge w:val="restart"/>
                  <w:vAlign w:val="center"/>
                </w:tcPr>
                <w:p>
                  <w:pPr>
                    <w:jc w:val="center"/>
                    <w:rPr>
                      <w:rFonts w:hint="eastAsia"/>
                      <w:color w:val="auto"/>
                      <w:sz w:val="21"/>
                      <w:szCs w:val="21"/>
                    </w:rPr>
                  </w:pPr>
                  <w:r>
                    <w:rPr>
                      <w:rFonts w:hint="eastAsia"/>
                      <w:color w:val="auto"/>
                      <w:sz w:val="21"/>
                      <w:szCs w:val="21"/>
                    </w:rPr>
                    <w:t>排放方式与去向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Merge w:val="continue"/>
                  <w:vAlign w:val="center"/>
                </w:tcPr>
                <w:p>
                  <w:pPr>
                    <w:jc w:val="center"/>
                    <w:rPr>
                      <w:rFonts w:hint="eastAsia"/>
                      <w:color w:val="auto"/>
                      <w:sz w:val="21"/>
                      <w:szCs w:val="21"/>
                    </w:rPr>
                  </w:pPr>
                </w:p>
              </w:tc>
              <w:tc>
                <w:tcPr>
                  <w:tcW w:w="1175" w:type="dxa"/>
                  <w:vMerge w:val="continue"/>
                  <w:vAlign w:val="center"/>
                </w:tcPr>
                <w:p>
                  <w:pPr>
                    <w:jc w:val="center"/>
                    <w:rPr>
                      <w:rFonts w:hint="eastAsia"/>
                      <w:color w:val="auto"/>
                      <w:sz w:val="21"/>
                      <w:szCs w:val="21"/>
                    </w:rPr>
                  </w:pPr>
                </w:p>
              </w:tc>
              <w:tc>
                <w:tcPr>
                  <w:tcW w:w="1708" w:type="dxa"/>
                  <w:gridSpan w:val="2"/>
                  <w:vAlign w:val="center"/>
                </w:tcPr>
                <w:p>
                  <w:pPr>
                    <w:jc w:val="center"/>
                    <w:rPr>
                      <w:rFonts w:hint="eastAsia"/>
                      <w:color w:val="auto"/>
                      <w:sz w:val="21"/>
                      <w:szCs w:val="21"/>
                    </w:rPr>
                  </w:pPr>
                  <w:r>
                    <w:rPr>
                      <w:rFonts w:hint="eastAsia"/>
                      <w:color w:val="auto"/>
                      <w:sz w:val="21"/>
                      <w:szCs w:val="21"/>
                    </w:rPr>
                    <w:t>COD</w:t>
                  </w:r>
                </w:p>
              </w:tc>
              <w:tc>
                <w:tcPr>
                  <w:tcW w:w="1702" w:type="dxa"/>
                  <w:gridSpan w:val="2"/>
                  <w:vAlign w:val="center"/>
                </w:tcPr>
                <w:p>
                  <w:pPr>
                    <w:jc w:val="center"/>
                    <w:rPr>
                      <w:rFonts w:hint="eastAsia"/>
                      <w:color w:val="auto"/>
                      <w:sz w:val="21"/>
                      <w:szCs w:val="21"/>
                    </w:rPr>
                  </w:pPr>
                  <w:r>
                    <w:rPr>
                      <w:rFonts w:hint="eastAsia"/>
                      <w:color w:val="auto"/>
                      <w:sz w:val="21"/>
                      <w:szCs w:val="21"/>
                    </w:rPr>
                    <w:t>SS</w:t>
                  </w:r>
                </w:p>
              </w:tc>
              <w:tc>
                <w:tcPr>
                  <w:tcW w:w="2524" w:type="dxa"/>
                  <w:vMerge w:val="continue"/>
                  <w:vAlign w:val="center"/>
                </w:tcPr>
                <w:p>
                  <w:pPr>
                    <w:jc w:val="center"/>
                    <w:rPr>
                      <w:rFonts w:hint="eastAsia"/>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Merge w:val="continue"/>
                  <w:vAlign w:val="center"/>
                </w:tcPr>
                <w:p>
                  <w:pPr>
                    <w:jc w:val="center"/>
                    <w:rPr>
                      <w:rFonts w:hint="eastAsia"/>
                      <w:color w:val="auto"/>
                      <w:sz w:val="21"/>
                      <w:szCs w:val="21"/>
                    </w:rPr>
                  </w:pPr>
                </w:p>
              </w:tc>
              <w:tc>
                <w:tcPr>
                  <w:tcW w:w="1175" w:type="dxa"/>
                  <w:vMerge w:val="continue"/>
                  <w:vAlign w:val="center"/>
                </w:tcPr>
                <w:p>
                  <w:pPr>
                    <w:jc w:val="center"/>
                    <w:rPr>
                      <w:rFonts w:hint="eastAsia"/>
                      <w:color w:val="auto"/>
                      <w:sz w:val="21"/>
                      <w:szCs w:val="21"/>
                    </w:rPr>
                  </w:pPr>
                </w:p>
              </w:tc>
              <w:tc>
                <w:tcPr>
                  <w:tcW w:w="839" w:type="dxa"/>
                  <w:vAlign w:val="center"/>
                </w:tcPr>
                <w:p>
                  <w:pPr>
                    <w:jc w:val="center"/>
                    <w:rPr>
                      <w:rFonts w:hint="eastAsia"/>
                      <w:color w:val="auto"/>
                      <w:sz w:val="21"/>
                      <w:szCs w:val="21"/>
                    </w:rPr>
                  </w:pPr>
                  <w:r>
                    <w:rPr>
                      <w:rFonts w:hint="eastAsia"/>
                      <w:color w:val="auto"/>
                      <w:sz w:val="21"/>
                      <w:szCs w:val="21"/>
                    </w:rPr>
                    <w:t>浓度</w:t>
                  </w:r>
                </w:p>
                <w:p>
                  <w:pPr>
                    <w:jc w:val="center"/>
                    <w:rPr>
                      <w:rFonts w:hint="eastAsia"/>
                      <w:color w:val="auto"/>
                      <w:sz w:val="21"/>
                      <w:szCs w:val="21"/>
                    </w:rPr>
                  </w:pPr>
                  <w:r>
                    <w:rPr>
                      <w:rFonts w:hint="eastAsia"/>
                      <w:color w:val="auto"/>
                      <w:sz w:val="21"/>
                      <w:szCs w:val="21"/>
                    </w:rPr>
                    <w:t>mg/L</w:t>
                  </w:r>
                </w:p>
              </w:tc>
              <w:tc>
                <w:tcPr>
                  <w:tcW w:w="869" w:type="dxa"/>
                  <w:vAlign w:val="center"/>
                </w:tcPr>
                <w:p>
                  <w:pPr>
                    <w:jc w:val="center"/>
                    <w:rPr>
                      <w:rFonts w:hint="eastAsia"/>
                      <w:color w:val="auto"/>
                      <w:sz w:val="21"/>
                      <w:szCs w:val="21"/>
                    </w:rPr>
                  </w:pPr>
                  <w:r>
                    <w:rPr>
                      <w:rFonts w:hint="eastAsia"/>
                      <w:color w:val="auto"/>
                      <w:sz w:val="21"/>
                      <w:szCs w:val="21"/>
                    </w:rPr>
                    <w:t>产生</w:t>
                  </w:r>
                </w:p>
                <w:p>
                  <w:pPr>
                    <w:jc w:val="center"/>
                    <w:rPr>
                      <w:rFonts w:hint="eastAsia"/>
                      <w:color w:val="auto"/>
                      <w:sz w:val="21"/>
                      <w:szCs w:val="21"/>
                    </w:rPr>
                  </w:pPr>
                  <w:r>
                    <w:rPr>
                      <w:rFonts w:hint="eastAsia"/>
                      <w:color w:val="auto"/>
                      <w:sz w:val="21"/>
                      <w:szCs w:val="21"/>
                    </w:rPr>
                    <w:t>量t/a</w:t>
                  </w:r>
                </w:p>
              </w:tc>
              <w:tc>
                <w:tcPr>
                  <w:tcW w:w="833" w:type="dxa"/>
                  <w:vAlign w:val="center"/>
                </w:tcPr>
                <w:p>
                  <w:pPr>
                    <w:jc w:val="center"/>
                    <w:rPr>
                      <w:rFonts w:hint="eastAsia"/>
                      <w:color w:val="auto"/>
                      <w:sz w:val="21"/>
                      <w:szCs w:val="21"/>
                    </w:rPr>
                  </w:pPr>
                  <w:r>
                    <w:rPr>
                      <w:rFonts w:hint="eastAsia"/>
                      <w:color w:val="auto"/>
                      <w:sz w:val="21"/>
                      <w:szCs w:val="21"/>
                    </w:rPr>
                    <w:t>浓度</w:t>
                  </w:r>
                </w:p>
                <w:p>
                  <w:pPr>
                    <w:jc w:val="center"/>
                    <w:rPr>
                      <w:rFonts w:hint="eastAsia"/>
                      <w:color w:val="auto"/>
                      <w:sz w:val="21"/>
                      <w:szCs w:val="21"/>
                    </w:rPr>
                  </w:pPr>
                  <w:r>
                    <w:rPr>
                      <w:rFonts w:hint="eastAsia"/>
                      <w:color w:val="auto"/>
                      <w:sz w:val="21"/>
                      <w:szCs w:val="21"/>
                    </w:rPr>
                    <w:t>mg/L</w:t>
                  </w:r>
                </w:p>
              </w:tc>
              <w:tc>
                <w:tcPr>
                  <w:tcW w:w="869" w:type="dxa"/>
                  <w:vAlign w:val="center"/>
                </w:tcPr>
                <w:p>
                  <w:pPr>
                    <w:jc w:val="center"/>
                    <w:rPr>
                      <w:rFonts w:hint="eastAsia"/>
                      <w:color w:val="auto"/>
                      <w:sz w:val="21"/>
                      <w:szCs w:val="21"/>
                    </w:rPr>
                  </w:pPr>
                  <w:r>
                    <w:rPr>
                      <w:rFonts w:hint="eastAsia"/>
                      <w:color w:val="auto"/>
                      <w:sz w:val="21"/>
                      <w:szCs w:val="21"/>
                    </w:rPr>
                    <w:t>产生</w:t>
                  </w:r>
                </w:p>
                <w:p>
                  <w:pPr>
                    <w:jc w:val="center"/>
                    <w:rPr>
                      <w:rFonts w:hint="eastAsia"/>
                      <w:color w:val="auto"/>
                      <w:sz w:val="21"/>
                      <w:szCs w:val="21"/>
                    </w:rPr>
                  </w:pPr>
                  <w:r>
                    <w:rPr>
                      <w:rFonts w:hint="eastAsia"/>
                      <w:color w:val="auto"/>
                      <w:sz w:val="21"/>
                      <w:szCs w:val="21"/>
                    </w:rPr>
                    <w:t>量t/a</w:t>
                  </w:r>
                </w:p>
              </w:tc>
              <w:tc>
                <w:tcPr>
                  <w:tcW w:w="2524" w:type="dxa"/>
                  <w:vMerge w:val="continue"/>
                  <w:vAlign w:val="center"/>
                </w:tcPr>
                <w:p>
                  <w:pPr>
                    <w:jc w:val="center"/>
                    <w:rPr>
                      <w:rFonts w:hint="eastAsia"/>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Align w:val="center"/>
                </w:tcPr>
                <w:p>
                  <w:pPr>
                    <w:jc w:val="center"/>
                    <w:rPr>
                      <w:rFonts w:hint="eastAsia"/>
                      <w:color w:val="auto"/>
                      <w:sz w:val="21"/>
                      <w:szCs w:val="21"/>
                    </w:rPr>
                  </w:pPr>
                  <w:r>
                    <w:rPr>
                      <w:rFonts w:hint="eastAsia"/>
                      <w:color w:val="auto"/>
                      <w:sz w:val="21"/>
                      <w:szCs w:val="21"/>
                    </w:rPr>
                    <w:t>沉淀池</w:t>
                  </w:r>
                </w:p>
                <w:p>
                  <w:pPr>
                    <w:jc w:val="center"/>
                    <w:rPr>
                      <w:rFonts w:hint="eastAsia"/>
                      <w:color w:val="auto"/>
                      <w:sz w:val="21"/>
                      <w:szCs w:val="21"/>
                    </w:rPr>
                  </w:pPr>
                  <w:r>
                    <w:rPr>
                      <w:rFonts w:hint="eastAsia"/>
                      <w:color w:val="auto"/>
                      <w:sz w:val="21"/>
                      <w:szCs w:val="21"/>
                    </w:rPr>
                    <w:t>排泥水</w:t>
                  </w:r>
                </w:p>
              </w:tc>
              <w:tc>
                <w:tcPr>
                  <w:tcW w:w="1175" w:type="dxa"/>
                  <w:textDirection w:val="lrTb"/>
                  <w:vAlign w:val="center"/>
                </w:tcPr>
                <w:p>
                  <w:pPr>
                    <w:jc w:val="center"/>
                    <w:rPr>
                      <w:rFonts w:hint="eastAsia"/>
                      <w:color w:val="auto"/>
                      <w:sz w:val="21"/>
                      <w:szCs w:val="21"/>
                    </w:rPr>
                  </w:pPr>
                  <w:r>
                    <w:rPr>
                      <w:rFonts w:hint="eastAsia"/>
                      <w:color w:val="auto"/>
                      <w:sz w:val="21"/>
                      <w:szCs w:val="21"/>
                      <w:lang w:val="en-US" w:eastAsia="zh-CN"/>
                    </w:rPr>
                    <w:t>45625</w:t>
                  </w:r>
                </w:p>
              </w:tc>
              <w:tc>
                <w:tcPr>
                  <w:tcW w:w="839" w:type="dxa"/>
                  <w:textDirection w:val="lrTb"/>
                  <w:vAlign w:val="center"/>
                </w:tcPr>
                <w:p>
                  <w:pPr>
                    <w:jc w:val="center"/>
                    <w:rPr>
                      <w:rFonts w:hint="eastAsia"/>
                      <w:color w:val="auto"/>
                      <w:sz w:val="21"/>
                      <w:szCs w:val="21"/>
                    </w:rPr>
                  </w:pPr>
                  <w:r>
                    <w:rPr>
                      <w:rFonts w:hint="default"/>
                      <w:color w:val="auto"/>
                      <w:sz w:val="21"/>
                      <w:szCs w:val="21"/>
                      <w:lang w:val="en-US" w:eastAsia="zh-CN"/>
                    </w:rPr>
                    <w:t>49.8</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6.24</w:t>
                  </w:r>
                </w:p>
              </w:tc>
              <w:tc>
                <w:tcPr>
                  <w:tcW w:w="833" w:type="dxa"/>
                  <w:textDirection w:val="lrTb"/>
                  <w:vAlign w:val="center"/>
                </w:tcPr>
                <w:p>
                  <w:pPr>
                    <w:jc w:val="center"/>
                    <w:rPr>
                      <w:rFonts w:hint="eastAsia"/>
                      <w:color w:val="auto"/>
                      <w:sz w:val="21"/>
                      <w:szCs w:val="21"/>
                    </w:rPr>
                  </w:pPr>
                  <w:r>
                    <w:rPr>
                      <w:rFonts w:hint="eastAsia"/>
                      <w:color w:val="auto"/>
                      <w:sz w:val="21"/>
                      <w:szCs w:val="21"/>
                      <w:lang w:val="en-US" w:eastAsia="zh-CN"/>
                    </w:rPr>
                    <w:t>300</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37.5</w:t>
                  </w:r>
                </w:p>
              </w:tc>
              <w:tc>
                <w:tcPr>
                  <w:tcW w:w="2524" w:type="dxa"/>
                  <w:vMerge w:val="restart"/>
                  <w:vAlign w:val="center"/>
                </w:tcPr>
                <w:p>
                  <w:pPr>
                    <w:jc w:val="center"/>
                    <w:rPr>
                      <w:rFonts w:hint="eastAsia"/>
                      <w:color w:val="auto"/>
                      <w:sz w:val="21"/>
                      <w:szCs w:val="21"/>
                    </w:rPr>
                  </w:pPr>
                  <w:r>
                    <w:rPr>
                      <w:rFonts w:hint="eastAsia"/>
                      <w:color w:val="auto"/>
                      <w:sz w:val="21"/>
                      <w:szCs w:val="21"/>
                    </w:rPr>
                    <w:t>沉淀池排泥水经污泥浓缩和脱水产生的废水与反冲洗水一起排放废水沉淀池沉淀处理后90%回用于原水，10%达标排放至黄金河。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Align w:val="center"/>
                </w:tcPr>
                <w:p>
                  <w:pPr>
                    <w:jc w:val="center"/>
                    <w:rPr>
                      <w:rFonts w:hint="eastAsia"/>
                      <w:color w:val="auto"/>
                      <w:sz w:val="21"/>
                      <w:szCs w:val="21"/>
                    </w:rPr>
                  </w:pPr>
                  <w:r>
                    <w:rPr>
                      <w:rFonts w:hint="eastAsia"/>
                      <w:color w:val="auto"/>
                      <w:sz w:val="21"/>
                      <w:szCs w:val="21"/>
                    </w:rPr>
                    <w:t>滤池反</w:t>
                  </w:r>
                </w:p>
                <w:p>
                  <w:pPr>
                    <w:jc w:val="center"/>
                    <w:rPr>
                      <w:rFonts w:hint="eastAsia"/>
                      <w:color w:val="auto"/>
                      <w:sz w:val="21"/>
                      <w:szCs w:val="21"/>
                    </w:rPr>
                  </w:pPr>
                  <w:r>
                    <w:rPr>
                      <w:rFonts w:hint="eastAsia"/>
                      <w:color w:val="auto"/>
                      <w:sz w:val="21"/>
                      <w:szCs w:val="21"/>
                    </w:rPr>
                    <w:t>冲洗水</w:t>
                  </w:r>
                </w:p>
              </w:tc>
              <w:tc>
                <w:tcPr>
                  <w:tcW w:w="1175" w:type="dxa"/>
                  <w:textDirection w:val="lrTb"/>
                  <w:vAlign w:val="center"/>
                </w:tcPr>
                <w:p>
                  <w:pPr>
                    <w:jc w:val="center"/>
                    <w:rPr>
                      <w:rFonts w:hint="eastAsia"/>
                      <w:color w:val="auto"/>
                      <w:sz w:val="21"/>
                      <w:szCs w:val="21"/>
                    </w:rPr>
                  </w:pPr>
                  <w:r>
                    <w:rPr>
                      <w:rFonts w:hint="eastAsia"/>
                      <w:color w:val="auto"/>
                      <w:sz w:val="21"/>
                      <w:szCs w:val="21"/>
                      <w:lang w:val="en-US" w:eastAsia="zh-CN"/>
                    </w:rPr>
                    <w:t>133334.5</w:t>
                  </w:r>
                </w:p>
              </w:tc>
              <w:tc>
                <w:tcPr>
                  <w:tcW w:w="839" w:type="dxa"/>
                  <w:textDirection w:val="lrTb"/>
                  <w:vAlign w:val="center"/>
                </w:tcPr>
                <w:p>
                  <w:pPr>
                    <w:jc w:val="center"/>
                    <w:rPr>
                      <w:rFonts w:hint="eastAsia"/>
                      <w:color w:val="auto"/>
                      <w:sz w:val="21"/>
                      <w:szCs w:val="21"/>
                    </w:rPr>
                  </w:pPr>
                  <w:r>
                    <w:rPr>
                      <w:rFonts w:hint="default"/>
                      <w:color w:val="auto"/>
                      <w:sz w:val="21"/>
                      <w:szCs w:val="21"/>
                      <w:lang w:val="en-US" w:eastAsia="zh-CN"/>
                    </w:rPr>
                    <w:t>42.39</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153</w:t>
                  </w:r>
                </w:p>
              </w:tc>
              <w:tc>
                <w:tcPr>
                  <w:tcW w:w="833" w:type="dxa"/>
                  <w:textDirection w:val="lrTb"/>
                  <w:vAlign w:val="center"/>
                </w:tcPr>
                <w:p>
                  <w:pPr>
                    <w:jc w:val="center"/>
                    <w:rPr>
                      <w:rFonts w:hint="eastAsia"/>
                      <w:color w:val="auto"/>
                      <w:sz w:val="21"/>
                      <w:szCs w:val="21"/>
                    </w:rPr>
                  </w:pPr>
                  <w:r>
                    <w:rPr>
                      <w:rFonts w:hint="default"/>
                      <w:color w:val="auto"/>
                      <w:sz w:val="21"/>
                      <w:szCs w:val="21"/>
                      <w:lang w:val="en-US" w:eastAsia="zh-CN"/>
                    </w:rPr>
                    <w:t>254</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914.2</w:t>
                  </w:r>
                </w:p>
              </w:tc>
              <w:tc>
                <w:tcPr>
                  <w:tcW w:w="2524" w:type="dxa"/>
                  <w:vMerge w:val="continue"/>
                  <w:vAlign w:val="center"/>
                </w:tcPr>
                <w:p>
                  <w:pPr>
                    <w:jc w:val="center"/>
                    <w:rPr>
                      <w:rFonts w:hint="eastAsia"/>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173" w:type="dxa"/>
                  <w:vAlign w:val="center"/>
                </w:tcPr>
                <w:p>
                  <w:pPr>
                    <w:jc w:val="center"/>
                    <w:rPr>
                      <w:rFonts w:hint="eastAsia"/>
                      <w:color w:val="auto"/>
                      <w:sz w:val="21"/>
                      <w:szCs w:val="21"/>
                    </w:rPr>
                  </w:pPr>
                  <w:r>
                    <w:rPr>
                      <w:rFonts w:hint="eastAsia"/>
                      <w:color w:val="auto"/>
                      <w:sz w:val="21"/>
                      <w:szCs w:val="21"/>
                    </w:rPr>
                    <w:t>生活污水</w:t>
                  </w:r>
                </w:p>
              </w:tc>
              <w:tc>
                <w:tcPr>
                  <w:tcW w:w="1175" w:type="dxa"/>
                  <w:textDirection w:val="lrTb"/>
                  <w:vAlign w:val="center"/>
                </w:tcPr>
                <w:p>
                  <w:pPr>
                    <w:jc w:val="center"/>
                    <w:rPr>
                      <w:rFonts w:hint="eastAsia"/>
                      <w:color w:val="auto"/>
                      <w:sz w:val="21"/>
                      <w:szCs w:val="21"/>
                    </w:rPr>
                  </w:pPr>
                  <w:r>
                    <w:rPr>
                      <w:rFonts w:hint="eastAsia"/>
                      <w:color w:val="auto"/>
                      <w:sz w:val="21"/>
                      <w:szCs w:val="21"/>
                      <w:lang w:val="en-US" w:eastAsia="zh-CN"/>
                    </w:rPr>
                    <w:t>2248.4</w:t>
                  </w:r>
                </w:p>
              </w:tc>
              <w:tc>
                <w:tcPr>
                  <w:tcW w:w="839" w:type="dxa"/>
                  <w:textDirection w:val="lrTb"/>
                  <w:vAlign w:val="center"/>
                </w:tcPr>
                <w:p>
                  <w:pPr>
                    <w:jc w:val="center"/>
                    <w:rPr>
                      <w:rFonts w:hint="eastAsia"/>
                      <w:color w:val="auto"/>
                      <w:sz w:val="21"/>
                      <w:szCs w:val="21"/>
                    </w:rPr>
                  </w:pPr>
                  <w:r>
                    <w:rPr>
                      <w:rFonts w:hint="eastAsia"/>
                      <w:color w:val="auto"/>
                      <w:sz w:val="21"/>
                      <w:szCs w:val="21"/>
                      <w:lang w:val="en-US" w:eastAsia="zh-CN"/>
                    </w:rPr>
                    <w:t>300</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0.67452</w:t>
                  </w:r>
                </w:p>
              </w:tc>
              <w:tc>
                <w:tcPr>
                  <w:tcW w:w="833" w:type="dxa"/>
                  <w:textDirection w:val="lrTb"/>
                  <w:vAlign w:val="center"/>
                </w:tcPr>
                <w:p>
                  <w:pPr>
                    <w:jc w:val="center"/>
                    <w:rPr>
                      <w:rFonts w:hint="eastAsia"/>
                      <w:color w:val="auto"/>
                      <w:sz w:val="21"/>
                      <w:szCs w:val="21"/>
                    </w:rPr>
                  </w:pPr>
                  <w:r>
                    <w:rPr>
                      <w:rFonts w:hint="eastAsia"/>
                      <w:color w:val="auto"/>
                      <w:sz w:val="21"/>
                      <w:szCs w:val="21"/>
                      <w:lang w:val="en-US" w:eastAsia="zh-CN"/>
                    </w:rPr>
                    <w:t>200</w:t>
                  </w:r>
                </w:p>
              </w:tc>
              <w:tc>
                <w:tcPr>
                  <w:tcW w:w="869" w:type="dxa"/>
                  <w:textDirection w:val="lrTb"/>
                  <w:vAlign w:val="center"/>
                </w:tcPr>
                <w:p>
                  <w:pPr>
                    <w:jc w:val="center"/>
                    <w:rPr>
                      <w:rFonts w:hint="eastAsia"/>
                      <w:color w:val="auto"/>
                      <w:sz w:val="21"/>
                      <w:szCs w:val="21"/>
                    </w:rPr>
                  </w:pPr>
                  <w:r>
                    <w:rPr>
                      <w:rFonts w:hint="eastAsia"/>
                      <w:color w:val="auto"/>
                      <w:sz w:val="21"/>
                      <w:szCs w:val="21"/>
                      <w:lang w:val="en-US" w:eastAsia="zh-CN"/>
                    </w:rPr>
                    <w:t>0.08176</w:t>
                  </w:r>
                </w:p>
              </w:tc>
              <w:tc>
                <w:tcPr>
                  <w:tcW w:w="2524" w:type="dxa"/>
                  <w:vAlign w:val="center"/>
                </w:tcPr>
                <w:p>
                  <w:pPr>
                    <w:jc w:val="center"/>
                    <w:rPr>
                      <w:rFonts w:hint="eastAsia"/>
                      <w:color w:val="auto"/>
                      <w:sz w:val="21"/>
                      <w:szCs w:val="21"/>
                    </w:rPr>
                  </w:pPr>
                  <w:r>
                    <w:rPr>
                      <w:rFonts w:hint="eastAsia"/>
                      <w:color w:val="auto"/>
                      <w:sz w:val="21"/>
                      <w:szCs w:val="21"/>
                    </w:rPr>
                    <w:t>经隔油池、化粪池处理后用于周边农肥</w:t>
                  </w:r>
                </w:p>
              </w:tc>
            </w:tr>
          </w:tbl>
          <w:p>
            <w:pPr>
              <w:spacing w:line="360" w:lineRule="auto"/>
              <w:rPr>
                <w:rFonts w:hint="eastAsia"/>
                <w:b/>
                <w:color w:val="auto"/>
                <w:sz w:val="24"/>
              </w:rPr>
            </w:pPr>
            <w:r>
              <w:rPr>
                <w:color w:val="auto"/>
              </w:rPr>
              <w:object>
                <v:shape id="_x0000_i1026" o:spt="75" type="#_x0000_t75" style="height:166.3pt;width:415.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spacing w:line="360" w:lineRule="auto"/>
              <w:jc w:val="center"/>
              <w:rPr>
                <w:rFonts w:hint="eastAsia"/>
                <w:b/>
                <w:color w:val="auto"/>
                <w:sz w:val="24"/>
              </w:rPr>
            </w:pPr>
            <w:r>
              <w:rPr>
                <w:rFonts w:hint="eastAsia"/>
                <w:b/>
                <w:color w:val="auto"/>
                <w:sz w:val="24"/>
              </w:rPr>
              <w:t>图</w:t>
            </w:r>
            <w:r>
              <w:rPr>
                <w:rFonts w:hint="eastAsia"/>
                <w:b/>
                <w:color w:val="auto"/>
                <w:sz w:val="24"/>
                <w:lang w:val="en-US" w:eastAsia="zh-CN"/>
              </w:rPr>
              <w:t>4</w:t>
            </w:r>
            <w:r>
              <w:rPr>
                <w:rFonts w:hint="eastAsia"/>
                <w:b/>
                <w:color w:val="auto"/>
                <w:sz w:val="24"/>
              </w:rPr>
              <w:t xml:space="preserve">  项目总的水平衡（t/a）</w:t>
            </w:r>
          </w:p>
          <w:p>
            <w:pPr>
              <w:pStyle w:val="4"/>
              <w:snapToGrid w:val="0"/>
              <w:spacing w:before="0" w:after="0" w:line="360" w:lineRule="auto"/>
              <w:rPr>
                <w:rFonts w:hint="eastAsia"/>
                <w:color w:val="auto"/>
                <w:sz w:val="24"/>
                <w:szCs w:val="24"/>
              </w:rPr>
            </w:pPr>
            <w:r>
              <w:rPr>
                <w:rFonts w:hint="eastAsia"/>
                <w:color w:val="auto"/>
                <w:sz w:val="24"/>
                <w:szCs w:val="24"/>
                <w:lang w:val="en-US" w:eastAsia="zh-CN"/>
              </w:rPr>
              <w:t>2.2</w:t>
            </w:r>
            <w:r>
              <w:rPr>
                <w:color w:val="auto"/>
                <w:sz w:val="24"/>
                <w:szCs w:val="24"/>
              </w:rPr>
              <w:t xml:space="preserve"> </w:t>
            </w:r>
            <w:r>
              <w:rPr>
                <w:rFonts w:hint="eastAsia"/>
                <w:color w:val="auto"/>
                <w:sz w:val="24"/>
                <w:szCs w:val="24"/>
              </w:rPr>
              <w:t>废气</w:t>
            </w:r>
            <w:r>
              <w:rPr>
                <w:color w:val="auto"/>
                <w:sz w:val="24"/>
                <w:szCs w:val="24"/>
              </w:rPr>
              <w:t>污染源分析</w:t>
            </w:r>
          </w:p>
          <w:p>
            <w:pPr>
              <w:spacing w:line="360" w:lineRule="auto"/>
              <w:ind w:firstLine="480" w:firstLineChars="200"/>
              <w:rPr>
                <w:rFonts w:hint="eastAsia"/>
                <w:color w:val="auto"/>
                <w:sz w:val="24"/>
              </w:rPr>
            </w:pPr>
            <w:r>
              <w:rPr>
                <w:rFonts w:hint="eastAsia"/>
                <w:color w:val="auto"/>
                <w:sz w:val="24"/>
              </w:rPr>
              <w:t xml:space="preserve">项目在运行过程中是使用能源为电能，在运行过程中不会产生废气污染。营运期废气主要是食堂油烟、备用发电机废气及少量无组织排放废气。 </w:t>
            </w:r>
          </w:p>
          <w:p>
            <w:pPr>
              <w:spacing w:line="360" w:lineRule="auto"/>
              <w:ind w:firstLine="480" w:firstLineChars="200"/>
              <w:rPr>
                <w:rFonts w:hint="eastAsia"/>
                <w:color w:val="auto"/>
                <w:sz w:val="24"/>
              </w:rPr>
            </w:pPr>
            <w:r>
              <w:rPr>
                <w:rFonts w:hint="eastAsia"/>
                <w:color w:val="auto"/>
                <w:sz w:val="24"/>
              </w:rPr>
              <w:t xml:space="preserve">1、油烟废气 </w:t>
            </w:r>
          </w:p>
          <w:p>
            <w:pPr>
              <w:spacing w:line="360" w:lineRule="auto"/>
              <w:ind w:firstLine="480" w:firstLineChars="200"/>
              <w:rPr>
                <w:rFonts w:hint="eastAsia"/>
                <w:color w:val="auto"/>
                <w:sz w:val="24"/>
              </w:rPr>
            </w:pPr>
            <w:r>
              <w:rPr>
                <w:color w:val="auto"/>
                <w:sz w:val="24"/>
              </w:rPr>
              <w:t>项目</w:t>
            </w:r>
            <w:r>
              <w:rPr>
                <w:rFonts w:hint="eastAsia"/>
                <w:color w:val="auto"/>
                <w:sz w:val="24"/>
              </w:rPr>
              <w:t>净水厂</w:t>
            </w:r>
            <w:r>
              <w:rPr>
                <w:rFonts w:hint="eastAsia"/>
                <w:color w:val="auto"/>
                <w:sz w:val="24"/>
                <w:lang w:eastAsia="zh-CN"/>
              </w:rPr>
              <w:t>及配水管网</w:t>
            </w:r>
            <w:r>
              <w:rPr>
                <w:rFonts w:hint="eastAsia"/>
                <w:color w:val="auto"/>
                <w:sz w:val="24"/>
              </w:rPr>
              <w:t>劳动定员</w:t>
            </w:r>
            <w:r>
              <w:rPr>
                <w:rFonts w:hint="eastAsia"/>
                <w:color w:val="auto"/>
                <w:sz w:val="24"/>
                <w:lang w:val="en-US" w:eastAsia="zh-CN"/>
              </w:rPr>
              <w:t>55</w:t>
            </w:r>
            <w:r>
              <w:rPr>
                <w:rFonts w:hint="eastAsia"/>
                <w:color w:val="auto"/>
                <w:sz w:val="24"/>
              </w:rPr>
              <w:t>人，均在厂区食宿</w:t>
            </w:r>
            <w:r>
              <w:rPr>
                <w:color w:val="auto"/>
                <w:sz w:val="24"/>
              </w:rPr>
              <w:t>，由于食宿人数不多，食堂规模不大，在食品烹饪加工过程中产生的油烟</w:t>
            </w:r>
            <w:r>
              <w:rPr>
                <w:rFonts w:hint="eastAsia"/>
                <w:color w:val="auto"/>
                <w:sz w:val="24"/>
              </w:rPr>
              <w:t>浓度小于</w:t>
            </w:r>
            <w:r>
              <w:rPr>
                <w:color w:val="auto"/>
                <w:sz w:val="24"/>
              </w:rPr>
              <w:t>2mg/m</w:t>
            </w:r>
            <w:r>
              <w:rPr>
                <w:color w:val="auto"/>
                <w:sz w:val="24"/>
                <w:vertAlign w:val="superscript"/>
              </w:rPr>
              <w:t>3</w:t>
            </w:r>
            <w:r>
              <w:rPr>
                <w:color w:val="auto"/>
                <w:sz w:val="24"/>
              </w:rPr>
              <w:t>，</w:t>
            </w:r>
            <w:r>
              <w:rPr>
                <w:rFonts w:hint="eastAsia"/>
                <w:color w:val="auto"/>
                <w:sz w:val="24"/>
              </w:rPr>
              <w:t>可</w:t>
            </w:r>
            <w:r>
              <w:rPr>
                <w:color w:val="auto"/>
                <w:sz w:val="24"/>
              </w:rPr>
              <w:t>达到《饮食业油烟排放标准》（GB 18483-2001）的要求。经过排风扇排入周边大气中，对周边环境影响较小</w:t>
            </w:r>
            <w:r>
              <w:rPr>
                <w:rFonts w:hint="eastAsia"/>
                <w:color w:val="auto"/>
                <w:sz w:val="24"/>
              </w:rPr>
              <w:t>。</w:t>
            </w:r>
          </w:p>
          <w:p>
            <w:pPr>
              <w:widowControl/>
              <w:spacing w:line="360" w:lineRule="auto"/>
              <w:ind w:firstLine="482"/>
              <w:rPr>
                <w:color w:val="auto"/>
                <w:kern w:val="0"/>
                <w:sz w:val="24"/>
              </w:rPr>
            </w:pPr>
            <w:r>
              <w:rPr>
                <w:rFonts w:hint="eastAsia"/>
                <w:color w:val="auto"/>
                <w:kern w:val="0"/>
                <w:sz w:val="24"/>
              </w:rPr>
              <w:t>2、</w:t>
            </w:r>
            <w:r>
              <w:rPr>
                <w:color w:val="auto"/>
                <w:kern w:val="0"/>
                <w:sz w:val="24"/>
              </w:rPr>
              <w:t>备用发电机废气</w:t>
            </w:r>
          </w:p>
          <w:p>
            <w:pPr>
              <w:spacing w:line="360" w:lineRule="auto"/>
              <w:ind w:firstLine="480" w:firstLineChars="200"/>
              <w:rPr>
                <w:color w:val="auto"/>
                <w:sz w:val="24"/>
              </w:rPr>
            </w:pPr>
            <w:r>
              <w:rPr>
                <w:color w:val="auto"/>
                <w:sz w:val="24"/>
              </w:rPr>
              <w:t>项目</w:t>
            </w:r>
            <w:r>
              <w:rPr>
                <w:rFonts w:hint="eastAsia"/>
                <w:color w:val="auto"/>
                <w:sz w:val="24"/>
              </w:rPr>
              <w:t>在综合楼内设置一</w:t>
            </w:r>
            <w:r>
              <w:rPr>
                <w:color w:val="auto"/>
                <w:sz w:val="24"/>
              </w:rPr>
              <w:t>台柴油发电机（</w:t>
            </w:r>
            <w:r>
              <w:rPr>
                <w:rFonts w:hint="eastAsia"/>
                <w:color w:val="auto"/>
                <w:sz w:val="24"/>
              </w:rPr>
              <w:t>5</w:t>
            </w:r>
            <w:r>
              <w:rPr>
                <w:color w:val="auto"/>
                <w:sz w:val="24"/>
              </w:rPr>
              <w:t>0kw），作为一级负荷的备用电源，其小时耗油量为</w:t>
            </w:r>
            <w:r>
              <w:rPr>
                <w:rFonts w:hint="eastAsia"/>
                <w:color w:val="auto"/>
                <w:sz w:val="24"/>
              </w:rPr>
              <w:t>9.9</w:t>
            </w:r>
            <w:r>
              <w:rPr>
                <w:color w:val="auto"/>
                <w:sz w:val="24"/>
              </w:rPr>
              <w:t>kg/h。由于</w:t>
            </w:r>
            <w:r>
              <w:rPr>
                <w:rFonts w:hint="eastAsia"/>
                <w:color w:val="auto"/>
                <w:sz w:val="24"/>
              </w:rPr>
              <w:t>平江县</w:t>
            </w:r>
            <w:r>
              <w:rPr>
                <w:color w:val="auto"/>
                <w:sz w:val="24"/>
              </w:rPr>
              <w:t>的供电比较正常，因此备用柴油发电机的启用次数不多，每个月使用时间小于8h。本环评为便于计算，按每月发电一次，每次运行8h计，则年总耗油量为</w:t>
            </w:r>
            <w:r>
              <w:rPr>
                <w:rFonts w:hint="eastAsia"/>
                <w:color w:val="auto"/>
                <w:sz w:val="24"/>
              </w:rPr>
              <w:t>9.9</w:t>
            </w:r>
            <w:r>
              <w:rPr>
                <w:color w:val="auto"/>
                <w:sz w:val="24"/>
              </w:rPr>
              <w:t xml:space="preserve"> kg/h×8小时/次×12月/年=</w:t>
            </w:r>
            <w:r>
              <w:rPr>
                <w:rFonts w:hint="eastAsia"/>
                <w:color w:val="auto"/>
                <w:sz w:val="24"/>
              </w:rPr>
              <w:t>0.95</w:t>
            </w:r>
            <w:r>
              <w:rPr>
                <w:color w:val="auto"/>
                <w:sz w:val="24"/>
              </w:rPr>
              <w:t>t/a。</w:t>
            </w:r>
          </w:p>
          <w:p>
            <w:pPr>
              <w:spacing w:line="360" w:lineRule="auto"/>
              <w:ind w:firstLine="482"/>
              <w:rPr>
                <w:color w:val="auto"/>
                <w:sz w:val="24"/>
              </w:rPr>
            </w:pPr>
            <w:r>
              <w:rPr>
                <w:color w:val="auto"/>
                <w:kern w:val="0"/>
                <w:sz w:val="24"/>
              </w:rPr>
              <w:t>参照北京市环境保护科学研究院世行课题组编制的《北京环境总体规划研究》中确定的排放系数，即燃烧1t油NO</w:t>
            </w:r>
            <w:r>
              <w:rPr>
                <w:color w:val="auto"/>
                <w:kern w:val="0"/>
                <w:sz w:val="24"/>
                <w:vertAlign w:val="subscript"/>
              </w:rPr>
              <w:t>X</w:t>
            </w:r>
            <w:r>
              <w:rPr>
                <w:color w:val="auto"/>
                <w:kern w:val="0"/>
                <w:sz w:val="24"/>
              </w:rPr>
              <w:t>的排放量为2.94kg，CO的排放量为1.73kg，SO</w:t>
            </w:r>
            <w:r>
              <w:rPr>
                <w:color w:val="auto"/>
                <w:kern w:val="0"/>
                <w:sz w:val="24"/>
                <w:vertAlign w:val="subscript"/>
              </w:rPr>
              <w:t>2</w:t>
            </w:r>
            <w:r>
              <w:rPr>
                <w:color w:val="auto"/>
                <w:kern w:val="0"/>
                <w:sz w:val="24"/>
              </w:rPr>
              <w:t>的排放量为4.57kg，烟尘的排放量为0.81kg，计算得到NO</w:t>
            </w:r>
            <w:r>
              <w:rPr>
                <w:color w:val="auto"/>
                <w:kern w:val="0"/>
                <w:sz w:val="24"/>
                <w:vertAlign w:val="subscript"/>
              </w:rPr>
              <w:t>X</w:t>
            </w:r>
            <w:r>
              <w:rPr>
                <w:color w:val="auto"/>
                <w:kern w:val="0"/>
                <w:sz w:val="24"/>
              </w:rPr>
              <w:t>的排放量为</w:t>
            </w:r>
            <w:r>
              <w:rPr>
                <w:rFonts w:hint="eastAsia"/>
                <w:color w:val="auto"/>
                <w:kern w:val="0"/>
                <w:sz w:val="24"/>
              </w:rPr>
              <w:t>2.8</w:t>
            </w:r>
            <w:r>
              <w:rPr>
                <w:color w:val="auto"/>
                <w:kern w:val="0"/>
                <w:sz w:val="24"/>
              </w:rPr>
              <w:t>kg/a，CO的排放量为</w:t>
            </w:r>
            <w:r>
              <w:rPr>
                <w:rFonts w:hint="eastAsia"/>
                <w:color w:val="auto"/>
                <w:kern w:val="0"/>
                <w:sz w:val="24"/>
              </w:rPr>
              <w:t>1.65</w:t>
            </w:r>
            <w:r>
              <w:rPr>
                <w:color w:val="auto"/>
                <w:kern w:val="0"/>
                <w:sz w:val="24"/>
              </w:rPr>
              <w:t>kg/a，SO</w:t>
            </w:r>
            <w:r>
              <w:rPr>
                <w:color w:val="auto"/>
                <w:kern w:val="0"/>
                <w:sz w:val="24"/>
                <w:vertAlign w:val="subscript"/>
              </w:rPr>
              <w:t>2</w:t>
            </w:r>
            <w:r>
              <w:rPr>
                <w:color w:val="auto"/>
                <w:kern w:val="0"/>
                <w:sz w:val="24"/>
              </w:rPr>
              <w:t>的排放量为</w:t>
            </w:r>
            <w:r>
              <w:rPr>
                <w:rFonts w:hint="eastAsia"/>
                <w:color w:val="auto"/>
                <w:kern w:val="0"/>
                <w:sz w:val="24"/>
              </w:rPr>
              <w:t>4.34</w:t>
            </w:r>
            <w:r>
              <w:rPr>
                <w:color w:val="auto"/>
                <w:kern w:val="0"/>
                <w:sz w:val="24"/>
              </w:rPr>
              <w:t>kg/a，烟尘的排放量为</w:t>
            </w:r>
            <w:r>
              <w:rPr>
                <w:rFonts w:hint="eastAsia"/>
                <w:color w:val="auto"/>
                <w:kern w:val="0"/>
                <w:sz w:val="24"/>
              </w:rPr>
              <w:t>0.77</w:t>
            </w:r>
            <w:r>
              <w:rPr>
                <w:color w:val="auto"/>
                <w:kern w:val="0"/>
                <w:sz w:val="24"/>
              </w:rPr>
              <w:t>kg。发电机尾气由内置专用烟道引至发电机房所在构筑物楼顶排放。</w:t>
            </w:r>
            <w:r>
              <w:rPr>
                <w:rFonts w:hint="eastAsia"/>
                <w:color w:val="auto"/>
                <w:sz w:val="24"/>
              </w:rPr>
              <w:t>能够满足</w:t>
            </w:r>
            <w:r>
              <w:rPr>
                <w:color w:val="auto"/>
                <w:sz w:val="24"/>
              </w:rPr>
              <w:t>《</w:t>
            </w:r>
            <w:r>
              <w:rPr>
                <w:rFonts w:ascii="Tahoma" w:hAnsi="Tahoma" w:cs="Tahoma"/>
                <w:color w:val="auto"/>
                <w:sz w:val="24"/>
              </w:rPr>
              <w:t>非道路移动机械用柴油机排气污染物排放限值及测量方法(中国第三、四阶段）</w:t>
            </w:r>
            <w:r>
              <w:rPr>
                <w:color w:val="auto"/>
                <w:sz w:val="24"/>
              </w:rPr>
              <w:t>》(GB 20891—2014)中</w:t>
            </w:r>
            <w:r>
              <w:rPr>
                <w:rFonts w:hint="eastAsia"/>
                <w:color w:val="auto"/>
                <w:sz w:val="24"/>
              </w:rPr>
              <w:t>第三阶段标准要求</w:t>
            </w:r>
            <w:r>
              <w:rPr>
                <w:color w:val="auto"/>
                <w:kern w:val="0"/>
                <w:sz w:val="24"/>
              </w:rPr>
              <w:t>。</w:t>
            </w:r>
          </w:p>
          <w:p>
            <w:pPr>
              <w:ind w:firstLine="361" w:firstLineChars="150"/>
              <w:jc w:val="center"/>
              <w:rPr>
                <w:rFonts w:hint="eastAsia"/>
                <w:b/>
                <w:color w:val="auto"/>
                <w:sz w:val="24"/>
              </w:rPr>
            </w:pPr>
            <w:r>
              <w:rPr>
                <w:b/>
                <w:color w:val="auto"/>
                <w:sz w:val="24"/>
              </w:rPr>
              <w:t xml:space="preserve">表 </w:t>
            </w:r>
            <w:r>
              <w:rPr>
                <w:rFonts w:hint="eastAsia"/>
                <w:b/>
                <w:color w:val="auto"/>
                <w:sz w:val="24"/>
                <w:lang w:val="en-US" w:eastAsia="zh-CN"/>
              </w:rPr>
              <w:t>33</w:t>
            </w:r>
            <w:r>
              <w:rPr>
                <w:rFonts w:hint="eastAsia"/>
                <w:b/>
                <w:color w:val="auto"/>
                <w:sz w:val="24"/>
              </w:rPr>
              <w:t xml:space="preserve">  </w:t>
            </w:r>
            <w:r>
              <w:rPr>
                <w:b/>
                <w:color w:val="auto"/>
                <w:sz w:val="24"/>
              </w:rPr>
              <w:t xml:space="preserve">   备用柴油发电机</w:t>
            </w:r>
            <w:r>
              <w:rPr>
                <w:rFonts w:hint="eastAsia"/>
                <w:b/>
                <w:color w:val="auto"/>
                <w:sz w:val="24"/>
              </w:rPr>
              <w:t>燃油废气污染物</w:t>
            </w:r>
            <w:r>
              <w:rPr>
                <w:b/>
                <w:color w:val="auto"/>
                <w:sz w:val="24"/>
              </w:rPr>
              <w:t>产排</w:t>
            </w:r>
            <w:r>
              <w:rPr>
                <w:rFonts w:hint="eastAsia"/>
                <w:b/>
                <w:color w:val="auto"/>
                <w:sz w:val="24"/>
              </w:rPr>
              <w:t>污</w:t>
            </w:r>
            <w:r>
              <w:rPr>
                <w:b/>
                <w:color w:val="auto"/>
                <w:sz w:val="24"/>
              </w:rPr>
              <w:t>情况一览表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19"/>
              <w:gridCol w:w="1575"/>
              <w:gridCol w:w="60"/>
              <w:gridCol w:w="1200"/>
              <w:gridCol w:w="1185"/>
              <w:gridCol w:w="13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919" w:type="dxa"/>
                  <w:vAlign w:val="center"/>
                </w:tcPr>
                <w:p>
                  <w:pPr>
                    <w:jc w:val="center"/>
                    <w:rPr>
                      <w:color w:val="auto"/>
                      <w:sz w:val="21"/>
                      <w:szCs w:val="21"/>
                    </w:rPr>
                  </w:pPr>
                  <w:r>
                    <w:rPr>
                      <w:color w:val="auto"/>
                      <w:sz w:val="21"/>
                      <w:szCs w:val="21"/>
                    </w:rPr>
                    <w:t>污染物</w:t>
                  </w:r>
                </w:p>
              </w:tc>
              <w:tc>
                <w:tcPr>
                  <w:tcW w:w="1575" w:type="dxa"/>
                  <w:vAlign w:val="center"/>
                </w:tcPr>
                <w:p>
                  <w:pPr>
                    <w:jc w:val="center"/>
                    <w:rPr>
                      <w:color w:val="auto"/>
                      <w:sz w:val="21"/>
                      <w:szCs w:val="21"/>
                    </w:rPr>
                  </w:pPr>
                  <w:r>
                    <w:rPr>
                      <w:color w:val="auto"/>
                      <w:sz w:val="21"/>
                      <w:szCs w:val="21"/>
                    </w:rPr>
                    <w:t>SO</w:t>
                  </w:r>
                  <w:r>
                    <w:rPr>
                      <w:color w:val="auto"/>
                      <w:sz w:val="21"/>
                      <w:szCs w:val="21"/>
                      <w:vertAlign w:val="subscript"/>
                    </w:rPr>
                    <w:t>2</w:t>
                  </w:r>
                </w:p>
              </w:tc>
              <w:tc>
                <w:tcPr>
                  <w:tcW w:w="1260" w:type="dxa"/>
                  <w:gridSpan w:val="2"/>
                  <w:vAlign w:val="center"/>
                </w:tcPr>
                <w:p>
                  <w:pPr>
                    <w:jc w:val="center"/>
                    <w:rPr>
                      <w:color w:val="auto"/>
                      <w:sz w:val="21"/>
                      <w:szCs w:val="21"/>
                    </w:rPr>
                  </w:pPr>
                  <w:r>
                    <w:rPr>
                      <w:color w:val="auto"/>
                      <w:sz w:val="21"/>
                      <w:szCs w:val="21"/>
                    </w:rPr>
                    <w:t>NO</w:t>
                  </w:r>
                  <w:r>
                    <w:rPr>
                      <w:color w:val="auto"/>
                      <w:kern w:val="0"/>
                      <w:sz w:val="24"/>
                      <w:vertAlign w:val="subscript"/>
                    </w:rPr>
                    <w:t>X</w:t>
                  </w:r>
                </w:p>
              </w:tc>
              <w:tc>
                <w:tcPr>
                  <w:tcW w:w="1185" w:type="dxa"/>
                  <w:vAlign w:val="center"/>
                </w:tcPr>
                <w:p>
                  <w:pPr>
                    <w:jc w:val="center"/>
                    <w:rPr>
                      <w:color w:val="auto"/>
                      <w:sz w:val="21"/>
                      <w:szCs w:val="21"/>
                    </w:rPr>
                  </w:pPr>
                  <w:r>
                    <w:rPr>
                      <w:color w:val="auto"/>
                      <w:sz w:val="21"/>
                      <w:szCs w:val="21"/>
                    </w:rPr>
                    <w:t>CO</w:t>
                  </w:r>
                </w:p>
              </w:tc>
              <w:tc>
                <w:tcPr>
                  <w:tcW w:w="1343" w:type="dxa"/>
                  <w:vAlign w:val="center"/>
                </w:tcPr>
                <w:p>
                  <w:pPr>
                    <w:jc w:val="center"/>
                    <w:rPr>
                      <w:color w:val="auto"/>
                      <w:sz w:val="21"/>
                      <w:szCs w:val="21"/>
                    </w:rPr>
                  </w:pPr>
                  <w:r>
                    <w:rPr>
                      <w:color w:val="auto"/>
                      <w:sz w:val="21"/>
                      <w:szCs w:val="21"/>
                    </w:rPr>
                    <w:t>烟尘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919" w:type="dxa"/>
                  <w:vAlign w:val="center"/>
                </w:tcPr>
                <w:p>
                  <w:pPr>
                    <w:jc w:val="center"/>
                    <w:rPr>
                      <w:color w:val="auto"/>
                      <w:sz w:val="21"/>
                      <w:szCs w:val="21"/>
                    </w:rPr>
                  </w:pPr>
                  <w:r>
                    <w:rPr>
                      <w:color w:val="auto"/>
                      <w:sz w:val="21"/>
                      <w:szCs w:val="21"/>
                    </w:rPr>
                    <w:t>产生量</w:t>
                  </w:r>
                </w:p>
              </w:tc>
              <w:tc>
                <w:tcPr>
                  <w:tcW w:w="1575" w:type="dxa"/>
                  <w:vAlign w:val="center"/>
                </w:tcPr>
                <w:p>
                  <w:pPr>
                    <w:jc w:val="center"/>
                    <w:rPr>
                      <w:color w:val="auto"/>
                      <w:sz w:val="21"/>
                      <w:szCs w:val="21"/>
                    </w:rPr>
                  </w:pPr>
                  <w:r>
                    <w:rPr>
                      <w:rFonts w:hint="eastAsia"/>
                      <w:color w:val="auto"/>
                      <w:sz w:val="21"/>
                      <w:szCs w:val="21"/>
                    </w:rPr>
                    <w:t>4.34</w:t>
                  </w:r>
                  <w:r>
                    <w:rPr>
                      <w:color w:val="auto"/>
                      <w:sz w:val="21"/>
                      <w:szCs w:val="21"/>
                    </w:rPr>
                    <w:t xml:space="preserve"> </w:t>
                  </w:r>
                  <w:r>
                    <w:rPr>
                      <w:rFonts w:hint="eastAsia"/>
                      <w:color w:val="auto"/>
                      <w:sz w:val="21"/>
                      <w:szCs w:val="21"/>
                    </w:rPr>
                    <w:t>kg</w:t>
                  </w:r>
                  <w:r>
                    <w:rPr>
                      <w:color w:val="auto"/>
                      <w:sz w:val="21"/>
                      <w:szCs w:val="21"/>
                    </w:rPr>
                    <w:t>/a</w:t>
                  </w:r>
                </w:p>
              </w:tc>
              <w:tc>
                <w:tcPr>
                  <w:tcW w:w="1260" w:type="dxa"/>
                  <w:gridSpan w:val="2"/>
                  <w:vAlign w:val="center"/>
                </w:tcPr>
                <w:p>
                  <w:pPr>
                    <w:jc w:val="center"/>
                    <w:rPr>
                      <w:color w:val="auto"/>
                      <w:sz w:val="21"/>
                      <w:szCs w:val="21"/>
                    </w:rPr>
                  </w:pPr>
                  <w:r>
                    <w:rPr>
                      <w:rFonts w:hint="eastAsia"/>
                      <w:color w:val="auto"/>
                      <w:sz w:val="21"/>
                      <w:szCs w:val="21"/>
                    </w:rPr>
                    <w:t>2.8kg</w:t>
                  </w:r>
                  <w:r>
                    <w:rPr>
                      <w:color w:val="auto"/>
                      <w:sz w:val="21"/>
                      <w:szCs w:val="21"/>
                    </w:rPr>
                    <w:t>/a</w:t>
                  </w:r>
                </w:p>
              </w:tc>
              <w:tc>
                <w:tcPr>
                  <w:tcW w:w="1185" w:type="dxa"/>
                  <w:vAlign w:val="center"/>
                </w:tcPr>
                <w:p>
                  <w:pPr>
                    <w:jc w:val="center"/>
                    <w:rPr>
                      <w:color w:val="auto"/>
                      <w:sz w:val="21"/>
                      <w:szCs w:val="21"/>
                    </w:rPr>
                  </w:pPr>
                  <w:r>
                    <w:rPr>
                      <w:rFonts w:hint="eastAsia"/>
                      <w:color w:val="auto"/>
                      <w:sz w:val="21"/>
                      <w:szCs w:val="21"/>
                    </w:rPr>
                    <w:t>1.65kg</w:t>
                  </w:r>
                  <w:r>
                    <w:rPr>
                      <w:color w:val="auto"/>
                      <w:sz w:val="21"/>
                      <w:szCs w:val="21"/>
                    </w:rPr>
                    <w:t>/a</w:t>
                  </w:r>
                </w:p>
              </w:tc>
              <w:tc>
                <w:tcPr>
                  <w:tcW w:w="1343" w:type="dxa"/>
                  <w:vAlign w:val="center"/>
                </w:tcPr>
                <w:p>
                  <w:pPr>
                    <w:jc w:val="center"/>
                    <w:rPr>
                      <w:color w:val="auto"/>
                      <w:sz w:val="21"/>
                      <w:szCs w:val="21"/>
                    </w:rPr>
                  </w:pPr>
                  <w:r>
                    <w:rPr>
                      <w:rFonts w:hint="eastAsia"/>
                      <w:color w:val="auto"/>
                      <w:sz w:val="21"/>
                      <w:szCs w:val="21"/>
                    </w:rPr>
                    <w:t>0.77</w:t>
                  </w:r>
                  <w:r>
                    <w:rPr>
                      <w:color w:val="auto"/>
                      <w:sz w:val="21"/>
                      <w:szCs w:val="21"/>
                    </w:rPr>
                    <w:t xml:space="preserve"> </w:t>
                  </w:r>
                  <w:r>
                    <w:rPr>
                      <w:rFonts w:hint="eastAsia"/>
                      <w:color w:val="auto"/>
                      <w:sz w:val="21"/>
                      <w:szCs w:val="21"/>
                    </w:rPr>
                    <w:t>kg</w:t>
                  </w:r>
                  <w:r>
                    <w:rPr>
                      <w:color w:val="auto"/>
                      <w:sz w:val="21"/>
                      <w:szCs w:val="21"/>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919" w:type="dxa"/>
                  <w:vAlign w:val="center"/>
                </w:tcPr>
                <w:p>
                  <w:pPr>
                    <w:jc w:val="center"/>
                    <w:rPr>
                      <w:color w:val="auto"/>
                      <w:sz w:val="21"/>
                      <w:szCs w:val="21"/>
                    </w:rPr>
                  </w:pPr>
                  <w:r>
                    <w:rPr>
                      <w:color w:val="auto"/>
                      <w:sz w:val="21"/>
                      <w:szCs w:val="21"/>
                    </w:rPr>
                    <w:t>治理措施</w:t>
                  </w:r>
                </w:p>
              </w:tc>
              <w:tc>
                <w:tcPr>
                  <w:tcW w:w="5363" w:type="dxa"/>
                  <w:gridSpan w:val="5"/>
                  <w:vAlign w:val="center"/>
                </w:tcPr>
                <w:p>
                  <w:pPr>
                    <w:jc w:val="center"/>
                    <w:rPr>
                      <w:color w:val="auto"/>
                      <w:sz w:val="21"/>
                      <w:szCs w:val="21"/>
                    </w:rPr>
                  </w:pPr>
                  <w:r>
                    <w:rPr>
                      <w:color w:val="auto"/>
                      <w:sz w:val="21"/>
                      <w:szCs w:val="21"/>
                    </w:rPr>
                    <w:t>配套专用</w:t>
                  </w:r>
                  <w:r>
                    <w:rPr>
                      <w:rFonts w:hint="eastAsia"/>
                      <w:color w:val="auto"/>
                      <w:sz w:val="21"/>
                      <w:szCs w:val="21"/>
                    </w:rPr>
                    <w:t>烟气排放管道与综合楼楼顶排放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919" w:type="dxa"/>
                  <w:vAlign w:val="center"/>
                </w:tcPr>
                <w:p>
                  <w:pPr>
                    <w:jc w:val="center"/>
                    <w:rPr>
                      <w:color w:val="auto"/>
                      <w:sz w:val="21"/>
                      <w:szCs w:val="21"/>
                    </w:rPr>
                  </w:pPr>
                  <w:r>
                    <w:rPr>
                      <w:color w:val="auto"/>
                      <w:sz w:val="21"/>
                      <w:szCs w:val="21"/>
                    </w:rPr>
                    <w:t>排放量</w:t>
                  </w:r>
                </w:p>
              </w:tc>
              <w:tc>
                <w:tcPr>
                  <w:tcW w:w="1635" w:type="dxa"/>
                  <w:gridSpan w:val="2"/>
                  <w:vAlign w:val="center"/>
                </w:tcPr>
                <w:p>
                  <w:pPr>
                    <w:jc w:val="center"/>
                    <w:rPr>
                      <w:rFonts w:hint="eastAsia"/>
                      <w:color w:val="auto"/>
                      <w:sz w:val="21"/>
                      <w:szCs w:val="21"/>
                    </w:rPr>
                  </w:pPr>
                  <w:r>
                    <w:rPr>
                      <w:rFonts w:hint="eastAsia"/>
                      <w:color w:val="auto"/>
                      <w:sz w:val="21"/>
                      <w:szCs w:val="21"/>
                    </w:rPr>
                    <w:t>4.34kg</w:t>
                  </w:r>
                  <w:r>
                    <w:rPr>
                      <w:color w:val="auto"/>
                      <w:sz w:val="21"/>
                      <w:szCs w:val="21"/>
                    </w:rPr>
                    <w:t>/a</w:t>
                  </w:r>
                  <w:r>
                    <w:rPr>
                      <w:rFonts w:hint="eastAsia"/>
                      <w:color w:val="auto"/>
                      <w:sz w:val="21"/>
                      <w:szCs w:val="21"/>
                    </w:rPr>
                    <w:t xml:space="preserve"> 0.101g/kw.h</w:t>
                  </w:r>
                </w:p>
              </w:tc>
              <w:tc>
                <w:tcPr>
                  <w:tcW w:w="1200" w:type="dxa"/>
                  <w:vAlign w:val="center"/>
                </w:tcPr>
                <w:p>
                  <w:pPr>
                    <w:jc w:val="center"/>
                    <w:rPr>
                      <w:rFonts w:hint="eastAsia"/>
                      <w:color w:val="auto"/>
                      <w:sz w:val="21"/>
                      <w:szCs w:val="21"/>
                    </w:rPr>
                  </w:pPr>
                  <w:r>
                    <w:rPr>
                      <w:rFonts w:hint="eastAsia"/>
                      <w:color w:val="auto"/>
                      <w:sz w:val="21"/>
                      <w:szCs w:val="21"/>
                    </w:rPr>
                    <w:t>2.8kg</w:t>
                  </w:r>
                  <w:r>
                    <w:rPr>
                      <w:color w:val="auto"/>
                      <w:sz w:val="21"/>
                      <w:szCs w:val="21"/>
                    </w:rPr>
                    <w:t>/a</w:t>
                  </w:r>
                  <w:r>
                    <w:rPr>
                      <w:rFonts w:hint="eastAsia"/>
                      <w:color w:val="auto"/>
                      <w:sz w:val="21"/>
                      <w:szCs w:val="21"/>
                    </w:rPr>
                    <w:t xml:space="preserve"> 0.65g/kw.h</w:t>
                  </w:r>
                </w:p>
              </w:tc>
              <w:tc>
                <w:tcPr>
                  <w:tcW w:w="1185" w:type="dxa"/>
                  <w:vAlign w:val="center"/>
                </w:tcPr>
                <w:p>
                  <w:pPr>
                    <w:jc w:val="center"/>
                    <w:rPr>
                      <w:rFonts w:hint="eastAsia"/>
                      <w:color w:val="auto"/>
                      <w:sz w:val="21"/>
                      <w:szCs w:val="21"/>
                    </w:rPr>
                  </w:pPr>
                  <w:r>
                    <w:rPr>
                      <w:rFonts w:hint="eastAsia"/>
                      <w:color w:val="auto"/>
                      <w:sz w:val="21"/>
                      <w:szCs w:val="21"/>
                    </w:rPr>
                    <w:t>1.65kg</w:t>
                  </w:r>
                  <w:r>
                    <w:rPr>
                      <w:color w:val="auto"/>
                      <w:sz w:val="21"/>
                      <w:szCs w:val="21"/>
                    </w:rPr>
                    <w:t>/a</w:t>
                  </w:r>
                </w:p>
                <w:p>
                  <w:pPr>
                    <w:jc w:val="center"/>
                    <w:rPr>
                      <w:rFonts w:hint="eastAsia"/>
                      <w:color w:val="auto"/>
                      <w:sz w:val="21"/>
                      <w:szCs w:val="21"/>
                    </w:rPr>
                  </w:pPr>
                  <w:r>
                    <w:rPr>
                      <w:rFonts w:hint="eastAsia"/>
                      <w:color w:val="auto"/>
                      <w:sz w:val="21"/>
                      <w:szCs w:val="21"/>
                    </w:rPr>
                    <w:t>0.38g/kw.h</w:t>
                  </w:r>
                </w:p>
              </w:tc>
              <w:tc>
                <w:tcPr>
                  <w:tcW w:w="1343" w:type="dxa"/>
                  <w:vAlign w:val="center"/>
                </w:tcPr>
                <w:p>
                  <w:pPr>
                    <w:jc w:val="center"/>
                    <w:rPr>
                      <w:rFonts w:hint="eastAsia"/>
                      <w:color w:val="auto"/>
                      <w:sz w:val="21"/>
                      <w:szCs w:val="21"/>
                    </w:rPr>
                  </w:pPr>
                  <w:r>
                    <w:rPr>
                      <w:rFonts w:hint="eastAsia"/>
                      <w:color w:val="auto"/>
                      <w:sz w:val="21"/>
                      <w:szCs w:val="21"/>
                    </w:rPr>
                    <w:t>0.77</w:t>
                  </w:r>
                  <w:r>
                    <w:rPr>
                      <w:color w:val="auto"/>
                      <w:sz w:val="21"/>
                      <w:szCs w:val="21"/>
                    </w:rPr>
                    <w:t xml:space="preserve"> </w:t>
                  </w:r>
                  <w:r>
                    <w:rPr>
                      <w:rFonts w:hint="eastAsia"/>
                      <w:color w:val="auto"/>
                      <w:sz w:val="21"/>
                      <w:szCs w:val="21"/>
                    </w:rPr>
                    <w:t>kg</w:t>
                  </w:r>
                  <w:r>
                    <w:rPr>
                      <w:color w:val="auto"/>
                      <w:sz w:val="21"/>
                      <w:szCs w:val="21"/>
                    </w:rPr>
                    <w:t>/a</w:t>
                  </w:r>
                </w:p>
                <w:p>
                  <w:pPr>
                    <w:spacing w:line="360" w:lineRule="auto"/>
                    <w:rPr>
                      <w:rFonts w:hint="eastAsia"/>
                      <w:color w:val="auto"/>
                      <w:sz w:val="24"/>
                    </w:rPr>
                  </w:pPr>
                  <w:r>
                    <w:rPr>
                      <w:rFonts w:hint="eastAsia"/>
                      <w:color w:val="auto"/>
                      <w:sz w:val="21"/>
                      <w:szCs w:val="21"/>
                    </w:rPr>
                    <w:t>0.18g/kw.h</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919" w:type="dxa"/>
                  <w:vAlign w:val="center"/>
                </w:tcPr>
                <w:p>
                  <w:pPr>
                    <w:jc w:val="center"/>
                    <w:rPr>
                      <w:color w:val="auto"/>
                      <w:sz w:val="21"/>
                      <w:szCs w:val="21"/>
                    </w:rPr>
                  </w:pPr>
                  <w:r>
                    <w:rPr>
                      <w:color w:val="auto"/>
                      <w:sz w:val="21"/>
                      <w:szCs w:val="21"/>
                    </w:rPr>
                    <w:t>《非道路移动机械用柴油机排气污染物排放限值及测量方法(中国第三、四阶段）》(GB 20891—2014)中</w:t>
                  </w:r>
                  <w:r>
                    <w:rPr>
                      <w:rFonts w:hint="eastAsia"/>
                      <w:color w:val="auto"/>
                      <w:sz w:val="21"/>
                      <w:szCs w:val="21"/>
                    </w:rPr>
                    <w:t>第三阶段标准（g/kw.h）</w:t>
                  </w:r>
                </w:p>
              </w:tc>
              <w:tc>
                <w:tcPr>
                  <w:tcW w:w="1635" w:type="dxa"/>
                  <w:gridSpan w:val="2"/>
                  <w:vAlign w:val="center"/>
                </w:tcPr>
                <w:p>
                  <w:pPr>
                    <w:jc w:val="center"/>
                    <w:rPr>
                      <w:rFonts w:hint="eastAsia"/>
                      <w:color w:val="auto"/>
                      <w:sz w:val="21"/>
                      <w:szCs w:val="21"/>
                    </w:rPr>
                  </w:pPr>
                  <w:r>
                    <w:rPr>
                      <w:rFonts w:hint="eastAsia"/>
                      <w:color w:val="auto"/>
                      <w:sz w:val="21"/>
                      <w:szCs w:val="21"/>
                    </w:rPr>
                    <w:t>/</w:t>
                  </w:r>
                </w:p>
              </w:tc>
              <w:tc>
                <w:tcPr>
                  <w:tcW w:w="1200" w:type="dxa"/>
                  <w:vAlign w:val="center"/>
                </w:tcPr>
                <w:p>
                  <w:pPr>
                    <w:jc w:val="center"/>
                    <w:rPr>
                      <w:rFonts w:hint="eastAsia"/>
                      <w:color w:val="auto"/>
                      <w:sz w:val="21"/>
                      <w:szCs w:val="21"/>
                    </w:rPr>
                  </w:pPr>
                  <w:r>
                    <w:rPr>
                      <w:rFonts w:hint="eastAsia"/>
                      <w:color w:val="auto"/>
                      <w:sz w:val="21"/>
                      <w:szCs w:val="21"/>
                    </w:rPr>
                    <w:t>/</w:t>
                  </w:r>
                </w:p>
              </w:tc>
              <w:tc>
                <w:tcPr>
                  <w:tcW w:w="1185" w:type="dxa"/>
                  <w:vAlign w:val="center"/>
                </w:tcPr>
                <w:p>
                  <w:pPr>
                    <w:jc w:val="center"/>
                    <w:rPr>
                      <w:rFonts w:hint="eastAsia"/>
                      <w:color w:val="auto"/>
                      <w:sz w:val="21"/>
                      <w:szCs w:val="21"/>
                    </w:rPr>
                  </w:pPr>
                  <w:r>
                    <w:rPr>
                      <w:rFonts w:hint="eastAsia"/>
                      <w:color w:val="auto"/>
                      <w:sz w:val="21"/>
                      <w:szCs w:val="21"/>
                    </w:rPr>
                    <w:t>3.5</w:t>
                  </w:r>
                </w:p>
              </w:tc>
              <w:tc>
                <w:tcPr>
                  <w:tcW w:w="1343" w:type="dxa"/>
                  <w:vAlign w:val="center"/>
                </w:tcPr>
                <w:p>
                  <w:pPr>
                    <w:jc w:val="center"/>
                    <w:rPr>
                      <w:rFonts w:hint="eastAsia"/>
                      <w:color w:val="auto"/>
                      <w:sz w:val="21"/>
                      <w:szCs w:val="21"/>
                    </w:rPr>
                  </w:pPr>
                  <w:r>
                    <w:rPr>
                      <w:rFonts w:hint="eastAsia"/>
                      <w:color w:val="auto"/>
                      <w:sz w:val="21"/>
                      <w:szCs w:val="21"/>
                    </w:rPr>
                    <w:t>0.20</w:t>
                  </w:r>
                </w:p>
              </w:tc>
            </w:tr>
          </w:tbl>
          <w:p>
            <w:pPr>
              <w:spacing w:line="360" w:lineRule="auto"/>
              <w:ind w:firstLine="480" w:firstLineChars="200"/>
              <w:rPr>
                <w:rFonts w:hint="eastAsia"/>
                <w:color w:val="auto"/>
                <w:sz w:val="24"/>
              </w:rPr>
            </w:pPr>
            <w:r>
              <w:rPr>
                <w:rFonts w:hint="eastAsia"/>
                <w:color w:val="auto"/>
                <w:sz w:val="24"/>
              </w:rPr>
              <w:t>3、无组织排放</w:t>
            </w:r>
            <w:r>
              <w:rPr>
                <w:color w:val="auto"/>
                <w:sz w:val="24"/>
              </w:rPr>
              <w:t>废气</w:t>
            </w:r>
          </w:p>
          <w:p>
            <w:pPr>
              <w:spacing w:line="360" w:lineRule="auto"/>
              <w:ind w:firstLine="480" w:firstLineChars="200"/>
              <w:rPr>
                <w:rFonts w:hint="eastAsia"/>
                <w:color w:val="auto"/>
                <w:sz w:val="24"/>
              </w:rPr>
            </w:pPr>
            <w:r>
              <w:rPr>
                <w:rFonts w:hint="eastAsia"/>
                <w:color w:val="auto"/>
                <w:sz w:val="24"/>
              </w:rPr>
              <w:t>项目建成投运后，使用二氧化氯作为净化水质的消毒剂。二氧化氯由盐酸和氯酸钠反应制得，项目的无组织排放废气主要来自于生产过程中盐酸的使用、存储等环节所产生的无组织排放盐酸雾。</w:t>
            </w:r>
          </w:p>
          <w:p>
            <w:pPr>
              <w:pStyle w:val="4"/>
              <w:snapToGrid w:val="0"/>
              <w:spacing w:before="0" w:after="0" w:line="360" w:lineRule="auto"/>
              <w:rPr>
                <w:rFonts w:hint="eastAsia"/>
                <w:color w:val="auto"/>
                <w:sz w:val="24"/>
                <w:szCs w:val="24"/>
              </w:rPr>
            </w:pPr>
            <w:r>
              <w:rPr>
                <w:rFonts w:hint="eastAsia"/>
                <w:color w:val="auto"/>
                <w:sz w:val="24"/>
                <w:szCs w:val="24"/>
                <w:lang w:val="en-US" w:eastAsia="zh-CN"/>
              </w:rPr>
              <w:t>2.3</w:t>
            </w:r>
            <w:r>
              <w:rPr>
                <w:color w:val="auto"/>
                <w:sz w:val="24"/>
                <w:szCs w:val="24"/>
              </w:rPr>
              <w:t xml:space="preserve"> 主要噪声源</w:t>
            </w:r>
          </w:p>
          <w:p>
            <w:pPr>
              <w:spacing w:line="360" w:lineRule="auto"/>
              <w:ind w:firstLine="480" w:firstLineChars="200"/>
              <w:rPr>
                <w:rFonts w:hint="eastAsia"/>
                <w:color w:val="auto"/>
                <w:sz w:val="24"/>
              </w:rPr>
            </w:pPr>
            <w:r>
              <w:rPr>
                <w:rFonts w:hint="eastAsia"/>
                <w:color w:val="auto"/>
                <w:sz w:val="24"/>
              </w:rPr>
              <w:t>项目净水厂营运过程中所产生的噪声主要来风机和污泥浓缩脱水设备及加药间设备等和水流声，噪声级一般在75～95dB(A)之间，主要噪声源及源强情况见表</w:t>
            </w:r>
            <w:r>
              <w:rPr>
                <w:rFonts w:hint="eastAsia"/>
                <w:color w:val="auto"/>
                <w:sz w:val="24"/>
                <w:lang w:val="en-US" w:eastAsia="zh-CN"/>
              </w:rPr>
              <w:t>34</w:t>
            </w:r>
            <w:r>
              <w:rPr>
                <w:rFonts w:hint="eastAsia"/>
                <w:color w:val="auto"/>
                <w:sz w:val="24"/>
              </w:rPr>
              <w:t>。</w:t>
            </w:r>
          </w:p>
          <w:p>
            <w:pPr>
              <w:jc w:val="center"/>
              <w:rPr>
                <w:rFonts w:hint="eastAsia"/>
                <w:b/>
                <w:color w:val="auto"/>
                <w:sz w:val="24"/>
              </w:rPr>
            </w:pPr>
            <w:r>
              <w:rPr>
                <w:rFonts w:hint="eastAsia"/>
                <w:b/>
                <w:color w:val="auto"/>
                <w:sz w:val="24"/>
              </w:rPr>
              <w:t>表</w:t>
            </w:r>
            <w:r>
              <w:rPr>
                <w:rFonts w:hint="eastAsia"/>
                <w:b/>
                <w:color w:val="auto"/>
                <w:sz w:val="24"/>
                <w:lang w:val="en-US" w:eastAsia="zh-CN"/>
              </w:rPr>
              <w:t>34</w:t>
            </w:r>
            <w:r>
              <w:rPr>
                <w:rFonts w:hint="eastAsia"/>
                <w:b/>
                <w:color w:val="auto"/>
                <w:sz w:val="24"/>
              </w:rPr>
              <w:t xml:space="preserve">   主要噪声源一览表</w:t>
            </w:r>
          </w:p>
          <w:tbl>
            <w:tblPr>
              <w:tblStyle w:val="14"/>
              <w:tblW w:w="812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424"/>
              <w:gridCol w:w="1864"/>
              <w:gridCol w:w="1424"/>
              <w:gridCol w:w="23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color w:val="auto"/>
                      <w:sz w:val="21"/>
                      <w:szCs w:val="21"/>
                    </w:rPr>
                  </w:pPr>
                  <w:r>
                    <w:rPr>
                      <w:color w:val="auto"/>
                      <w:sz w:val="21"/>
                      <w:szCs w:val="21"/>
                    </w:rPr>
                    <w:t>序号</w:t>
                  </w:r>
                </w:p>
              </w:tc>
              <w:tc>
                <w:tcPr>
                  <w:tcW w:w="1424" w:type="dxa"/>
                  <w:vAlign w:val="center"/>
                </w:tcPr>
                <w:p>
                  <w:pPr>
                    <w:jc w:val="center"/>
                    <w:rPr>
                      <w:color w:val="auto"/>
                      <w:sz w:val="21"/>
                      <w:szCs w:val="21"/>
                    </w:rPr>
                  </w:pPr>
                  <w:r>
                    <w:rPr>
                      <w:color w:val="auto"/>
                      <w:sz w:val="21"/>
                      <w:szCs w:val="21"/>
                    </w:rPr>
                    <w:t>设备名称</w:t>
                  </w:r>
                </w:p>
              </w:tc>
              <w:tc>
                <w:tcPr>
                  <w:tcW w:w="1864" w:type="dxa"/>
                  <w:vAlign w:val="center"/>
                </w:tcPr>
                <w:p>
                  <w:pPr>
                    <w:jc w:val="center"/>
                    <w:rPr>
                      <w:color w:val="auto"/>
                      <w:sz w:val="21"/>
                      <w:szCs w:val="21"/>
                    </w:rPr>
                  </w:pPr>
                  <w:r>
                    <w:rPr>
                      <w:color w:val="auto"/>
                      <w:sz w:val="21"/>
                      <w:szCs w:val="21"/>
                    </w:rPr>
                    <w:t>噪声源强</w:t>
                  </w:r>
                </w:p>
              </w:tc>
              <w:tc>
                <w:tcPr>
                  <w:tcW w:w="1424" w:type="dxa"/>
                  <w:vAlign w:val="center"/>
                </w:tcPr>
                <w:p>
                  <w:pPr>
                    <w:jc w:val="center"/>
                    <w:rPr>
                      <w:rFonts w:hint="eastAsia"/>
                      <w:color w:val="auto"/>
                      <w:sz w:val="21"/>
                      <w:szCs w:val="21"/>
                    </w:rPr>
                  </w:pPr>
                  <w:r>
                    <w:rPr>
                      <w:rFonts w:hint="eastAsia"/>
                      <w:color w:val="auto"/>
                      <w:sz w:val="21"/>
                      <w:szCs w:val="21"/>
                    </w:rPr>
                    <w:t>安装位置</w:t>
                  </w:r>
                </w:p>
              </w:tc>
              <w:tc>
                <w:tcPr>
                  <w:tcW w:w="2394" w:type="dxa"/>
                  <w:vAlign w:val="center"/>
                </w:tcPr>
                <w:p>
                  <w:pPr>
                    <w:jc w:val="center"/>
                    <w:rPr>
                      <w:color w:val="auto"/>
                      <w:sz w:val="21"/>
                      <w:szCs w:val="21"/>
                    </w:rPr>
                  </w:pPr>
                  <w:r>
                    <w:rPr>
                      <w:color w:val="auto"/>
                      <w:sz w:val="21"/>
                      <w:szCs w:val="21"/>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1</w:t>
                  </w:r>
                </w:p>
              </w:tc>
              <w:tc>
                <w:tcPr>
                  <w:tcW w:w="1424" w:type="dxa"/>
                  <w:vAlign w:val="center"/>
                </w:tcPr>
                <w:p>
                  <w:pPr>
                    <w:jc w:val="center"/>
                    <w:rPr>
                      <w:color w:val="auto"/>
                      <w:sz w:val="21"/>
                      <w:szCs w:val="21"/>
                    </w:rPr>
                  </w:pPr>
                  <w:r>
                    <w:rPr>
                      <w:rFonts w:hint="eastAsia"/>
                      <w:color w:val="auto"/>
                      <w:sz w:val="21"/>
                      <w:szCs w:val="21"/>
                    </w:rPr>
                    <w:t>二氧化氯发生器</w:t>
                  </w:r>
                </w:p>
              </w:tc>
              <w:tc>
                <w:tcPr>
                  <w:tcW w:w="1864" w:type="dxa"/>
                  <w:vAlign w:val="center"/>
                </w:tcPr>
                <w:p>
                  <w:pPr>
                    <w:jc w:val="center"/>
                    <w:rPr>
                      <w:color w:val="auto"/>
                      <w:sz w:val="21"/>
                      <w:szCs w:val="21"/>
                    </w:rPr>
                  </w:pPr>
                  <w:r>
                    <w:rPr>
                      <w:color w:val="auto"/>
                      <w:sz w:val="21"/>
                      <w:szCs w:val="21"/>
                    </w:rPr>
                    <w:t>75-85</w:t>
                  </w:r>
                </w:p>
              </w:tc>
              <w:tc>
                <w:tcPr>
                  <w:tcW w:w="1424" w:type="dxa"/>
                  <w:vAlign w:val="center"/>
                </w:tcPr>
                <w:p>
                  <w:pPr>
                    <w:jc w:val="center"/>
                    <w:rPr>
                      <w:rFonts w:hint="eastAsia"/>
                      <w:color w:val="auto"/>
                      <w:sz w:val="21"/>
                      <w:szCs w:val="21"/>
                    </w:rPr>
                  </w:pPr>
                  <w:r>
                    <w:rPr>
                      <w:rFonts w:hint="eastAsia"/>
                      <w:color w:val="auto"/>
                      <w:sz w:val="21"/>
                      <w:szCs w:val="21"/>
                    </w:rPr>
                    <w:t>加药间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2</w:t>
                  </w:r>
                </w:p>
              </w:tc>
              <w:tc>
                <w:tcPr>
                  <w:tcW w:w="1424" w:type="dxa"/>
                  <w:vAlign w:val="center"/>
                </w:tcPr>
                <w:p>
                  <w:pPr>
                    <w:jc w:val="center"/>
                    <w:rPr>
                      <w:color w:val="auto"/>
                      <w:sz w:val="21"/>
                      <w:szCs w:val="21"/>
                    </w:rPr>
                  </w:pPr>
                  <w:r>
                    <w:rPr>
                      <w:rFonts w:hint="eastAsia"/>
                      <w:color w:val="auto"/>
                      <w:sz w:val="21"/>
                      <w:szCs w:val="21"/>
                    </w:rPr>
                    <w:t>轴流风机</w:t>
                  </w:r>
                </w:p>
              </w:tc>
              <w:tc>
                <w:tcPr>
                  <w:tcW w:w="1864" w:type="dxa"/>
                  <w:vAlign w:val="center"/>
                </w:tcPr>
                <w:p>
                  <w:pPr>
                    <w:jc w:val="center"/>
                    <w:rPr>
                      <w:rFonts w:hint="eastAsia"/>
                      <w:color w:val="auto"/>
                      <w:sz w:val="21"/>
                      <w:szCs w:val="21"/>
                    </w:rPr>
                  </w:pPr>
                  <w:r>
                    <w:rPr>
                      <w:color w:val="auto"/>
                      <w:sz w:val="21"/>
                      <w:szCs w:val="21"/>
                    </w:rPr>
                    <w:t>85-9</w:t>
                  </w:r>
                  <w:r>
                    <w:rPr>
                      <w:rFonts w:hint="eastAsia"/>
                      <w:color w:val="auto"/>
                      <w:sz w:val="21"/>
                      <w:szCs w:val="21"/>
                    </w:rPr>
                    <w:t>0</w:t>
                  </w:r>
                </w:p>
              </w:tc>
              <w:tc>
                <w:tcPr>
                  <w:tcW w:w="1424" w:type="dxa"/>
                  <w:vAlign w:val="center"/>
                </w:tcPr>
                <w:p>
                  <w:pPr>
                    <w:jc w:val="center"/>
                    <w:rPr>
                      <w:color w:val="auto"/>
                      <w:sz w:val="21"/>
                      <w:szCs w:val="21"/>
                    </w:rPr>
                  </w:pPr>
                  <w:r>
                    <w:rPr>
                      <w:rFonts w:hint="eastAsia"/>
                      <w:color w:val="auto"/>
                      <w:sz w:val="21"/>
                      <w:szCs w:val="21"/>
                    </w:rPr>
                    <w:t>加药间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3</w:t>
                  </w:r>
                </w:p>
              </w:tc>
              <w:tc>
                <w:tcPr>
                  <w:tcW w:w="1424" w:type="dxa"/>
                  <w:vAlign w:val="center"/>
                </w:tcPr>
                <w:p>
                  <w:pPr>
                    <w:jc w:val="center"/>
                    <w:rPr>
                      <w:color w:val="auto"/>
                      <w:sz w:val="21"/>
                      <w:szCs w:val="21"/>
                    </w:rPr>
                  </w:pPr>
                  <w:r>
                    <w:rPr>
                      <w:rFonts w:hint="eastAsia"/>
                      <w:color w:val="auto"/>
                      <w:sz w:val="21"/>
                      <w:szCs w:val="21"/>
                    </w:rPr>
                    <w:t>化料器</w:t>
                  </w:r>
                </w:p>
              </w:tc>
              <w:tc>
                <w:tcPr>
                  <w:tcW w:w="1864" w:type="dxa"/>
                  <w:vAlign w:val="center"/>
                </w:tcPr>
                <w:p>
                  <w:pPr>
                    <w:jc w:val="center"/>
                    <w:rPr>
                      <w:color w:val="auto"/>
                      <w:sz w:val="21"/>
                      <w:szCs w:val="21"/>
                    </w:rPr>
                  </w:pPr>
                  <w:r>
                    <w:rPr>
                      <w:color w:val="auto"/>
                      <w:sz w:val="21"/>
                      <w:szCs w:val="21"/>
                    </w:rPr>
                    <w:t>85-90</w:t>
                  </w:r>
                </w:p>
              </w:tc>
              <w:tc>
                <w:tcPr>
                  <w:tcW w:w="1424" w:type="dxa"/>
                  <w:vAlign w:val="center"/>
                </w:tcPr>
                <w:p>
                  <w:pPr>
                    <w:jc w:val="center"/>
                    <w:rPr>
                      <w:color w:val="auto"/>
                      <w:sz w:val="21"/>
                      <w:szCs w:val="21"/>
                    </w:rPr>
                  </w:pPr>
                  <w:r>
                    <w:rPr>
                      <w:rFonts w:hint="eastAsia"/>
                      <w:color w:val="auto"/>
                      <w:sz w:val="21"/>
                      <w:szCs w:val="21"/>
                    </w:rPr>
                    <w:t>加药间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4</w:t>
                  </w:r>
                </w:p>
              </w:tc>
              <w:tc>
                <w:tcPr>
                  <w:tcW w:w="1424" w:type="dxa"/>
                  <w:vAlign w:val="center"/>
                </w:tcPr>
                <w:p>
                  <w:pPr>
                    <w:jc w:val="center"/>
                    <w:rPr>
                      <w:rFonts w:hint="eastAsia"/>
                      <w:color w:val="auto"/>
                      <w:sz w:val="21"/>
                      <w:szCs w:val="21"/>
                    </w:rPr>
                  </w:pPr>
                  <w:r>
                    <w:rPr>
                      <w:rFonts w:hint="eastAsia"/>
                      <w:color w:val="auto"/>
                      <w:sz w:val="21"/>
                      <w:szCs w:val="21"/>
                    </w:rPr>
                    <w:t>泵类</w:t>
                  </w:r>
                </w:p>
              </w:tc>
              <w:tc>
                <w:tcPr>
                  <w:tcW w:w="1864" w:type="dxa"/>
                  <w:vAlign w:val="center"/>
                </w:tcPr>
                <w:p>
                  <w:pPr>
                    <w:jc w:val="center"/>
                    <w:rPr>
                      <w:color w:val="auto"/>
                      <w:sz w:val="21"/>
                      <w:szCs w:val="21"/>
                    </w:rPr>
                  </w:pPr>
                  <w:r>
                    <w:rPr>
                      <w:color w:val="auto"/>
                      <w:sz w:val="21"/>
                      <w:szCs w:val="21"/>
                    </w:rPr>
                    <w:t>8</w:t>
                  </w:r>
                  <w:r>
                    <w:rPr>
                      <w:rFonts w:hint="eastAsia"/>
                      <w:color w:val="auto"/>
                      <w:sz w:val="21"/>
                      <w:szCs w:val="21"/>
                    </w:rPr>
                    <w:t>0</w:t>
                  </w:r>
                  <w:r>
                    <w:rPr>
                      <w:color w:val="auto"/>
                      <w:sz w:val="21"/>
                      <w:szCs w:val="21"/>
                    </w:rPr>
                    <w:t>-</w:t>
                  </w:r>
                  <w:r>
                    <w:rPr>
                      <w:rFonts w:hint="eastAsia"/>
                      <w:color w:val="auto"/>
                      <w:sz w:val="21"/>
                      <w:szCs w:val="21"/>
                    </w:rPr>
                    <w:t>85</w:t>
                  </w:r>
                </w:p>
              </w:tc>
              <w:tc>
                <w:tcPr>
                  <w:tcW w:w="1424" w:type="dxa"/>
                  <w:vAlign w:val="center"/>
                </w:tcPr>
                <w:p>
                  <w:pPr>
                    <w:jc w:val="center"/>
                    <w:rPr>
                      <w:rFonts w:hint="eastAsia"/>
                      <w:color w:val="auto"/>
                      <w:sz w:val="21"/>
                      <w:szCs w:val="21"/>
                    </w:rPr>
                  </w:pPr>
                  <w:r>
                    <w:rPr>
                      <w:rFonts w:hint="eastAsia"/>
                      <w:color w:val="auto"/>
                      <w:sz w:val="21"/>
                      <w:szCs w:val="21"/>
                    </w:rPr>
                    <w:t>水处理</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5</w:t>
                  </w:r>
                </w:p>
              </w:tc>
              <w:tc>
                <w:tcPr>
                  <w:tcW w:w="1424" w:type="dxa"/>
                  <w:vAlign w:val="center"/>
                </w:tcPr>
                <w:p>
                  <w:pPr>
                    <w:jc w:val="center"/>
                    <w:rPr>
                      <w:rFonts w:hint="eastAsia"/>
                      <w:color w:val="auto"/>
                      <w:sz w:val="21"/>
                      <w:szCs w:val="21"/>
                    </w:rPr>
                  </w:pPr>
                  <w:r>
                    <w:rPr>
                      <w:rFonts w:hint="eastAsia"/>
                      <w:color w:val="auto"/>
                      <w:sz w:val="21"/>
                      <w:szCs w:val="21"/>
                    </w:rPr>
                    <w:t>板框压滤机</w:t>
                  </w:r>
                </w:p>
              </w:tc>
              <w:tc>
                <w:tcPr>
                  <w:tcW w:w="1864" w:type="dxa"/>
                  <w:vAlign w:val="center"/>
                </w:tcPr>
                <w:p>
                  <w:pPr>
                    <w:jc w:val="center"/>
                    <w:rPr>
                      <w:color w:val="auto"/>
                      <w:sz w:val="21"/>
                      <w:szCs w:val="21"/>
                    </w:rPr>
                  </w:pPr>
                  <w:r>
                    <w:rPr>
                      <w:color w:val="auto"/>
                      <w:sz w:val="21"/>
                      <w:szCs w:val="21"/>
                    </w:rPr>
                    <w:t>8</w:t>
                  </w:r>
                  <w:r>
                    <w:rPr>
                      <w:rFonts w:hint="eastAsia"/>
                      <w:color w:val="auto"/>
                      <w:sz w:val="21"/>
                      <w:szCs w:val="21"/>
                    </w:rPr>
                    <w:t>0</w:t>
                  </w:r>
                  <w:r>
                    <w:rPr>
                      <w:color w:val="auto"/>
                      <w:sz w:val="21"/>
                      <w:szCs w:val="21"/>
                    </w:rPr>
                    <w:t>-</w:t>
                  </w:r>
                  <w:r>
                    <w:rPr>
                      <w:rFonts w:hint="eastAsia"/>
                      <w:color w:val="auto"/>
                      <w:sz w:val="21"/>
                      <w:szCs w:val="21"/>
                    </w:rPr>
                    <w:t>85</w:t>
                  </w:r>
                </w:p>
              </w:tc>
              <w:tc>
                <w:tcPr>
                  <w:tcW w:w="1424" w:type="dxa"/>
                  <w:vAlign w:val="center"/>
                </w:tcPr>
                <w:p>
                  <w:pPr>
                    <w:jc w:val="center"/>
                    <w:rPr>
                      <w:rFonts w:hint="eastAsia"/>
                      <w:color w:val="auto"/>
                      <w:sz w:val="21"/>
                      <w:szCs w:val="21"/>
                    </w:rPr>
                  </w:pPr>
                  <w:r>
                    <w:rPr>
                      <w:rFonts w:hint="eastAsia"/>
                      <w:color w:val="auto"/>
                      <w:sz w:val="21"/>
                      <w:szCs w:val="21"/>
                    </w:rPr>
                    <w:t>污泥脱水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6</w:t>
                  </w:r>
                </w:p>
              </w:tc>
              <w:tc>
                <w:tcPr>
                  <w:tcW w:w="1424" w:type="dxa"/>
                  <w:vAlign w:val="center"/>
                </w:tcPr>
                <w:p>
                  <w:pPr>
                    <w:spacing w:line="240" w:lineRule="atLeast"/>
                    <w:ind w:firstLine="105" w:firstLineChars="50"/>
                    <w:jc w:val="center"/>
                    <w:rPr>
                      <w:rFonts w:hint="eastAsia"/>
                      <w:color w:val="auto"/>
                      <w:sz w:val="21"/>
                      <w:szCs w:val="21"/>
                    </w:rPr>
                  </w:pPr>
                  <w:r>
                    <w:rPr>
                      <w:rFonts w:hint="eastAsia" w:hAnsi="宋体"/>
                      <w:color w:val="auto"/>
                      <w:sz w:val="21"/>
                      <w:szCs w:val="21"/>
                    </w:rPr>
                    <w:t>浓缩机</w:t>
                  </w:r>
                </w:p>
              </w:tc>
              <w:tc>
                <w:tcPr>
                  <w:tcW w:w="1864" w:type="dxa"/>
                  <w:vAlign w:val="center"/>
                </w:tcPr>
                <w:p>
                  <w:pPr>
                    <w:jc w:val="center"/>
                    <w:rPr>
                      <w:color w:val="auto"/>
                      <w:sz w:val="21"/>
                      <w:szCs w:val="21"/>
                    </w:rPr>
                  </w:pPr>
                  <w:r>
                    <w:rPr>
                      <w:color w:val="auto"/>
                      <w:sz w:val="21"/>
                      <w:szCs w:val="21"/>
                    </w:rPr>
                    <w:t>8</w:t>
                  </w:r>
                  <w:r>
                    <w:rPr>
                      <w:rFonts w:hint="eastAsia"/>
                      <w:color w:val="auto"/>
                      <w:sz w:val="21"/>
                      <w:szCs w:val="21"/>
                    </w:rPr>
                    <w:t>0</w:t>
                  </w:r>
                  <w:r>
                    <w:rPr>
                      <w:color w:val="auto"/>
                      <w:sz w:val="21"/>
                      <w:szCs w:val="21"/>
                    </w:rPr>
                    <w:t>-</w:t>
                  </w:r>
                  <w:r>
                    <w:rPr>
                      <w:rFonts w:hint="eastAsia"/>
                      <w:color w:val="auto"/>
                      <w:sz w:val="21"/>
                      <w:szCs w:val="21"/>
                    </w:rPr>
                    <w:t>85</w:t>
                  </w:r>
                </w:p>
              </w:tc>
              <w:tc>
                <w:tcPr>
                  <w:tcW w:w="1424" w:type="dxa"/>
                  <w:vAlign w:val="center"/>
                </w:tcPr>
                <w:p>
                  <w:pPr>
                    <w:jc w:val="center"/>
                    <w:rPr>
                      <w:rFonts w:hint="eastAsia"/>
                      <w:color w:val="auto"/>
                      <w:sz w:val="21"/>
                      <w:szCs w:val="21"/>
                    </w:rPr>
                  </w:pPr>
                  <w:r>
                    <w:rPr>
                      <w:rFonts w:hint="eastAsia"/>
                      <w:color w:val="auto"/>
                      <w:sz w:val="21"/>
                      <w:szCs w:val="21"/>
                    </w:rPr>
                    <w:t>污泥脱水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7</w:t>
                  </w:r>
                </w:p>
              </w:tc>
              <w:tc>
                <w:tcPr>
                  <w:tcW w:w="1424" w:type="dxa"/>
                  <w:vAlign w:val="center"/>
                </w:tcPr>
                <w:p>
                  <w:pPr>
                    <w:jc w:val="center"/>
                    <w:rPr>
                      <w:rFonts w:hint="eastAsia"/>
                      <w:color w:val="auto"/>
                      <w:sz w:val="21"/>
                      <w:szCs w:val="21"/>
                    </w:rPr>
                  </w:pPr>
                  <w:r>
                    <w:rPr>
                      <w:rFonts w:hint="eastAsia"/>
                      <w:color w:val="auto"/>
                      <w:sz w:val="21"/>
                      <w:szCs w:val="21"/>
                    </w:rPr>
                    <w:t>空压机</w:t>
                  </w:r>
                </w:p>
              </w:tc>
              <w:tc>
                <w:tcPr>
                  <w:tcW w:w="1864" w:type="dxa"/>
                  <w:vAlign w:val="center"/>
                </w:tcPr>
                <w:p>
                  <w:pPr>
                    <w:spacing w:line="240" w:lineRule="atLeast"/>
                    <w:jc w:val="center"/>
                    <w:rPr>
                      <w:color w:val="auto"/>
                      <w:sz w:val="21"/>
                      <w:szCs w:val="21"/>
                    </w:rPr>
                  </w:pPr>
                  <w:r>
                    <w:rPr>
                      <w:color w:val="auto"/>
                      <w:sz w:val="21"/>
                      <w:szCs w:val="21"/>
                    </w:rPr>
                    <w:t>80-90</w:t>
                  </w:r>
                </w:p>
              </w:tc>
              <w:tc>
                <w:tcPr>
                  <w:tcW w:w="1424" w:type="dxa"/>
                  <w:vAlign w:val="center"/>
                </w:tcPr>
                <w:p>
                  <w:pPr>
                    <w:jc w:val="center"/>
                    <w:rPr>
                      <w:rFonts w:hint="eastAsia"/>
                      <w:color w:val="auto"/>
                      <w:sz w:val="21"/>
                      <w:szCs w:val="21"/>
                    </w:rPr>
                  </w:pPr>
                  <w:r>
                    <w:rPr>
                      <w:rFonts w:hint="eastAsia"/>
                      <w:color w:val="auto"/>
                      <w:sz w:val="21"/>
                      <w:szCs w:val="21"/>
                    </w:rPr>
                    <w:t>污泥脱水</w:t>
                  </w:r>
                </w:p>
              </w:tc>
              <w:tc>
                <w:tcPr>
                  <w:tcW w:w="2394" w:type="dxa"/>
                  <w:vAlign w:val="center"/>
                </w:tcPr>
                <w:p>
                  <w:pPr>
                    <w:jc w:val="center"/>
                    <w:rPr>
                      <w:color w:val="auto"/>
                      <w:sz w:val="21"/>
                      <w:szCs w:val="21"/>
                    </w:rPr>
                  </w:pPr>
                  <w:r>
                    <w:rPr>
                      <w:color w:val="auto"/>
                      <w:sz w:val="21"/>
                      <w:szCs w:val="21"/>
                    </w:rPr>
                    <w:t>隔声、减震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014" w:type="dxa"/>
                  <w:vAlign w:val="center"/>
                </w:tcPr>
                <w:p>
                  <w:pPr>
                    <w:jc w:val="center"/>
                    <w:rPr>
                      <w:rFonts w:hint="eastAsia"/>
                      <w:color w:val="auto"/>
                      <w:sz w:val="21"/>
                      <w:szCs w:val="21"/>
                    </w:rPr>
                  </w:pPr>
                  <w:r>
                    <w:rPr>
                      <w:rFonts w:hint="eastAsia"/>
                      <w:color w:val="auto"/>
                      <w:sz w:val="21"/>
                      <w:szCs w:val="21"/>
                    </w:rPr>
                    <w:t>8</w:t>
                  </w:r>
                </w:p>
              </w:tc>
              <w:tc>
                <w:tcPr>
                  <w:tcW w:w="1424" w:type="dxa"/>
                  <w:vAlign w:val="center"/>
                </w:tcPr>
                <w:p>
                  <w:pPr>
                    <w:jc w:val="center"/>
                    <w:rPr>
                      <w:rFonts w:hint="eastAsia"/>
                      <w:color w:val="auto"/>
                      <w:sz w:val="21"/>
                      <w:szCs w:val="21"/>
                    </w:rPr>
                  </w:pPr>
                  <w:r>
                    <w:rPr>
                      <w:rFonts w:hint="eastAsia"/>
                      <w:color w:val="auto"/>
                      <w:sz w:val="21"/>
                      <w:szCs w:val="21"/>
                    </w:rPr>
                    <w:t>备用发电机</w:t>
                  </w:r>
                </w:p>
              </w:tc>
              <w:tc>
                <w:tcPr>
                  <w:tcW w:w="1864" w:type="dxa"/>
                  <w:vAlign w:val="center"/>
                </w:tcPr>
                <w:p>
                  <w:pPr>
                    <w:jc w:val="center"/>
                    <w:rPr>
                      <w:rFonts w:hint="eastAsia"/>
                      <w:color w:val="auto"/>
                      <w:sz w:val="21"/>
                      <w:szCs w:val="21"/>
                    </w:rPr>
                  </w:pPr>
                  <w:r>
                    <w:rPr>
                      <w:rFonts w:hint="eastAsia"/>
                      <w:color w:val="auto"/>
                      <w:sz w:val="21"/>
                      <w:szCs w:val="21"/>
                    </w:rPr>
                    <w:t>90</w:t>
                  </w:r>
                  <w:r>
                    <w:rPr>
                      <w:color w:val="auto"/>
                      <w:sz w:val="21"/>
                      <w:szCs w:val="21"/>
                    </w:rPr>
                    <w:t>-</w:t>
                  </w:r>
                  <w:r>
                    <w:rPr>
                      <w:rFonts w:hint="eastAsia"/>
                      <w:color w:val="auto"/>
                      <w:sz w:val="21"/>
                      <w:szCs w:val="21"/>
                    </w:rPr>
                    <w:t>95</w:t>
                  </w:r>
                </w:p>
              </w:tc>
              <w:tc>
                <w:tcPr>
                  <w:tcW w:w="1424" w:type="dxa"/>
                  <w:vAlign w:val="center"/>
                </w:tcPr>
                <w:p>
                  <w:pPr>
                    <w:jc w:val="center"/>
                    <w:rPr>
                      <w:rFonts w:hint="eastAsia"/>
                      <w:color w:val="auto"/>
                      <w:sz w:val="21"/>
                      <w:szCs w:val="21"/>
                    </w:rPr>
                  </w:pPr>
                  <w:r>
                    <w:rPr>
                      <w:rFonts w:hint="eastAsia"/>
                      <w:color w:val="auto"/>
                      <w:sz w:val="21"/>
                      <w:szCs w:val="21"/>
                    </w:rPr>
                    <w:t>综合楼内</w:t>
                  </w:r>
                </w:p>
              </w:tc>
              <w:tc>
                <w:tcPr>
                  <w:tcW w:w="2394" w:type="dxa"/>
                  <w:vAlign w:val="center"/>
                </w:tcPr>
                <w:p>
                  <w:pPr>
                    <w:jc w:val="center"/>
                    <w:rPr>
                      <w:rFonts w:hint="eastAsia"/>
                      <w:color w:val="auto"/>
                      <w:sz w:val="21"/>
                      <w:szCs w:val="21"/>
                    </w:rPr>
                  </w:pPr>
                  <w:r>
                    <w:rPr>
                      <w:color w:val="auto"/>
                      <w:sz w:val="21"/>
                      <w:szCs w:val="21"/>
                    </w:rPr>
                    <w:t>隔声、减震</w:t>
                  </w:r>
                  <w:r>
                    <w:rPr>
                      <w:rFonts w:hint="eastAsia"/>
                      <w:color w:val="auto"/>
                      <w:sz w:val="21"/>
                      <w:szCs w:val="21"/>
                    </w:rPr>
                    <w:t>、消音</w:t>
                  </w:r>
                </w:p>
              </w:tc>
            </w:tr>
          </w:tbl>
          <w:p>
            <w:pPr>
              <w:pStyle w:val="4"/>
              <w:snapToGrid w:val="0"/>
              <w:spacing w:before="0" w:after="0" w:line="360" w:lineRule="auto"/>
              <w:rPr>
                <w:rFonts w:hint="eastAsia"/>
                <w:color w:val="auto"/>
                <w:sz w:val="24"/>
                <w:szCs w:val="24"/>
              </w:rPr>
            </w:pPr>
            <w:r>
              <w:rPr>
                <w:rFonts w:hint="eastAsia"/>
                <w:color w:val="auto"/>
                <w:sz w:val="24"/>
                <w:szCs w:val="24"/>
                <w:lang w:val="en-US" w:eastAsia="zh-CN"/>
              </w:rPr>
              <w:t>2.4</w:t>
            </w:r>
            <w:r>
              <w:rPr>
                <w:color w:val="auto"/>
                <w:sz w:val="24"/>
                <w:szCs w:val="24"/>
              </w:rPr>
              <w:t xml:space="preserve"> 固体废物</w:t>
            </w:r>
          </w:p>
          <w:p>
            <w:pPr>
              <w:spacing w:line="360" w:lineRule="auto"/>
              <w:ind w:firstLine="480" w:firstLineChars="200"/>
              <w:rPr>
                <w:rFonts w:hint="eastAsia"/>
                <w:color w:val="auto"/>
                <w:sz w:val="24"/>
              </w:rPr>
            </w:pPr>
            <w:r>
              <w:rPr>
                <w:rFonts w:hint="eastAsia"/>
                <w:color w:val="auto"/>
                <w:sz w:val="24"/>
              </w:rPr>
              <w:t>本项目固体废物污染源主要有：生活垃圾、净水厂干化污泥、检验室废液、废弃试剂、药品和消毒残液。</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 xml:space="preserve">生活垃圾 </w:t>
            </w:r>
          </w:p>
          <w:p>
            <w:pPr>
              <w:spacing w:line="360" w:lineRule="auto"/>
              <w:ind w:firstLine="480" w:firstLineChars="200"/>
              <w:rPr>
                <w:rFonts w:hint="eastAsia"/>
                <w:color w:val="auto"/>
                <w:sz w:val="24"/>
              </w:rPr>
            </w:pPr>
            <w:r>
              <w:rPr>
                <w:color w:val="auto"/>
                <w:sz w:val="24"/>
              </w:rPr>
              <w:t>本项目</w:t>
            </w:r>
            <w:r>
              <w:rPr>
                <w:rFonts w:hint="eastAsia"/>
                <w:color w:val="auto"/>
                <w:sz w:val="24"/>
              </w:rPr>
              <w:t>净水厂</w:t>
            </w:r>
            <w:r>
              <w:rPr>
                <w:color w:val="auto"/>
                <w:sz w:val="24"/>
              </w:rPr>
              <w:t>职工人数为</w:t>
            </w:r>
            <w:r>
              <w:rPr>
                <w:rFonts w:hint="eastAsia"/>
                <w:color w:val="auto"/>
                <w:sz w:val="24"/>
                <w:lang w:val="en-US" w:eastAsia="zh-CN"/>
              </w:rPr>
              <w:t>55</w:t>
            </w:r>
            <w:r>
              <w:rPr>
                <w:color w:val="auto"/>
                <w:sz w:val="24"/>
              </w:rPr>
              <w:t>人，生活垃圾产生量1kg/d计算，则生活垃圾产生量为</w:t>
            </w:r>
            <w:r>
              <w:rPr>
                <w:rFonts w:hint="eastAsia"/>
                <w:color w:val="auto"/>
                <w:sz w:val="24"/>
                <w:lang w:val="en-US" w:eastAsia="zh-CN"/>
              </w:rPr>
              <w:t>20</w:t>
            </w:r>
            <w:r>
              <w:rPr>
                <w:color w:val="auto"/>
                <w:sz w:val="24"/>
              </w:rPr>
              <w:t>t/a（</w:t>
            </w:r>
            <w:r>
              <w:rPr>
                <w:rFonts w:hint="eastAsia"/>
                <w:color w:val="auto"/>
                <w:sz w:val="24"/>
                <w:lang w:val="en-US" w:eastAsia="zh-CN"/>
              </w:rPr>
              <w:t>55</w:t>
            </w:r>
            <w:r>
              <w:rPr>
                <w:color w:val="auto"/>
                <w:sz w:val="24"/>
              </w:rPr>
              <w:t>kg/d）</w:t>
            </w:r>
            <w:r>
              <w:rPr>
                <w:rFonts w:hint="eastAsia"/>
                <w:color w:val="auto"/>
                <w:sz w:val="24"/>
              </w:rPr>
              <w:t xml:space="preserve">。生活垃圾由环卫部门统一收集后送生活垃圾填埋场卫生填埋。 </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 xml:space="preserve">干化污泥 </w:t>
            </w:r>
          </w:p>
          <w:p>
            <w:pPr>
              <w:spacing w:line="360" w:lineRule="auto"/>
              <w:ind w:firstLine="480" w:firstLineChars="200"/>
              <w:rPr>
                <w:rFonts w:hint="eastAsia"/>
                <w:color w:val="auto"/>
                <w:sz w:val="24"/>
              </w:rPr>
            </w:pPr>
            <w:r>
              <w:rPr>
                <w:rFonts w:hint="eastAsia"/>
                <w:color w:val="auto"/>
                <w:sz w:val="24"/>
              </w:rPr>
              <w:t xml:space="preserve">根据《室外给水设计规范》（GB50013-2006）提供的净水厂排泥水干泥量计算公式为： </w:t>
            </w:r>
          </w:p>
          <w:p>
            <w:pPr>
              <w:spacing w:line="360" w:lineRule="auto"/>
              <w:ind w:firstLine="2160" w:firstLineChars="900"/>
              <w:rPr>
                <w:color w:val="auto"/>
                <w:sz w:val="24"/>
              </w:rPr>
            </w:pPr>
            <w:r>
              <w:rPr>
                <w:color w:val="auto"/>
                <w:sz w:val="24"/>
              </w:rPr>
              <w:t>S=(K</w:t>
            </w:r>
            <w:r>
              <w:rPr>
                <w:color w:val="auto"/>
                <w:sz w:val="24"/>
                <w:vertAlign w:val="subscript"/>
              </w:rPr>
              <w:t>1</w:t>
            </w:r>
            <w:r>
              <w:rPr>
                <w:color w:val="auto"/>
                <w:sz w:val="24"/>
              </w:rPr>
              <w:t>C</w:t>
            </w:r>
            <w:r>
              <w:rPr>
                <w:color w:val="auto"/>
                <w:sz w:val="24"/>
                <w:vertAlign w:val="subscript"/>
              </w:rPr>
              <w:t>0</w:t>
            </w:r>
            <w:r>
              <w:rPr>
                <w:color w:val="auto"/>
                <w:sz w:val="24"/>
              </w:rPr>
              <w:t>+ K</w:t>
            </w:r>
            <w:r>
              <w:rPr>
                <w:color w:val="auto"/>
                <w:sz w:val="24"/>
                <w:vertAlign w:val="subscript"/>
              </w:rPr>
              <w:t>2</w:t>
            </w:r>
            <w:r>
              <w:rPr>
                <w:color w:val="auto"/>
                <w:sz w:val="24"/>
              </w:rPr>
              <w:t>D) ×Q×10</w:t>
            </w:r>
            <w:r>
              <w:rPr>
                <w:color w:val="auto"/>
                <w:sz w:val="24"/>
                <w:vertAlign w:val="superscript"/>
              </w:rPr>
              <w:t>-6</w:t>
            </w:r>
          </w:p>
          <w:p>
            <w:pPr>
              <w:spacing w:line="360" w:lineRule="auto"/>
              <w:ind w:firstLine="480" w:firstLineChars="200"/>
              <w:rPr>
                <w:rFonts w:hint="eastAsia"/>
                <w:color w:val="auto"/>
                <w:sz w:val="24"/>
              </w:rPr>
            </w:pPr>
            <w:r>
              <w:rPr>
                <w:rFonts w:hint="eastAsia"/>
                <w:color w:val="auto"/>
                <w:sz w:val="24"/>
              </w:rPr>
              <w:t>式中：C</w:t>
            </w:r>
            <w:r>
              <w:rPr>
                <w:rFonts w:hint="eastAsia"/>
                <w:color w:val="auto"/>
                <w:sz w:val="24"/>
                <w:vertAlign w:val="subscript"/>
              </w:rPr>
              <w:t>0</w:t>
            </w:r>
            <w:r>
              <w:rPr>
                <w:rFonts w:hint="eastAsia"/>
                <w:color w:val="auto"/>
                <w:sz w:val="24"/>
              </w:rPr>
              <w:t xml:space="preserve">—原水浊度设计取值（NTU），取40NTU； </w:t>
            </w:r>
          </w:p>
          <w:p>
            <w:pPr>
              <w:spacing w:line="360" w:lineRule="auto"/>
              <w:ind w:firstLine="480" w:firstLineChars="200"/>
              <w:rPr>
                <w:rFonts w:hint="eastAsia"/>
                <w:color w:val="auto"/>
                <w:sz w:val="24"/>
              </w:rPr>
            </w:pPr>
            <w:r>
              <w:rPr>
                <w:rFonts w:hint="eastAsia"/>
                <w:color w:val="auto"/>
                <w:sz w:val="24"/>
              </w:rPr>
              <w:t xml:space="preserve">      K</w:t>
            </w:r>
            <w:r>
              <w:rPr>
                <w:rFonts w:hint="eastAsia"/>
                <w:color w:val="auto"/>
                <w:sz w:val="24"/>
                <w:vertAlign w:val="subscript"/>
              </w:rPr>
              <w:t>1</w:t>
            </w:r>
            <w:r>
              <w:rPr>
                <w:rFonts w:hint="eastAsia"/>
                <w:color w:val="auto"/>
                <w:sz w:val="24"/>
              </w:rPr>
              <w:t xml:space="preserve">—原水浊度单位NTU与悬浮物SS单位mg/L的换乘系数，取1.0； </w:t>
            </w:r>
          </w:p>
          <w:p>
            <w:pPr>
              <w:spacing w:line="360" w:lineRule="auto"/>
              <w:ind w:firstLine="1200" w:firstLineChars="500"/>
              <w:rPr>
                <w:rFonts w:hint="eastAsia"/>
                <w:color w:val="auto"/>
                <w:sz w:val="24"/>
              </w:rPr>
            </w:pPr>
            <w:r>
              <w:rPr>
                <w:rFonts w:hint="eastAsia"/>
                <w:color w:val="auto"/>
                <w:sz w:val="24"/>
              </w:rPr>
              <w:t xml:space="preserve">D—药剂投加量（mg/L），为20mg/L； </w:t>
            </w:r>
          </w:p>
          <w:p>
            <w:pPr>
              <w:spacing w:line="360" w:lineRule="auto"/>
              <w:ind w:firstLine="1200" w:firstLineChars="500"/>
              <w:rPr>
                <w:rFonts w:hint="eastAsia"/>
                <w:color w:val="auto"/>
                <w:sz w:val="24"/>
              </w:rPr>
            </w:pPr>
            <w:r>
              <w:rPr>
                <w:rFonts w:hint="eastAsia"/>
                <w:color w:val="auto"/>
                <w:sz w:val="24"/>
              </w:rPr>
              <w:t>K</w:t>
            </w:r>
            <w:r>
              <w:rPr>
                <w:rFonts w:hint="eastAsia"/>
                <w:color w:val="auto"/>
                <w:sz w:val="24"/>
                <w:vertAlign w:val="subscript"/>
              </w:rPr>
              <w:t>2</w:t>
            </w:r>
            <w:r>
              <w:rPr>
                <w:rFonts w:hint="eastAsia"/>
                <w:color w:val="auto"/>
                <w:sz w:val="24"/>
              </w:rPr>
              <w:t xml:space="preserve">—药剂转化成泥量的系数，取1.53； </w:t>
            </w:r>
          </w:p>
          <w:p>
            <w:pPr>
              <w:spacing w:line="360" w:lineRule="auto"/>
              <w:ind w:firstLine="1200" w:firstLineChars="500"/>
              <w:rPr>
                <w:rFonts w:hint="eastAsia"/>
                <w:color w:val="auto"/>
                <w:sz w:val="24"/>
              </w:rPr>
            </w:pPr>
            <w:r>
              <w:rPr>
                <w:rFonts w:hint="eastAsia"/>
                <w:color w:val="auto"/>
                <w:sz w:val="24"/>
              </w:rPr>
              <w:t>Q—原水流量（m</w:t>
            </w:r>
            <w:r>
              <w:rPr>
                <w:color w:val="auto"/>
                <w:sz w:val="24"/>
                <w:vertAlign w:val="subscript"/>
              </w:rPr>
              <w:t>3</w:t>
            </w:r>
            <w:r>
              <w:rPr>
                <w:rFonts w:hint="eastAsia"/>
                <w:color w:val="auto"/>
                <w:sz w:val="24"/>
              </w:rPr>
              <w:t>/d），按</w:t>
            </w:r>
            <w:r>
              <w:rPr>
                <w:rFonts w:hint="eastAsia"/>
                <w:color w:val="auto"/>
                <w:sz w:val="24"/>
                <w:lang w:val="en-US" w:eastAsia="zh-CN"/>
              </w:rPr>
              <w:t>10</w:t>
            </w:r>
            <w:r>
              <w:rPr>
                <w:rFonts w:hint="eastAsia"/>
                <w:color w:val="auto"/>
                <w:sz w:val="24"/>
              </w:rPr>
              <w:t>×10</w:t>
            </w:r>
            <w:r>
              <w:rPr>
                <w:color w:val="auto"/>
                <w:sz w:val="24"/>
                <w:vertAlign w:val="superscript"/>
              </w:rPr>
              <w:t>4</w:t>
            </w:r>
            <w:r>
              <w:rPr>
                <w:color w:val="auto"/>
                <w:sz w:val="24"/>
              </w:rPr>
              <w:t>m</w:t>
            </w:r>
            <w:r>
              <w:rPr>
                <w:color w:val="auto"/>
                <w:sz w:val="24"/>
                <w:vertAlign w:val="superscript"/>
              </w:rPr>
              <w:t>3</w:t>
            </w:r>
            <w:r>
              <w:rPr>
                <w:rFonts w:hint="eastAsia"/>
                <w:color w:val="auto"/>
                <w:sz w:val="24"/>
              </w:rPr>
              <w:t xml:space="preserve">/d </w:t>
            </w:r>
          </w:p>
          <w:p>
            <w:pPr>
              <w:spacing w:line="360" w:lineRule="auto"/>
              <w:ind w:firstLine="1200" w:firstLineChars="500"/>
              <w:rPr>
                <w:rFonts w:hint="eastAsia"/>
                <w:color w:val="auto"/>
                <w:sz w:val="24"/>
              </w:rPr>
            </w:pPr>
            <w:r>
              <w:rPr>
                <w:rFonts w:hint="eastAsia"/>
                <w:color w:val="auto"/>
                <w:sz w:val="24"/>
              </w:rPr>
              <w:t xml:space="preserve">S—干泥量（t/d）。 </w:t>
            </w:r>
          </w:p>
          <w:p>
            <w:pPr>
              <w:spacing w:line="360" w:lineRule="auto"/>
              <w:ind w:firstLine="480" w:firstLineChars="200"/>
              <w:rPr>
                <w:rFonts w:hint="eastAsia"/>
                <w:color w:val="auto"/>
                <w:sz w:val="24"/>
              </w:rPr>
            </w:pPr>
            <w:r>
              <w:rPr>
                <w:rFonts w:hint="eastAsia"/>
                <w:color w:val="auto"/>
                <w:sz w:val="24"/>
              </w:rPr>
              <w:t>根据上式可计算出干泥量，污泥脱水及干化后含水率低于60%，则湿泥量为</w:t>
            </w:r>
            <w:r>
              <w:rPr>
                <w:rFonts w:hint="eastAsia"/>
                <w:color w:val="auto"/>
                <w:sz w:val="24"/>
                <w:lang w:val="en-US" w:eastAsia="zh-CN"/>
              </w:rPr>
              <w:t>14</w:t>
            </w:r>
            <w:r>
              <w:rPr>
                <w:rFonts w:hint="eastAsia"/>
                <w:color w:val="auto"/>
                <w:sz w:val="24"/>
              </w:rPr>
              <w:t>.0t/d（</w:t>
            </w:r>
            <w:r>
              <w:rPr>
                <w:rFonts w:hint="eastAsia"/>
                <w:color w:val="auto"/>
                <w:sz w:val="24"/>
                <w:lang w:val="en-US" w:eastAsia="zh-CN"/>
              </w:rPr>
              <w:t>5110</w:t>
            </w:r>
            <w:r>
              <w:rPr>
                <w:rFonts w:hint="eastAsia"/>
                <w:color w:val="auto"/>
                <w:sz w:val="24"/>
              </w:rPr>
              <w:t>t/a）。该污泥属于一般固体废物，运往生活垃圾填埋场卫生填埋。</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w:t>
            </w:r>
            <w:r>
              <w:rPr>
                <w:rFonts w:hint="eastAsia"/>
                <w:color w:val="auto"/>
                <w:sz w:val="24"/>
              </w:rPr>
              <w:t xml:space="preserve">检验室废液 </w:t>
            </w:r>
          </w:p>
          <w:p>
            <w:pPr>
              <w:spacing w:line="360" w:lineRule="auto"/>
              <w:ind w:firstLine="480" w:firstLineChars="200"/>
              <w:rPr>
                <w:rFonts w:hint="eastAsia"/>
                <w:color w:val="auto"/>
                <w:sz w:val="24"/>
              </w:rPr>
            </w:pPr>
            <w:r>
              <w:rPr>
                <w:rFonts w:hint="eastAsia"/>
                <w:color w:val="auto"/>
                <w:sz w:val="24"/>
              </w:rPr>
              <w:t>检验室废水产生量约0.0</w:t>
            </w:r>
            <w:r>
              <w:rPr>
                <w:rFonts w:hint="eastAsia"/>
                <w:color w:val="auto"/>
                <w:sz w:val="24"/>
                <w:lang w:val="en-US" w:eastAsia="zh-CN"/>
              </w:rPr>
              <w:t>2</w:t>
            </w:r>
            <w:r>
              <w:rPr>
                <w:rFonts w:hint="eastAsia"/>
                <w:color w:val="auto"/>
                <w:sz w:val="24"/>
              </w:rPr>
              <w:t>m</w:t>
            </w:r>
            <w:r>
              <w:rPr>
                <w:color w:val="auto"/>
                <w:sz w:val="24"/>
                <w:vertAlign w:val="superscript"/>
              </w:rPr>
              <w:t>3</w:t>
            </w:r>
            <w:r>
              <w:rPr>
                <w:rFonts w:hint="eastAsia"/>
                <w:color w:val="auto"/>
                <w:sz w:val="24"/>
              </w:rPr>
              <w:t>/d（</w:t>
            </w:r>
            <w:r>
              <w:rPr>
                <w:rFonts w:hint="eastAsia"/>
                <w:color w:val="auto"/>
                <w:sz w:val="24"/>
                <w:lang w:val="en-US" w:eastAsia="zh-CN"/>
              </w:rPr>
              <w:t>7.3</w:t>
            </w:r>
            <w:r>
              <w:rPr>
                <w:rFonts w:hint="eastAsia"/>
                <w:color w:val="auto"/>
                <w:sz w:val="24"/>
              </w:rPr>
              <w:t>t/a），主要为水质化验后产生的酸碱废水，经集中收集后交由有资质的危废处理机构进行处置。</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4</w:t>
            </w:r>
            <w:r>
              <w:rPr>
                <w:rFonts w:hint="eastAsia"/>
                <w:color w:val="auto"/>
                <w:sz w:val="24"/>
                <w:lang w:eastAsia="zh-CN"/>
              </w:rPr>
              <w:t>）</w:t>
            </w:r>
            <w:r>
              <w:rPr>
                <w:rFonts w:hint="eastAsia"/>
                <w:color w:val="auto"/>
                <w:sz w:val="24"/>
              </w:rPr>
              <w:t>废弃试剂、药品</w:t>
            </w:r>
          </w:p>
          <w:p>
            <w:pPr>
              <w:spacing w:line="360" w:lineRule="auto"/>
              <w:ind w:firstLine="480" w:firstLineChars="200"/>
              <w:rPr>
                <w:rFonts w:hint="eastAsia"/>
                <w:color w:val="auto"/>
                <w:sz w:val="24"/>
              </w:rPr>
            </w:pPr>
            <w:r>
              <w:rPr>
                <w:rFonts w:hint="eastAsia"/>
                <w:color w:val="auto"/>
                <w:sz w:val="24"/>
              </w:rPr>
              <w:t>项目水质化验室及生产辅助用房中废弃试剂、药品及药品的包装瓶、包装袋等产生量约0.</w:t>
            </w:r>
            <w:r>
              <w:rPr>
                <w:rFonts w:hint="eastAsia"/>
                <w:color w:val="auto"/>
                <w:sz w:val="24"/>
                <w:lang w:val="en-US" w:eastAsia="zh-CN"/>
              </w:rPr>
              <w:t>2</w:t>
            </w:r>
            <w:r>
              <w:rPr>
                <w:rFonts w:hint="eastAsia"/>
                <w:color w:val="auto"/>
                <w:sz w:val="24"/>
              </w:rPr>
              <w:t>t/a，集中收集后交由有资质的危险废物处置单位进行处置。</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5</w:t>
            </w:r>
            <w:r>
              <w:rPr>
                <w:rFonts w:hint="eastAsia"/>
                <w:color w:val="auto"/>
                <w:sz w:val="24"/>
                <w:lang w:eastAsia="zh-CN"/>
              </w:rPr>
              <w:t>）</w:t>
            </w:r>
            <w:r>
              <w:rPr>
                <w:rFonts w:hint="eastAsia"/>
                <w:color w:val="auto"/>
                <w:sz w:val="24"/>
              </w:rPr>
              <w:t>消毒残液</w:t>
            </w:r>
          </w:p>
          <w:p>
            <w:pPr>
              <w:spacing w:line="360" w:lineRule="auto"/>
              <w:ind w:firstLine="480" w:firstLineChars="200"/>
              <w:rPr>
                <w:rFonts w:hint="eastAsia"/>
                <w:color w:val="auto"/>
                <w:sz w:val="24"/>
              </w:rPr>
            </w:pPr>
            <w:r>
              <w:rPr>
                <w:rFonts w:hint="eastAsia"/>
                <w:color w:val="auto"/>
                <w:sz w:val="24"/>
              </w:rPr>
              <w:t>本项目净水厂消毒间ClO</w:t>
            </w:r>
            <w:r>
              <w:rPr>
                <w:rFonts w:hint="eastAsia"/>
                <w:color w:val="auto"/>
                <w:sz w:val="24"/>
                <w:vertAlign w:val="subscript"/>
              </w:rPr>
              <w:t>2</w:t>
            </w:r>
            <w:r>
              <w:rPr>
                <w:rFonts w:hint="eastAsia"/>
                <w:color w:val="auto"/>
                <w:sz w:val="24"/>
              </w:rPr>
              <w:t>发生器产生微量的残液，主要成分为NaCl，还含少量盐酸和次氯酸钠，不含其他有毒有害物质。根据有关资料，生产1g有效氯消耗氯酸钠1.1g（工业一级品，含量99%，稀释浓度为30%）、盐酸0.75g（工业合成一级品，浓度31%），饮用水使用有效氯量为0.5～2.0g/m</w:t>
            </w:r>
            <w:r>
              <w:rPr>
                <w:color w:val="auto"/>
                <w:sz w:val="24"/>
                <w:vertAlign w:val="superscript"/>
              </w:rPr>
              <w:t>3</w:t>
            </w:r>
            <w:r>
              <w:rPr>
                <w:rFonts w:hint="eastAsia"/>
                <w:color w:val="auto"/>
                <w:sz w:val="24"/>
              </w:rPr>
              <w:t>，根据本项目年使用原料的量，计算出消毒残液产生量约为</w:t>
            </w:r>
            <w:r>
              <w:rPr>
                <w:rFonts w:hint="eastAsia"/>
                <w:color w:val="auto"/>
                <w:sz w:val="24"/>
                <w:lang w:val="en-US" w:eastAsia="zh-CN"/>
              </w:rPr>
              <w:t>33.6</w:t>
            </w:r>
            <w:r>
              <w:rPr>
                <w:rFonts w:hint="eastAsia"/>
                <w:color w:val="auto"/>
                <w:sz w:val="24"/>
              </w:rPr>
              <w:t>t/a，其浓度约为28g/L。由二氧化氯发生器厂家定期回收处理。</w:t>
            </w:r>
          </w:p>
          <w:p>
            <w:pPr>
              <w:spacing w:line="360" w:lineRule="auto"/>
              <w:ind w:firstLine="480" w:firstLineChars="200"/>
              <w:rPr>
                <w:color w:val="auto"/>
                <w:sz w:val="24"/>
              </w:rPr>
            </w:pPr>
            <w:r>
              <w:rPr>
                <w:color w:val="auto"/>
                <w:sz w:val="24"/>
              </w:rPr>
              <w:t>本项目固体废物产生及去向情况详见表</w:t>
            </w:r>
            <w:r>
              <w:rPr>
                <w:rFonts w:hint="eastAsia"/>
                <w:color w:val="auto"/>
                <w:sz w:val="24"/>
                <w:lang w:val="en-US" w:eastAsia="zh-CN"/>
              </w:rPr>
              <w:t>35</w:t>
            </w:r>
            <w:r>
              <w:rPr>
                <w:color w:val="auto"/>
                <w:sz w:val="24"/>
              </w:rPr>
              <w:t>：</w:t>
            </w:r>
          </w:p>
          <w:p>
            <w:pPr>
              <w:jc w:val="center"/>
              <w:rPr>
                <w:b/>
                <w:color w:val="auto"/>
                <w:sz w:val="24"/>
              </w:rPr>
            </w:pPr>
            <w:r>
              <w:rPr>
                <w:b/>
                <w:color w:val="auto"/>
                <w:sz w:val="24"/>
              </w:rPr>
              <w:t>表3</w:t>
            </w:r>
            <w:r>
              <w:rPr>
                <w:rFonts w:hint="eastAsia"/>
                <w:b/>
                <w:color w:val="auto"/>
                <w:sz w:val="24"/>
                <w:lang w:val="en-US" w:eastAsia="zh-CN"/>
              </w:rPr>
              <w:t>5</w:t>
            </w:r>
            <w:r>
              <w:rPr>
                <w:rFonts w:hint="eastAsia"/>
                <w:b/>
                <w:color w:val="auto"/>
                <w:sz w:val="24"/>
              </w:rPr>
              <w:t xml:space="preserve">  </w:t>
            </w:r>
            <w:r>
              <w:rPr>
                <w:b/>
                <w:color w:val="auto"/>
                <w:sz w:val="24"/>
              </w:rPr>
              <w:t xml:space="preserve"> 项目固体废物产生及去向情况汇总表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9"/>
              <w:gridCol w:w="2091"/>
              <w:gridCol w:w="1417"/>
              <w:gridCol w:w="1323"/>
              <w:gridCol w:w="1252"/>
              <w:gridCol w:w="14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9" w:hRule="atLeast"/>
                <w:jc w:val="center"/>
              </w:trPr>
              <w:tc>
                <w:tcPr>
                  <w:tcW w:w="719" w:type="dxa"/>
                  <w:vAlign w:val="center"/>
                </w:tcPr>
                <w:p>
                  <w:pPr>
                    <w:spacing w:line="240" w:lineRule="atLeast"/>
                    <w:jc w:val="center"/>
                    <w:rPr>
                      <w:color w:val="auto"/>
                      <w:sz w:val="21"/>
                      <w:szCs w:val="21"/>
                    </w:rPr>
                  </w:pPr>
                  <w:r>
                    <w:rPr>
                      <w:color w:val="auto"/>
                      <w:sz w:val="21"/>
                      <w:szCs w:val="21"/>
                    </w:rPr>
                    <w:t>序号</w:t>
                  </w:r>
                </w:p>
              </w:tc>
              <w:tc>
                <w:tcPr>
                  <w:tcW w:w="2091" w:type="dxa"/>
                  <w:vAlign w:val="center"/>
                </w:tcPr>
                <w:p>
                  <w:pPr>
                    <w:spacing w:line="240" w:lineRule="atLeast"/>
                    <w:jc w:val="center"/>
                    <w:rPr>
                      <w:color w:val="auto"/>
                      <w:sz w:val="21"/>
                      <w:szCs w:val="21"/>
                    </w:rPr>
                  </w:pPr>
                  <w:r>
                    <w:rPr>
                      <w:color w:val="auto"/>
                      <w:sz w:val="21"/>
                      <w:szCs w:val="21"/>
                    </w:rPr>
                    <w:t>产生源</w:t>
                  </w:r>
                </w:p>
              </w:tc>
              <w:tc>
                <w:tcPr>
                  <w:tcW w:w="1417" w:type="dxa"/>
                  <w:vAlign w:val="center"/>
                </w:tcPr>
                <w:p>
                  <w:pPr>
                    <w:spacing w:line="240" w:lineRule="atLeast"/>
                    <w:jc w:val="center"/>
                    <w:rPr>
                      <w:color w:val="auto"/>
                      <w:sz w:val="21"/>
                      <w:szCs w:val="21"/>
                    </w:rPr>
                  </w:pPr>
                  <w:r>
                    <w:rPr>
                      <w:color w:val="auto"/>
                      <w:sz w:val="21"/>
                      <w:szCs w:val="21"/>
                    </w:rPr>
                    <w:t>固废名称</w:t>
                  </w:r>
                </w:p>
              </w:tc>
              <w:tc>
                <w:tcPr>
                  <w:tcW w:w="1323" w:type="dxa"/>
                  <w:vAlign w:val="center"/>
                </w:tcPr>
                <w:p>
                  <w:pPr>
                    <w:spacing w:line="240" w:lineRule="atLeast"/>
                    <w:jc w:val="center"/>
                    <w:rPr>
                      <w:color w:val="auto"/>
                      <w:sz w:val="21"/>
                      <w:szCs w:val="21"/>
                    </w:rPr>
                  </w:pPr>
                  <w:r>
                    <w:rPr>
                      <w:color w:val="auto"/>
                      <w:sz w:val="21"/>
                      <w:szCs w:val="21"/>
                    </w:rPr>
                    <w:t>产生量（t/a）</w:t>
                  </w:r>
                </w:p>
              </w:tc>
              <w:tc>
                <w:tcPr>
                  <w:tcW w:w="1252" w:type="dxa"/>
                  <w:vAlign w:val="center"/>
                </w:tcPr>
                <w:p>
                  <w:pPr>
                    <w:spacing w:line="240" w:lineRule="atLeast"/>
                    <w:jc w:val="center"/>
                    <w:rPr>
                      <w:color w:val="auto"/>
                      <w:sz w:val="21"/>
                      <w:szCs w:val="21"/>
                    </w:rPr>
                  </w:pPr>
                  <w:r>
                    <w:rPr>
                      <w:color w:val="auto"/>
                      <w:sz w:val="21"/>
                      <w:szCs w:val="21"/>
                    </w:rPr>
                    <w:t>类别</w:t>
                  </w:r>
                </w:p>
              </w:tc>
              <w:tc>
                <w:tcPr>
                  <w:tcW w:w="1480" w:type="dxa"/>
                  <w:vAlign w:val="center"/>
                </w:tcPr>
                <w:p>
                  <w:pPr>
                    <w:spacing w:line="240" w:lineRule="atLeast"/>
                    <w:jc w:val="center"/>
                    <w:rPr>
                      <w:color w:val="auto"/>
                      <w:sz w:val="21"/>
                      <w:szCs w:val="21"/>
                    </w:rPr>
                  </w:pPr>
                  <w:r>
                    <w:rPr>
                      <w:color w:val="auto"/>
                      <w:sz w:val="21"/>
                      <w:szCs w:val="21"/>
                    </w:rPr>
                    <w:t>去向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8" w:hRule="atLeast"/>
                <w:jc w:val="center"/>
              </w:trPr>
              <w:tc>
                <w:tcPr>
                  <w:tcW w:w="719" w:type="dxa"/>
                  <w:shd w:val="clear" w:color="auto" w:fill="auto"/>
                  <w:vAlign w:val="center"/>
                </w:tcPr>
                <w:p>
                  <w:pPr>
                    <w:spacing w:line="240" w:lineRule="atLeast"/>
                    <w:jc w:val="center"/>
                    <w:rPr>
                      <w:color w:val="auto"/>
                      <w:sz w:val="21"/>
                      <w:szCs w:val="21"/>
                    </w:rPr>
                  </w:pPr>
                  <w:r>
                    <w:rPr>
                      <w:color w:val="auto"/>
                      <w:sz w:val="21"/>
                      <w:szCs w:val="21"/>
                    </w:rPr>
                    <w:t>1</w:t>
                  </w:r>
                </w:p>
              </w:tc>
              <w:tc>
                <w:tcPr>
                  <w:tcW w:w="2091" w:type="dxa"/>
                  <w:shd w:val="clear" w:color="auto" w:fill="auto"/>
                  <w:vAlign w:val="center"/>
                </w:tcPr>
                <w:p>
                  <w:pPr>
                    <w:spacing w:line="240" w:lineRule="atLeast"/>
                    <w:jc w:val="center"/>
                    <w:rPr>
                      <w:color w:val="auto"/>
                      <w:sz w:val="21"/>
                      <w:szCs w:val="21"/>
                    </w:rPr>
                  </w:pPr>
                  <w:r>
                    <w:rPr>
                      <w:color w:val="auto"/>
                      <w:sz w:val="21"/>
                      <w:szCs w:val="21"/>
                    </w:rPr>
                    <w:t>员工日常生活</w:t>
                  </w:r>
                </w:p>
              </w:tc>
              <w:tc>
                <w:tcPr>
                  <w:tcW w:w="1417" w:type="dxa"/>
                  <w:shd w:val="clear" w:color="auto" w:fill="auto"/>
                  <w:vAlign w:val="center"/>
                </w:tcPr>
                <w:p>
                  <w:pPr>
                    <w:spacing w:line="240" w:lineRule="atLeast"/>
                    <w:jc w:val="center"/>
                    <w:rPr>
                      <w:color w:val="auto"/>
                      <w:sz w:val="21"/>
                      <w:szCs w:val="21"/>
                    </w:rPr>
                  </w:pPr>
                  <w:r>
                    <w:rPr>
                      <w:color w:val="auto"/>
                      <w:sz w:val="21"/>
                      <w:szCs w:val="21"/>
                    </w:rPr>
                    <w:t>生活垃圾</w:t>
                  </w:r>
                </w:p>
              </w:tc>
              <w:tc>
                <w:tcPr>
                  <w:tcW w:w="1323" w:type="dxa"/>
                  <w:shd w:val="clear" w:color="auto" w:fill="auto"/>
                  <w:vAlign w:val="center"/>
                </w:tcPr>
                <w:p>
                  <w:pPr>
                    <w:spacing w:line="240" w:lineRule="atLeast"/>
                    <w:jc w:val="center"/>
                    <w:rPr>
                      <w:rFonts w:hint="eastAsia" w:eastAsia="宋体"/>
                      <w:color w:val="auto"/>
                      <w:sz w:val="21"/>
                      <w:szCs w:val="21"/>
                      <w:lang w:eastAsia="zh-CN"/>
                    </w:rPr>
                  </w:pPr>
                  <w:r>
                    <w:rPr>
                      <w:rFonts w:hint="eastAsia"/>
                      <w:color w:val="auto"/>
                      <w:sz w:val="21"/>
                      <w:szCs w:val="21"/>
                      <w:lang w:val="en-US" w:eastAsia="zh-CN"/>
                    </w:rPr>
                    <w:t>20</w:t>
                  </w:r>
                </w:p>
              </w:tc>
              <w:tc>
                <w:tcPr>
                  <w:tcW w:w="1252" w:type="dxa"/>
                  <w:shd w:val="clear" w:color="auto" w:fill="auto"/>
                  <w:vAlign w:val="center"/>
                </w:tcPr>
                <w:p>
                  <w:pPr>
                    <w:spacing w:line="240" w:lineRule="atLeast"/>
                    <w:jc w:val="center"/>
                    <w:rPr>
                      <w:color w:val="auto"/>
                      <w:sz w:val="21"/>
                      <w:szCs w:val="21"/>
                    </w:rPr>
                  </w:pPr>
                  <w:r>
                    <w:rPr>
                      <w:color w:val="auto"/>
                      <w:sz w:val="21"/>
                      <w:szCs w:val="21"/>
                    </w:rPr>
                    <w:t>生活垃圾</w:t>
                  </w:r>
                </w:p>
              </w:tc>
              <w:tc>
                <w:tcPr>
                  <w:tcW w:w="1480" w:type="dxa"/>
                  <w:vAlign w:val="center"/>
                </w:tcPr>
                <w:p>
                  <w:pPr>
                    <w:spacing w:line="240" w:lineRule="atLeast"/>
                    <w:jc w:val="center"/>
                    <w:rPr>
                      <w:color w:val="auto"/>
                      <w:sz w:val="21"/>
                      <w:szCs w:val="21"/>
                    </w:rPr>
                  </w:pPr>
                  <w:r>
                    <w:rPr>
                      <w:color w:val="auto"/>
                      <w:sz w:val="21"/>
                      <w:szCs w:val="21"/>
                    </w:rPr>
                    <w:t>环卫部门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6" w:hRule="atLeast"/>
                <w:jc w:val="center"/>
              </w:trPr>
              <w:tc>
                <w:tcPr>
                  <w:tcW w:w="719"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2</w:t>
                  </w:r>
                </w:p>
              </w:tc>
              <w:tc>
                <w:tcPr>
                  <w:tcW w:w="2091" w:type="dxa"/>
                  <w:shd w:val="clear" w:color="auto" w:fill="auto"/>
                  <w:vAlign w:val="center"/>
                </w:tcPr>
                <w:p>
                  <w:pPr>
                    <w:spacing w:line="240" w:lineRule="atLeast"/>
                    <w:jc w:val="center"/>
                    <w:rPr>
                      <w:color w:val="auto"/>
                      <w:sz w:val="21"/>
                      <w:szCs w:val="21"/>
                    </w:rPr>
                  </w:pPr>
                  <w:r>
                    <w:rPr>
                      <w:rFonts w:hint="eastAsia"/>
                      <w:color w:val="auto"/>
                      <w:sz w:val="21"/>
                      <w:szCs w:val="21"/>
                    </w:rPr>
                    <w:t>污泥浓缩脱水</w:t>
                  </w:r>
                </w:p>
              </w:tc>
              <w:tc>
                <w:tcPr>
                  <w:tcW w:w="1417"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干化污泥</w:t>
                  </w:r>
                </w:p>
              </w:tc>
              <w:tc>
                <w:tcPr>
                  <w:tcW w:w="1323" w:type="dxa"/>
                  <w:shd w:val="clear" w:color="auto" w:fill="auto"/>
                  <w:vAlign w:val="center"/>
                </w:tcPr>
                <w:p>
                  <w:pPr>
                    <w:spacing w:line="240" w:lineRule="atLeast"/>
                    <w:jc w:val="center"/>
                    <w:rPr>
                      <w:rFonts w:hint="eastAsia" w:eastAsia="宋体"/>
                      <w:color w:val="auto"/>
                      <w:sz w:val="21"/>
                      <w:szCs w:val="21"/>
                      <w:lang w:eastAsia="zh-CN"/>
                    </w:rPr>
                  </w:pPr>
                  <w:r>
                    <w:rPr>
                      <w:rFonts w:hint="eastAsia"/>
                      <w:color w:val="auto"/>
                      <w:sz w:val="21"/>
                      <w:szCs w:val="21"/>
                      <w:lang w:val="en-US" w:eastAsia="zh-CN"/>
                    </w:rPr>
                    <w:t>5110</w:t>
                  </w:r>
                </w:p>
              </w:tc>
              <w:tc>
                <w:tcPr>
                  <w:tcW w:w="1252" w:type="dxa"/>
                  <w:shd w:val="clear" w:color="auto" w:fill="auto"/>
                  <w:vAlign w:val="center"/>
                </w:tcPr>
                <w:p>
                  <w:pPr>
                    <w:spacing w:line="240" w:lineRule="atLeast"/>
                    <w:jc w:val="center"/>
                    <w:rPr>
                      <w:color w:val="auto"/>
                      <w:sz w:val="21"/>
                      <w:szCs w:val="21"/>
                    </w:rPr>
                  </w:pPr>
                  <w:r>
                    <w:rPr>
                      <w:color w:val="auto"/>
                      <w:sz w:val="21"/>
                      <w:szCs w:val="21"/>
                    </w:rPr>
                    <w:t>危险废物HW49</w:t>
                  </w:r>
                </w:p>
              </w:tc>
              <w:tc>
                <w:tcPr>
                  <w:tcW w:w="1480"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送垃圾填埋场安全填埋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8" w:hRule="atLeast"/>
                <w:jc w:val="center"/>
              </w:trPr>
              <w:tc>
                <w:tcPr>
                  <w:tcW w:w="719"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3</w:t>
                  </w:r>
                </w:p>
              </w:tc>
              <w:tc>
                <w:tcPr>
                  <w:tcW w:w="2091" w:type="dxa"/>
                  <w:shd w:val="clear" w:color="auto" w:fill="auto"/>
                  <w:vAlign w:val="center"/>
                </w:tcPr>
                <w:p>
                  <w:pPr>
                    <w:spacing w:line="240" w:lineRule="atLeast"/>
                    <w:jc w:val="center"/>
                    <w:rPr>
                      <w:color w:val="auto"/>
                      <w:sz w:val="21"/>
                      <w:szCs w:val="21"/>
                    </w:rPr>
                  </w:pPr>
                  <w:r>
                    <w:rPr>
                      <w:rFonts w:hint="eastAsia"/>
                      <w:color w:val="auto"/>
                      <w:sz w:val="21"/>
                      <w:szCs w:val="21"/>
                    </w:rPr>
                    <w:t>水质检查</w:t>
                  </w:r>
                </w:p>
              </w:tc>
              <w:tc>
                <w:tcPr>
                  <w:tcW w:w="1417" w:type="dxa"/>
                  <w:shd w:val="clear" w:color="auto" w:fill="auto"/>
                  <w:vAlign w:val="center"/>
                </w:tcPr>
                <w:p>
                  <w:pPr>
                    <w:jc w:val="center"/>
                    <w:rPr>
                      <w:rFonts w:hint="eastAsia"/>
                      <w:color w:val="auto"/>
                      <w:sz w:val="21"/>
                      <w:szCs w:val="21"/>
                    </w:rPr>
                  </w:pPr>
                  <w:r>
                    <w:rPr>
                      <w:rFonts w:hint="eastAsia"/>
                      <w:color w:val="auto"/>
                      <w:sz w:val="21"/>
                      <w:szCs w:val="21"/>
                    </w:rPr>
                    <w:t>检验室废液</w:t>
                  </w:r>
                </w:p>
              </w:tc>
              <w:tc>
                <w:tcPr>
                  <w:tcW w:w="1323" w:type="dxa"/>
                  <w:shd w:val="clear" w:color="auto" w:fill="auto"/>
                  <w:vAlign w:val="center"/>
                </w:tcPr>
                <w:p>
                  <w:pPr>
                    <w:spacing w:line="240" w:lineRule="atLeast"/>
                    <w:jc w:val="center"/>
                    <w:rPr>
                      <w:rFonts w:hint="eastAsia" w:eastAsia="宋体"/>
                      <w:color w:val="auto"/>
                      <w:sz w:val="21"/>
                      <w:szCs w:val="21"/>
                      <w:lang w:eastAsia="zh-CN"/>
                    </w:rPr>
                  </w:pPr>
                  <w:r>
                    <w:rPr>
                      <w:rFonts w:hint="eastAsia"/>
                      <w:color w:val="auto"/>
                      <w:sz w:val="21"/>
                      <w:szCs w:val="21"/>
                      <w:lang w:val="en-US" w:eastAsia="zh-CN"/>
                    </w:rPr>
                    <w:t>7.3</w:t>
                  </w:r>
                </w:p>
              </w:tc>
              <w:tc>
                <w:tcPr>
                  <w:tcW w:w="1252" w:type="dxa"/>
                  <w:shd w:val="clear" w:color="auto" w:fill="auto"/>
                  <w:vAlign w:val="center"/>
                </w:tcPr>
                <w:p>
                  <w:pPr>
                    <w:spacing w:line="240" w:lineRule="atLeast"/>
                    <w:jc w:val="center"/>
                    <w:rPr>
                      <w:rFonts w:hint="eastAsia"/>
                      <w:color w:val="auto"/>
                      <w:sz w:val="21"/>
                      <w:szCs w:val="21"/>
                    </w:rPr>
                  </w:pPr>
                  <w:r>
                    <w:rPr>
                      <w:color w:val="auto"/>
                      <w:sz w:val="21"/>
                      <w:szCs w:val="21"/>
                    </w:rPr>
                    <w:t>危险废物HW</w:t>
                  </w:r>
                  <w:r>
                    <w:rPr>
                      <w:rFonts w:hint="eastAsia"/>
                      <w:color w:val="auto"/>
                      <w:sz w:val="21"/>
                      <w:szCs w:val="21"/>
                    </w:rPr>
                    <w:t>34、35</w:t>
                  </w:r>
                </w:p>
              </w:tc>
              <w:tc>
                <w:tcPr>
                  <w:tcW w:w="1480" w:type="dxa"/>
                  <w:shd w:val="clear" w:color="auto" w:fill="auto"/>
                  <w:vAlign w:val="center"/>
                </w:tcPr>
                <w:p>
                  <w:pPr>
                    <w:spacing w:line="240" w:lineRule="atLeast"/>
                    <w:jc w:val="center"/>
                    <w:rPr>
                      <w:rFonts w:hint="eastAsia"/>
                      <w:color w:val="auto"/>
                      <w:sz w:val="21"/>
                      <w:szCs w:val="21"/>
                    </w:rPr>
                  </w:pPr>
                  <w:r>
                    <w:rPr>
                      <w:color w:val="auto"/>
                      <w:sz w:val="21"/>
                      <w:szCs w:val="21"/>
                    </w:rPr>
                    <w:t>有资质的单位</w:t>
                  </w:r>
                  <w:r>
                    <w:rPr>
                      <w:rFonts w:hint="eastAsia"/>
                      <w:color w:val="auto"/>
                      <w:sz w:val="21"/>
                      <w:szCs w:val="21"/>
                    </w:rPr>
                    <w:t>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98" w:hRule="atLeast"/>
                <w:jc w:val="center"/>
              </w:trPr>
              <w:tc>
                <w:tcPr>
                  <w:tcW w:w="719"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4</w:t>
                  </w:r>
                </w:p>
              </w:tc>
              <w:tc>
                <w:tcPr>
                  <w:tcW w:w="2091"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水质检查</w:t>
                  </w:r>
                </w:p>
              </w:tc>
              <w:tc>
                <w:tcPr>
                  <w:tcW w:w="1417" w:type="dxa"/>
                  <w:shd w:val="clear" w:color="auto" w:fill="auto"/>
                  <w:vAlign w:val="center"/>
                </w:tcPr>
                <w:p>
                  <w:pPr>
                    <w:spacing w:line="240" w:lineRule="atLeast"/>
                    <w:jc w:val="center"/>
                    <w:rPr>
                      <w:color w:val="auto"/>
                      <w:sz w:val="21"/>
                      <w:szCs w:val="21"/>
                    </w:rPr>
                  </w:pPr>
                  <w:r>
                    <w:rPr>
                      <w:rFonts w:hint="eastAsia"/>
                      <w:color w:val="auto"/>
                      <w:sz w:val="21"/>
                      <w:szCs w:val="21"/>
                    </w:rPr>
                    <w:t>废弃试剂、药品</w:t>
                  </w:r>
                </w:p>
              </w:tc>
              <w:tc>
                <w:tcPr>
                  <w:tcW w:w="1323" w:type="dxa"/>
                  <w:shd w:val="clear" w:color="auto" w:fill="auto"/>
                  <w:vAlign w:val="center"/>
                </w:tcPr>
                <w:p>
                  <w:pPr>
                    <w:spacing w:line="240" w:lineRule="atLeast"/>
                    <w:jc w:val="center"/>
                    <w:rPr>
                      <w:rFonts w:hint="eastAsia" w:eastAsia="宋体"/>
                      <w:color w:val="auto"/>
                      <w:sz w:val="21"/>
                      <w:szCs w:val="21"/>
                      <w:lang w:eastAsia="zh-CN"/>
                    </w:rPr>
                  </w:pPr>
                  <w:r>
                    <w:rPr>
                      <w:rFonts w:hint="eastAsia"/>
                      <w:color w:val="auto"/>
                      <w:sz w:val="21"/>
                      <w:szCs w:val="21"/>
                      <w:lang w:val="en-US" w:eastAsia="zh-CN"/>
                    </w:rPr>
                    <w:t>0.2</w:t>
                  </w:r>
                </w:p>
              </w:tc>
              <w:tc>
                <w:tcPr>
                  <w:tcW w:w="1252" w:type="dxa"/>
                  <w:shd w:val="clear" w:color="auto" w:fill="auto"/>
                  <w:vAlign w:val="center"/>
                </w:tcPr>
                <w:p>
                  <w:pPr>
                    <w:spacing w:line="240" w:lineRule="atLeast"/>
                    <w:jc w:val="center"/>
                    <w:rPr>
                      <w:color w:val="auto"/>
                      <w:sz w:val="21"/>
                      <w:szCs w:val="21"/>
                    </w:rPr>
                  </w:pPr>
                  <w:r>
                    <w:rPr>
                      <w:color w:val="auto"/>
                      <w:sz w:val="21"/>
                      <w:szCs w:val="21"/>
                    </w:rPr>
                    <w:t>危险废物HW</w:t>
                  </w:r>
                  <w:r>
                    <w:rPr>
                      <w:rFonts w:hint="eastAsia"/>
                      <w:color w:val="auto"/>
                      <w:sz w:val="21"/>
                      <w:szCs w:val="21"/>
                    </w:rPr>
                    <w:t>49</w:t>
                  </w:r>
                </w:p>
              </w:tc>
              <w:tc>
                <w:tcPr>
                  <w:tcW w:w="1480" w:type="dxa"/>
                  <w:shd w:val="clear" w:color="auto" w:fill="auto"/>
                  <w:vAlign w:val="center"/>
                </w:tcPr>
                <w:p>
                  <w:pPr>
                    <w:spacing w:line="240" w:lineRule="atLeast"/>
                    <w:jc w:val="center"/>
                    <w:rPr>
                      <w:color w:val="auto"/>
                      <w:sz w:val="21"/>
                      <w:szCs w:val="21"/>
                    </w:rPr>
                  </w:pPr>
                  <w:r>
                    <w:rPr>
                      <w:color w:val="auto"/>
                      <w:sz w:val="21"/>
                      <w:szCs w:val="21"/>
                    </w:rPr>
                    <w:t>有资质的单位</w:t>
                  </w:r>
                  <w:r>
                    <w:rPr>
                      <w:rFonts w:hint="eastAsia"/>
                      <w:color w:val="auto"/>
                      <w:sz w:val="21"/>
                      <w:szCs w:val="21"/>
                    </w:rPr>
                    <w:t>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90" w:hRule="atLeast"/>
                <w:jc w:val="center"/>
              </w:trPr>
              <w:tc>
                <w:tcPr>
                  <w:tcW w:w="719" w:type="dxa"/>
                  <w:shd w:val="clear" w:color="auto" w:fill="auto"/>
                  <w:vAlign w:val="center"/>
                </w:tcPr>
                <w:p>
                  <w:pPr>
                    <w:spacing w:line="240" w:lineRule="atLeast"/>
                    <w:jc w:val="center"/>
                    <w:rPr>
                      <w:rFonts w:hint="eastAsia"/>
                      <w:color w:val="auto"/>
                      <w:sz w:val="21"/>
                      <w:szCs w:val="21"/>
                    </w:rPr>
                  </w:pPr>
                  <w:r>
                    <w:rPr>
                      <w:rFonts w:hint="eastAsia"/>
                      <w:color w:val="auto"/>
                      <w:sz w:val="21"/>
                      <w:szCs w:val="21"/>
                    </w:rPr>
                    <w:t>5</w:t>
                  </w:r>
                </w:p>
              </w:tc>
              <w:tc>
                <w:tcPr>
                  <w:tcW w:w="2091" w:type="dxa"/>
                  <w:shd w:val="clear" w:color="auto" w:fill="auto"/>
                  <w:vAlign w:val="center"/>
                </w:tcPr>
                <w:p>
                  <w:pPr>
                    <w:spacing w:line="240" w:lineRule="atLeast"/>
                    <w:jc w:val="center"/>
                    <w:rPr>
                      <w:color w:val="auto"/>
                      <w:sz w:val="21"/>
                      <w:szCs w:val="21"/>
                    </w:rPr>
                  </w:pPr>
                  <w:r>
                    <w:rPr>
                      <w:rFonts w:hint="eastAsia"/>
                      <w:color w:val="auto"/>
                      <w:sz w:val="21"/>
                      <w:szCs w:val="21"/>
                    </w:rPr>
                    <w:t>消毒</w:t>
                  </w:r>
                </w:p>
              </w:tc>
              <w:tc>
                <w:tcPr>
                  <w:tcW w:w="1417" w:type="dxa"/>
                  <w:shd w:val="clear" w:color="auto" w:fill="auto"/>
                  <w:vAlign w:val="center"/>
                </w:tcPr>
                <w:p>
                  <w:pPr>
                    <w:spacing w:line="240" w:lineRule="atLeast"/>
                    <w:jc w:val="center"/>
                    <w:rPr>
                      <w:color w:val="auto"/>
                      <w:sz w:val="21"/>
                      <w:szCs w:val="21"/>
                    </w:rPr>
                  </w:pPr>
                  <w:r>
                    <w:rPr>
                      <w:rFonts w:hint="eastAsia"/>
                      <w:color w:val="auto"/>
                      <w:sz w:val="21"/>
                      <w:szCs w:val="21"/>
                    </w:rPr>
                    <w:t>消毒残液</w:t>
                  </w:r>
                </w:p>
              </w:tc>
              <w:tc>
                <w:tcPr>
                  <w:tcW w:w="1323" w:type="dxa"/>
                  <w:shd w:val="clear" w:color="auto" w:fill="auto"/>
                  <w:vAlign w:val="center"/>
                </w:tcPr>
                <w:p>
                  <w:pPr>
                    <w:spacing w:line="240" w:lineRule="atLeast"/>
                    <w:jc w:val="center"/>
                    <w:rPr>
                      <w:rFonts w:hint="eastAsia" w:eastAsia="宋体"/>
                      <w:color w:val="auto"/>
                      <w:sz w:val="21"/>
                      <w:szCs w:val="21"/>
                      <w:lang w:eastAsia="zh-CN"/>
                    </w:rPr>
                  </w:pPr>
                  <w:r>
                    <w:rPr>
                      <w:rFonts w:hint="eastAsia"/>
                      <w:color w:val="auto"/>
                      <w:sz w:val="21"/>
                      <w:szCs w:val="21"/>
                      <w:lang w:val="en-US" w:eastAsia="zh-CN"/>
                    </w:rPr>
                    <w:t>33.6</w:t>
                  </w:r>
                </w:p>
              </w:tc>
              <w:tc>
                <w:tcPr>
                  <w:tcW w:w="1252" w:type="dxa"/>
                  <w:shd w:val="clear" w:color="auto" w:fill="auto"/>
                  <w:vAlign w:val="center"/>
                </w:tcPr>
                <w:p>
                  <w:pPr>
                    <w:spacing w:line="240" w:lineRule="atLeast"/>
                    <w:jc w:val="center"/>
                    <w:rPr>
                      <w:rFonts w:hint="eastAsia"/>
                      <w:color w:val="auto"/>
                      <w:sz w:val="21"/>
                      <w:szCs w:val="21"/>
                    </w:rPr>
                  </w:pPr>
                  <w:r>
                    <w:rPr>
                      <w:color w:val="auto"/>
                      <w:sz w:val="21"/>
                      <w:szCs w:val="21"/>
                    </w:rPr>
                    <w:t>危险废物HW</w:t>
                  </w:r>
                  <w:r>
                    <w:rPr>
                      <w:rFonts w:hint="eastAsia"/>
                      <w:color w:val="auto"/>
                      <w:sz w:val="21"/>
                      <w:szCs w:val="21"/>
                    </w:rPr>
                    <w:t>34</w:t>
                  </w:r>
                </w:p>
              </w:tc>
              <w:tc>
                <w:tcPr>
                  <w:tcW w:w="1480" w:type="dxa"/>
                  <w:shd w:val="clear" w:color="auto" w:fill="auto"/>
                  <w:vAlign w:val="center"/>
                </w:tcPr>
                <w:p>
                  <w:pPr>
                    <w:spacing w:line="240" w:lineRule="atLeast"/>
                    <w:jc w:val="center"/>
                    <w:rPr>
                      <w:color w:val="auto"/>
                      <w:sz w:val="21"/>
                      <w:szCs w:val="21"/>
                    </w:rPr>
                  </w:pPr>
                  <w:r>
                    <w:rPr>
                      <w:rFonts w:hint="eastAsia"/>
                      <w:color w:val="auto"/>
                      <w:sz w:val="21"/>
                      <w:szCs w:val="21"/>
                    </w:rPr>
                    <w:t>厂家定期回收处理</w:t>
                  </w:r>
                </w:p>
              </w:tc>
            </w:tr>
          </w:tbl>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p>
            <w:pPr>
              <w:spacing w:line="360" w:lineRule="auto"/>
              <w:ind w:firstLine="480" w:firstLineChars="200"/>
              <w:rPr>
                <w:rFonts w:hint="eastAsia"/>
                <w:color w:val="auto"/>
                <w:sz w:val="24"/>
              </w:rPr>
            </w:pPr>
          </w:p>
        </w:tc>
      </w:tr>
    </w:tbl>
    <w:p>
      <w:pPr>
        <w:spacing w:line="360" w:lineRule="auto"/>
        <w:outlineLvl w:val="0"/>
        <w:rPr>
          <w:b/>
          <w:bCs/>
          <w:color w:val="auto"/>
          <w:sz w:val="28"/>
        </w:rPr>
      </w:pPr>
      <w:r>
        <w:rPr>
          <w:b/>
          <w:bCs/>
          <w:color w:val="auto"/>
          <w:sz w:val="28"/>
        </w:rPr>
        <w:br w:type="page"/>
      </w:r>
      <w:r>
        <w:rPr>
          <w:b/>
          <w:bCs/>
          <w:color w:val="auto"/>
          <w:sz w:val="28"/>
        </w:rPr>
        <w:t>项目主要污染物产生及预计排放情况</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079"/>
        <w:gridCol w:w="1457"/>
        <w:gridCol w:w="2322"/>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tcBorders>
              <w:top w:val="single" w:color="auto" w:sz="12" w:space="0"/>
              <w:left w:val="single" w:color="auto" w:sz="12" w:space="0"/>
              <w:right w:val="single" w:color="auto" w:sz="4" w:space="0"/>
              <w:tl2br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 xml:space="preserve">      内容</w:t>
            </w:r>
          </w:p>
          <w:p>
            <w:pPr>
              <w:spacing w:line="240" w:lineRule="atLeast"/>
              <w:jc w:val="center"/>
              <w:rPr>
                <w:rFonts w:hint="eastAsia"/>
                <w:color w:val="auto"/>
                <w:sz w:val="21"/>
                <w:szCs w:val="21"/>
              </w:rPr>
            </w:pPr>
            <w:r>
              <w:rPr>
                <w:rFonts w:hint="eastAsia"/>
                <w:color w:val="auto"/>
                <w:sz w:val="21"/>
                <w:szCs w:val="21"/>
              </w:rPr>
              <w:t>类型</w:t>
            </w:r>
          </w:p>
        </w:tc>
        <w:tc>
          <w:tcPr>
            <w:tcW w:w="1079" w:type="dxa"/>
            <w:tcBorders>
              <w:top w:val="single" w:color="auto" w:sz="12" w:space="0"/>
              <w:left w:val="single" w:color="auto" w:sz="4"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排放源</w:t>
            </w:r>
          </w:p>
          <w:p>
            <w:pPr>
              <w:spacing w:line="240" w:lineRule="atLeast"/>
              <w:jc w:val="center"/>
              <w:rPr>
                <w:rFonts w:hint="eastAsia"/>
                <w:color w:val="auto"/>
                <w:sz w:val="21"/>
                <w:szCs w:val="21"/>
              </w:rPr>
            </w:pPr>
            <w:r>
              <w:rPr>
                <w:rFonts w:hint="eastAsia"/>
                <w:color w:val="auto"/>
                <w:sz w:val="21"/>
                <w:szCs w:val="21"/>
              </w:rPr>
              <w:t>（编号）</w:t>
            </w:r>
          </w:p>
        </w:tc>
        <w:tc>
          <w:tcPr>
            <w:tcW w:w="1457" w:type="dxa"/>
            <w:tcBorders>
              <w:top w:val="single" w:color="auto" w:sz="12" w:space="0"/>
              <w:left w:val="single" w:color="auto" w:sz="4"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污染物</w:t>
            </w:r>
          </w:p>
          <w:p>
            <w:pPr>
              <w:spacing w:line="240" w:lineRule="atLeast"/>
              <w:jc w:val="center"/>
              <w:rPr>
                <w:rFonts w:hint="eastAsia"/>
                <w:color w:val="auto"/>
                <w:sz w:val="21"/>
                <w:szCs w:val="21"/>
              </w:rPr>
            </w:pPr>
            <w:r>
              <w:rPr>
                <w:rFonts w:hint="eastAsia"/>
                <w:color w:val="auto"/>
                <w:sz w:val="21"/>
                <w:szCs w:val="21"/>
              </w:rPr>
              <w:t>名称</w:t>
            </w:r>
          </w:p>
        </w:tc>
        <w:tc>
          <w:tcPr>
            <w:tcW w:w="2322" w:type="dxa"/>
            <w:tcBorders>
              <w:top w:val="single" w:color="auto" w:sz="12" w:space="0"/>
              <w:left w:val="single" w:color="auto" w:sz="4"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处理前产生浓度</w:t>
            </w:r>
          </w:p>
          <w:p>
            <w:pPr>
              <w:spacing w:line="240" w:lineRule="atLeast"/>
              <w:jc w:val="center"/>
              <w:rPr>
                <w:rFonts w:hint="eastAsia"/>
                <w:color w:val="auto"/>
                <w:sz w:val="21"/>
                <w:szCs w:val="21"/>
              </w:rPr>
            </w:pPr>
            <w:r>
              <w:rPr>
                <w:rFonts w:hint="eastAsia"/>
                <w:color w:val="auto"/>
                <w:sz w:val="21"/>
                <w:szCs w:val="21"/>
              </w:rPr>
              <w:t>及产生量</w:t>
            </w:r>
          </w:p>
        </w:tc>
        <w:tc>
          <w:tcPr>
            <w:tcW w:w="2325" w:type="dxa"/>
            <w:tcBorders>
              <w:top w:val="single" w:color="auto" w:sz="12" w:space="0"/>
              <w:left w:val="single" w:color="auto" w:sz="4" w:space="0"/>
              <w:right w:val="single" w:color="auto" w:sz="12" w:space="0"/>
            </w:tcBorders>
            <w:vAlign w:val="center"/>
          </w:tcPr>
          <w:p>
            <w:pPr>
              <w:spacing w:line="240" w:lineRule="atLeast"/>
              <w:jc w:val="center"/>
              <w:rPr>
                <w:rFonts w:hint="eastAsia"/>
                <w:color w:val="auto"/>
                <w:sz w:val="21"/>
                <w:szCs w:val="21"/>
              </w:rPr>
            </w:pPr>
            <w:r>
              <w:rPr>
                <w:rFonts w:hint="eastAsia"/>
                <w:color w:val="auto"/>
                <w:sz w:val="21"/>
                <w:szCs w:val="21"/>
              </w:rPr>
              <w:t>处理后排放浓度</w:t>
            </w:r>
          </w:p>
          <w:p>
            <w:pPr>
              <w:spacing w:line="240" w:lineRule="atLeast"/>
              <w:jc w:val="center"/>
              <w:rPr>
                <w:rFonts w:hint="eastAsia"/>
                <w:color w:val="auto"/>
                <w:sz w:val="21"/>
                <w:szCs w:val="21"/>
              </w:rPr>
            </w:pPr>
            <w:r>
              <w:rPr>
                <w:rFonts w:hint="eastAsia"/>
                <w:color w:val="auto"/>
                <w:sz w:val="21"/>
                <w:szCs w:val="21"/>
              </w:rPr>
              <w:t>及排放量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restart"/>
            <w:tcBorders>
              <w:left w:val="single" w:color="auto" w:sz="12"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大气污染物</w:t>
            </w:r>
          </w:p>
        </w:tc>
        <w:tc>
          <w:tcPr>
            <w:tcW w:w="1079"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加药间</w:t>
            </w:r>
          </w:p>
        </w:tc>
        <w:tc>
          <w:tcPr>
            <w:tcW w:w="1457"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盐酸雾</w:t>
            </w:r>
          </w:p>
        </w:tc>
        <w:tc>
          <w:tcPr>
            <w:tcW w:w="2322"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少量</w:t>
            </w:r>
          </w:p>
        </w:tc>
        <w:tc>
          <w:tcPr>
            <w:tcW w:w="2325" w:type="dxa"/>
            <w:tcBorders>
              <w:top w:val="single" w:color="auto" w:sz="4" w:space="0"/>
              <w:left w:val="single" w:color="auto" w:sz="4" w:space="0"/>
              <w:bottom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tcBorders>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发电机尾气kg/a</w:t>
            </w:r>
          </w:p>
        </w:tc>
        <w:tc>
          <w:tcPr>
            <w:tcW w:w="1457"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SO2</w:t>
            </w:r>
          </w:p>
          <w:p>
            <w:pPr>
              <w:spacing w:line="240" w:lineRule="atLeast"/>
              <w:jc w:val="center"/>
              <w:rPr>
                <w:rFonts w:hint="eastAsia"/>
                <w:color w:val="auto"/>
                <w:sz w:val="21"/>
                <w:szCs w:val="21"/>
              </w:rPr>
            </w:pPr>
            <w:r>
              <w:rPr>
                <w:rFonts w:hint="eastAsia"/>
                <w:color w:val="auto"/>
                <w:sz w:val="21"/>
                <w:szCs w:val="21"/>
              </w:rPr>
              <w:t>CO</w:t>
            </w:r>
          </w:p>
          <w:p>
            <w:pPr>
              <w:spacing w:line="240" w:lineRule="atLeast"/>
              <w:jc w:val="center"/>
              <w:rPr>
                <w:rFonts w:hint="eastAsia"/>
                <w:color w:val="auto"/>
                <w:sz w:val="21"/>
                <w:szCs w:val="21"/>
              </w:rPr>
            </w:pPr>
            <w:r>
              <w:rPr>
                <w:rFonts w:hint="eastAsia"/>
                <w:color w:val="auto"/>
                <w:sz w:val="21"/>
                <w:szCs w:val="21"/>
              </w:rPr>
              <w:t>烟尘</w:t>
            </w:r>
          </w:p>
          <w:p>
            <w:pPr>
              <w:spacing w:line="240" w:lineRule="atLeast"/>
              <w:jc w:val="center"/>
              <w:rPr>
                <w:rFonts w:hint="eastAsia"/>
                <w:color w:val="auto"/>
                <w:sz w:val="21"/>
                <w:szCs w:val="21"/>
              </w:rPr>
            </w:pPr>
            <w:r>
              <w:rPr>
                <w:rFonts w:hint="eastAsia"/>
                <w:color w:val="auto"/>
                <w:sz w:val="21"/>
                <w:szCs w:val="21"/>
              </w:rPr>
              <w:t>NO2</w:t>
            </w:r>
          </w:p>
        </w:tc>
        <w:tc>
          <w:tcPr>
            <w:tcW w:w="2322"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4.34</w:t>
            </w:r>
          </w:p>
          <w:p>
            <w:pPr>
              <w:spacing w:line="240" w:lineRule="atLeast"/>
              <w:jc w:val="center"/>
              <w:rPr>
                <w:rFonts w:hint="eastAsia"/>
                <w:color w:val="auto"/>
                <w:sz w:val="21"/>
                <w:szCs w:val="21"/>
              </w:rPr>
            </w:pPr>
            <w:r>
              <w:rPr>
                <w:rFonts w:hint="eastAsia"/>
                <w:color w:val="auto"/>
                <w:sz w:val="21"/>
                <w:szCs w:val="21"/>
              </w:rPr>
              <w:t>1.65</w:t>
            </w:r>
          </w:p>
          <w:p>
            <w:pPr>
              <w:spacing w:line="240" w:lineRule="atLeast"/>
              <w:jc w:val="center"/>
              <w:rPr>
                <w:rFonts w:hint="eastAsia"/>
                <w:color w:val="auto"/>
                <w:sz w:val="21"/>
                <w:szCs w:val="21"/>
              </w:rPr>
            </w:pPr>
            <w:r>
              <w:rPr>
                <w:rFonts w:hint="eastAsia"/>
                <w:color w:val="auto"/>
                <w:sz w:val="21"/>
                <w:szCs w:val="21"/>
              </w:rPr>
              <w:t>0.81</w:t>
            </w:r>
          </w:p>
          <w:p>
            <w:pPr>
              <w:spacing w:line="240" w:lineRule="atLeast"/>
              <w:jc w:val="center"/>
              <w:rPr>
                <w:rFonts w:hint="eastAsia"/>
                <w:color w:val="auto"/>
                <w:sz w:val="21"/>
                <w:szCs w:val="21"/>
              </w:rPr>
            </w:pPr>
            <w:r>
              <w:rPr>
                <w:rFonts w:hint="eastAsia"/>
                <w:color w:val="auto"/>
                <w:sz w:val="21"/>
                <w:szCs w:val="21"/>
              </w:rPr>
              <w:t>2.8</w:t>
            </w:r>
          </w:p>
        </w:tc>
        <w:tc>
          <w:tcPr>
            <w:tcW w:w="2325" w:type="dxa"/>
            <w:tcBorders>
              <w:top w:val="single" w:color="auto" w:sz="4" w:space="0"/>
              <w:left w:val="single" w:color="auto" w:sz="4" w:space="0"/>
              <w:bottom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4.34</w:t>
            </w:r>
          </w:p>
          <w:p>
            <w:pPr>
              <w:spacing w:line="240" w:lineRule="atLeast"/>
              <w:jc w:val="center"/>
              <w:rPr>
                <w:rFonts w:hint="eastAsia"/>
                <w:color w:val="auto"/>
                <w:sz w:val="21"/>
                <w:szCs w:val="21"/>
              </w:rPr>
            </w:pPr>
            <w:r>
              <w:rPr>
                <w:rFonts w:hint="eastAsia"/>
                <w:color w:val="auto"/>
                <w:sz w:val="21"/>
                <w:szCs w:val="21"/>
              </w:rPr>
              <w:t>1.65</w:t>
            </w:r>
          </w:p>
          <w:p>
            <w:pPr>
              <w:spacing w:line="240" w:lineRule="atLeast"/>
              <w:jc w:val="center"/>
              <w:rPr>
                <w:rFonts w:hint="eastAsia"/>
                <w:color w:val="auto"/>
                <w:sz w:val="21"/>
                <w:szCs w:val="21"/>
              </w:rPr>
            </w:pPr>
            <w:r>
              <w:rPr>
                <w:rFonts w:hint="eastAsia"/>
                <w:color w:val="auto"/>
                <w:sz w:val="21"/>
                <w:szCs w:val="21"/>
              </w:rPr>
              <w:t>0.81</w:t>
            </w:r>
          </w:p>
          <w:p>
            <w:pPr>
              <w:spacing w:line="240" w:lineRule="atLeast"/>
              <w:jc w:val="center"/>
              <w:rPr>
                <w:rFonts w:hint="eastAsia"/>
                <w:color w:val="auto"/>
                <w:sz w:val="21"/>
                <w:szCs w:val="21"/>
              </w:rPr>
            </w:pPr>
            <w:r>
              <w:rPr>
                <w:rFonts w:hint="eastAsia"/>
                <w:color w:val="auto"/>
                <w:sz w:val="21"/>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食堂</w:t>
            </w:r>
          </w:p>
          <w:p>
            <w:pPr>
              <w:spacing w:line="240" w:lineRule="atLeast"/>
              <w:jc w:val="center"/>
              <w:rPr>
                <w:rFonts w:hint="eastAsia"/>
                <w:color w:val="auto"/>
                <w:sz w:val="21"/>
                <w:szCs w:val="21"/>
              </w:rPr>
            </w:pPr>
            <w:r>
              <w:rPr>
                <w:rFonts w:hint="eastAsia"/>
                <w:color w:val="auto"/>
                <w:sz w:val="21"/>
                <w:szCs w:val="21"/>
              </w:rPr>
              <w:t>油烟</w:t>
            </w:r>
          </w:p>
        </w:tc>
        <w:tc>
          <w:tcPr>
            <w:tcW w:w="1457"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油烟</w:t>
            </w:r>
          </w:p>
        </w:tc>
        <w:tc>
          <w:tcPr>
            <w:tcW w:w="2322" w:type="dxa"/>
            <w:tcBorders>
              <w:top w:val="single" w:color="auto" w:sz="4" w:space="0"/>
              <w:left w:val="single" w:color="auto" w:sz="4" w:space="0"/>
              <w:bottom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少量</w:t>
            </w:r>
          </w:p>
        </w:tc>
        <w:tc>
          <w:tcPr>
            <w:tcW w:w="2325" w:type="dxa"/>
            <w:tcBorders>
              <w:top w:val="single" w:color="auto" w:sz="4" w:space="0"/>
              <w:left w:val="single" w:color="auto" w:sz="4" w:space="0"/>
              <w:bottom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restart"/>
            <w:tcBorders>
              <w:left w:val="single" w:color="auto" w:sz="12"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水污染物</w:t>
            </w:r>
          </w:p>
        </w:tc>
        <w:tc>
          <w:tcPr>
            <w:tcW w:w="1079" w:type="dxa"/>
            <w:vMerge w:val="restart"/>
            <w:tcBorders>
              <w:left w:val="single" w:color="auto" w:sz="4"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生活</w:t>
            </w:r>
          </w:p>
          <w:p>
            <w:pPr>
              <w:spacing w:line="240" w:lineRule="atLeast"/>
              <w:jc w:val="center"/>
              <w:rPr>
                <w:rFonts w:hint="eastAsia"/>
                <w:color w:val="auto"/>
                <w:sz w:val="21"/>
                <w:szCs w:val="21"/>
              </w:rPr>
            </w:pPr>
            <w:r>
              <w:rPr>
                <w:rFonts w:hint="eastAsia"/>
                <w:color w:val="auto"/>
                <w:sz w:val="21"/>
                <w:szCs w:val="21"/>
              </w:rPr>
              <w:t>污水</w:t>
            </w:r>
          </w:p>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lang w:eastAsia="zh-CN"/>
              </w:rPr>
            </w:pPr>
            <w:r>
              <w:rPr>
                <w:rFonts w:hint="eastAsia"/>
                <w:color w:val="auto"/>
                <w:sz w:val="21"/>
                <w:szCs w:val="21"/>
                <w:lang w:eastAsia="zh-CN"/>
              </w:rPr>
              <w:t>废水量</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2248.4</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2248.4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COD</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0.67452</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0.44968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BOD5</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0.33726</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0.22484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SS</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0.44968</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0.22484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NH3-N</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0.067452</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0.05621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restart"/>
            <w:tcBorders>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沉淀池排泥水</w:t>
            </w: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废水量</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45625</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4562.5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COD</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2.28</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SS</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13.7</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restart"/>
            <w:tcBorders>
              <w:left w:val="single" w:color="auto" w:sz="4" w:space="0"/>
              <w:right w:val="single" w:color="auto" w:sz="4" w:space="0"/>
            </w:tcBorders>
            <w:vAlign w:val="center"/>
          </w:tcPr>
          <w:p>
            <w:pPr>
              <w:spacing w:line="240" w:lineRule="atLeast"/>
              <w:jc w:val="center"/>
              <w:rPr>
                <w:rFonts w:hint="eastAsia"/>
                <w:color w:val="auto"/>
                <w:sz w:val="21"/>
                <w:szCs w:val="21"/>
              </w:rPr>
            </w:pPr>
            <w:r>
              <w:rPr>
                <w:rFonts w:hint="eastAsia"/>
                <w:color w:val="auto"/>
                <w:sz w:val="21"/>
                <w:szCs w:val="21"/>
              </w:rPr>
              <w:t>滤池反</w:t>
            </w:r>
          </w:p>
          <w:p>
            <w:pPr>
              <w:spacing w:line="240" w:lineRule="atLeast"/>
              <w:jc w:val="center"/>
              <w:rPr>
                <w:rFonts w:hint="eastAsia"/>
                <w:color w:val="auto"/>
                <w:sz w:val="21"/>
                <w:szCs w:val="21"/>
              </w:rPr>
            </w:pPr>
            <w:r>
              <w:rPr>
                <w:rFonts w:hint="eastAsia"/>
                <w:color w:val="auto"/>
                <w:sz w:val="21"/>
                <w:szCs w:val="21"/>
              </w:rPr>
              <w:t>冲洗水</w:t>
            </w: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废水量</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1287720</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128772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COD</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55.84</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vMerge w:val="continue"/>
            <w:tcBorders>
              <w:left w:val="single" w:color="auto" w:sz="12" w:space="0"/>
              <w:right w:val="single" w:color="auto" w:sz="4" w:space="0"/>
            </w:tcBorders>
            <w:vAlign w:val="center"/>
          </w:tcPr>
          <w:p>
            <w:pPr>
              <w:spacing w:line="240" w:lineRule="atLeast"/>
              <w:jc w:val="center"/>
              <w:rPr>
                <w:rFonts w:hint="eastAsia"/>
                <w:color w:val="auto"/>
                <w:sz w:val="21"/>
                <w:szCs w:val="21"/>
              </w:rPr>
            </w:pPr>
          </w:p>
        </w:tc>
        <w:tc>
          <w:tcPr>
            <w:tcW w:w="1079" w:type="dxa"/>
            <w:vMerge w:val="continue"/>
            <w:tcBorders>
              <w:left w:val="single" w:color="auto" w:sz="4" w:space="0"/>
              <w:right w:val="single" w:color="auto" w:sz="4" w:space="0"/>
            </w:tcBorders>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rPr>
              <w:t>SS</w:t>
            </w:r>
          </w:p>
        </w:tc>
        <w:tc>
          <w:tcPr>
            <w:tcW w:w="2322" w:type="dxa"/>
            <w:tcBorders>
              <w:top w:val="single" w:color="auto" w:sz="4" w:space="0"/>
              <w:left w:val="single" w:color="auto" w:sz="4" w:space="0"/>
              <w:right w:val="single" w:color="auto" w:sz="4"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333.68</w:t>
            </w:r>
          </w:p>
        </w:tc>
        <w:tc>
          <w:tcPr>
            <w:tcW w:w="2325" w:type="dxa"/>
            <w:tcBorders>
              <w:top w:val="single" w:color="auto" w:sz="4" w:space="0"/>
              <w:left w:val="single" w:color="auto" w:sz="4" w:space="0"/>
              <w:right w:val="single" w:color="auto" w:sz="12" w:space="0"/>
            </w:tcBorders>
            <w:textDirection w:val="lrTb"/>
            <w:vAlign w:val="center"/>
          </w:tcPr>
          <w:p>
            <w:pPr>
              <w:spacing w:line="240" w:lineRule="atLeast"/>
              <w:jc w:val="center"/>
              <w:rPr>
                <w:rFonts w:hint="eastAsia"/>
                <w:color w:val="auto"/>
                <w:sz w:val="21"/>
                <w:szCs w:val="21"/>
              </w:rPr>
            </w:pPr>
            <w:r>
              <w:rPr>
                <w:rFonts w:hint="eastAsia"/>
                <w:color w:val="auto"/>
                <w:sz w:val="21"/>
                <w:szCs w:val="21"/>
                <w:lang w:val="en-US" w:eastAsia="zh-CN"/>
              </w:rP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2424" w:type="dxa"/>
            <w:gridSpan w:val="2"/>
            <w:vMerge w:val="restart"/>
            <w:tcBorders>
              <w:left w:val="single" w:color="auto" w:sz="12" w:space="0"/>
              <w:right w:val="single" w:color="auto" w:sz="4" w:space="0"/>
            </w:tcBorders>
            <w:shd w:val="clear" w:color="auto" w:fill="auto"/>
            <w:textDirection w:val="tbRlV"/>
            <w:vAlign w:val="center"/>
          </w:tcPr>
          <w:p>
            <w:pPr>
              <w:spacing w:line="240" w:lineRule="atLeast"/>
              <w:jc w:val="center"/>
              <w:rPr>
                <w:rFonts w:hint="eastAsia"/>
                <w:color w:val="auto"/>
                <w:sz w:val="21"/>
                <w:szCs w:val="21"/>
              </w:rPr>
            </w:pPr>
            <w:r>
              <w:rPr>
                <w:rFonts w:hint="eastAsia"/>
                <w:color w:val="auto"/>
                <w:sz w:val="21"/>
                <w:szCs w:val="21"/>
              </w:rPr>
              <w:t>固体废弃物</w:t>
            </w:r>
          </w:p>
        </w:tc>
        <w:tc>
          <w:tcPr>
            <w:tcW w:w="1457"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生活垃圾</w:t>
            </w:r>
          </w:p>
        </w:tc>
        <w:tc>
          <w:tcPr>
            <w:tcW w:w="2322"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3.0</w:t>
            </w:r>
          </w:p>
        </w:tc>
        <w:tc>
          <w:tcPr>
            <w:tcW w:w="2325" w:type="dxa"/>
            <w:tcBorders>
              <w:left w:val="single" w:color="auto" w:sz="4" w:space="0"/>
              <w:right w:val="single" w:color="auto" w:sz="12"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2424" w:type="dxa"/>
            <w:gridSpan w:val="2"/>
            <w:vMerge w:val="continue"/>
            <w:tcBorders>
              <w:left w:val="single" w:color="auto" w:sz="12" w:space="0"/>
              <w:right w:val="single" w:color="auto" w:sz="4" w:space="0"/>
            </w:tcBorders>
            <w:shd w:val="clear" w:color="auto" w:fill="auto"/>
            <w:textDirection w:val="tbRlV"/>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干化污泥</w:t>
            </w:r>
          </w:p>
        </w:tc>
        <w:tc>
          <w:tcPr>
            <w:tcW w:w="2322"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2555</w:t>
            </w:r>
          </w:p>
        </w:tc>
        <w:tc>
          <w:tcPr>
            <w:tcW w:w="2325" w:type="dxa"/>
            <w:tcBorders>
              <w:left w:val="single" w:color="auto" w:sz="4" w:space="0"/>
              <w:right w:val="single" w:color="auto" w:sz="12"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2424" w:type="dxa"/>
            <w:gridSpan w:val="2"/>
            <w:vMerge w:val="continue"/>
            <w:tcBorders>
              <w:left w:val="single" w:color="auto" w:sz="12" w:space="0"/>
              <w:right w:val="single" w:color="auto" w:sz="4" w:space="0"/>
            </w:tcBorders>
            <w:shd w:val="clear" w:color="auto" w:fill="auto"/>
            <w:textDirection w:val="tbRlV"/>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检验室废液</w:t>
            </w:r>
          </w:p>
        </w:tc>
        <w:tc>
          <w:tcPr>
            <w:tcW w:w="2322"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3.65</w:t>
            </w:r>
          </w:p>
        </w:tc>
        <w:tc>
          <w:tcPr>
            <w:tcW w:w="2325" w:type="dxa"/>
            <w:tcBorders>
              <w:left w:val="single" w:color="auto" w:sz="4" w:space="0"/>
              <w:right w:val="single" w:color="auto" w:sz="12"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2424" w:type="dxa"/>
            <w:gridSpan w:val="2"/>
            <w:vMerge w:val="continue"/>
            <w:tcBorders>
              <w:left w:val="single" w:color="auto" w:sz="12" w:space="0"/>
              <w:right w:val="single" w:color="auto" w:sz="4" w:space="0"/>
            </w:tcBorders>
            <w:shd w:val="clear" w:color="auto" w:fill="auto"/>
            <w:textDirection w:val="tbRlV"/>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废弃试剂、</w:t>
            </w:r>
          </w:p>
          <w:p>
            <w:pPr>
              <w:spacing w:line="240" w:lineRule="atLeast"/>
              <w:jc w:val="center"/>
              <w:rPr>
                <w:rFonts w:hint="eastAsia"/>
                <w:color w:val="auto"/>
                <w:sz w:val="21"/>
                <w:szCs w:val="21"/>
              </w:rPr>
            </w:pPr>
            <w:r>
              <w:rPr>
                <w:rFonts w:hint="eastAsia"/>
                <w:color w:val="auto"/>
                <w:sz w:val="21"/>
                <w:szCs w:val="21"/>
              </w:rPr>
              <w:t>药品</w:t>
            </w:r>
          </w:p>
        </w:tc>
        <w:tc>
          <w:tcPr>
            <w:tcW w:w="2322"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0.1</w:t>
            </w:r>
          </w:p>
        </w:tc>
        <w:tc>
          <w:tcPr>
            <w:tcW w:w="2325" w:type="dxa"/>
            <w:tcBorders>
              <w:left w:val="single" w:color="auto" w:sz="4" w:space="0"/>
              <w:right w:val="single" w:color="auto" w:sz="12"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2424" w:type="dxa"/>
            <w:gridSpan w:val="2"/>
            <w:vMerge w:val="continue"/>
            <w:tcBorders>
              <w:left w:val="single" w:color="auto" w:sz="12" w:space="0"/>
              <w:right w:val="single" w:color="auto" w:sz="4" w:space="0"/>
            </w:tcBorders>
            <w:shd w:val="clear" w:color="auto" w:fill="auto"/>
            <w:textDirection w:val="tbRlV"/>
            <w:vAlign w:val="center"/>
          </w:tcPr>
          <w:p>
            <w:pPr>
              <w:spacing w:line="240" w:lineRule="atLeast"/>
              <w:jc w:val="center"/>
              <w:rPr>
                <w:rFonts w:hint="eastAsia"/>
                <w:color w:val="auto"/>
                <w:sz w:val="21"/>
                <w:szCs w:val="21"/>
              </w:rPr>
            </w:pPr>
          </w:p>
        </w:tc>
        <w:tc>
          <w:tcPr>
            <w:tcW w:w="1457"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消毒残液</w:t>
            </w:r>
          </w:p>
        </w:tc>
        <w:tc>
          <w:tcPr>
            <w:tcW w:w="2322" w:type="dxa"/>
            <w:tcBorders>
              <w:top w:val="single" w:color="auto" w:sz="4" w:space="0"/>
              <w:left w:val="single" w:color="auto" w:sz="4" w:space="0"/>
              <w:right w:val="single" w:color="auto" w:sz="4"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16.8</w:t>
            </w:r>
          </w:p>
        </w:tc>
        <w:tc>
          <w:tcPr>
            <w:tcW w:w="2325" w:type="dxa"/>
            <w:tcBorders>
              <w:left w:val="single" w:color="auto" w:sz="4" w:space="0"/>
              <w:right w:val="single" w:color="auto" w:sz="12" w:space="0"/>
            </w:tcBorders>
            <w:shd w:val="clear" w:color="auto" w:fill="auto"/>
            <w:textDirection w:val="lrTb"/>
            <w:vAlign w:val="center"/>
          </w:tcPr>
          <w:p>
            <w:pPr>
              <w:spacing w:line="240" w:lineRule="atLeast"/>
              <w:jc w:val="center"/>
              <w:rPr>
                <w:rFonts w:hint="eastAsia"/>
                <w:color w:val="auto"/>
                <w:sz w:val="21"/>
                <w:szCs w:val="21"/>
              </w:rPr>
            </w:pPr>
            <w:r>
              <w:rPr>
                <w:rFonts w:hint="eastAsia"/>
                <w:color w:val="auto"/>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1345" w:type="dxa"/>
            <w:tcBorders>
              <w:top w:val="single" w:color="auto" w:sz="2" w:space="0"/>
              <w:left w:val="single" w:color="auto" w:sz="12" w:space="0"/>
              <w:right w:val="single" w:color="auto" w:sz="4" w:space="0"/>
            </w:tcBorders>
            <w:shd w:val="clear" w:color="auto" w:fill="auto"/>
            <w:vAlign w:val="center"/>
          </w:tcPr>
          <w:p>
            <w:pPr>
              <w:spacing w:line="240" w:lineRule="atLeast"/>
              <w:jc w:val="center"/>
              <w:rPr>
                <w:rFonts w:hint="eastAsia"/>
                <w:color w:val="auto"/>
                <w:sz w:val="21"/>
                <w:szCs w:val="21"/>
              </w:rPr>
            </w:pPr>
            <w:r>
              <w:rPr>
                <w:rFonts w:hint="eastAsia"/>
                <w:color w:val="auto"/>
                <w:sz w:val="21"/>
                <w:szCs w:val="21"/>
              </w:rPr>
              <w:t>噪声</w:t>
            </w:r>
          </w:p>
        </w:tc>
        <w:tc>
          <w:tcPr>
            <w:tcW w:w="7183" w:type="dxa"/>
            <w:gridSpan w:val="4"/>
            <w:tcBorders>
              <w:top w:val="single" w:color="auto" w:sz="2" w:space="0"/>
              <w:left w:val="single" w:color="auto" w:sz="4" w:space="0"/>
              <w:bottom w:val="single" w:color="auto" w:sz="4" w:space="0"/>
              <w:right w:val="single" w:color="auto" w:sz="12" w:space="0"/>
            </w:tcBorders>
            <w:shd w:val="clear" w:color="auto" w:fill="auto"/>
            <w:vAlign w:val="center"/>
          </w:tcPr>
          <w:p>
            <w:pPr>
              <w:spacing w:line="240" w:lineRule="atLeast"/>
              <w:jc w:val="center"/>
              <w:rPr>
                <w:rFonts w:hint="eastAsia"/>
                <w:color w:val="auto"/>
                <w:sz w:val="21"/>
                <w:szCs w:val="21"/>
              </w:rPr>
            </w:pPr>
            <w:r>
              <w:rPr>
                <w:rFonts w:hint="eastAsia"/>
                <w:color w:val="auto"/>
                <w:sz w:val="21"/>
                <w:szCs w:val="21"/>
              </w:rPr>
              <w:t>项目噪声来自机械设备和水流声，噪声级在75~95dB(A)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jc w:val="center"/>
        </w:trPr>
        <w:tc>
          <w:tcPr>
            <w:tcW w:w="8528" w:type="dxa"/>
            <w:gridSpan w:val="5"/>
            <w:tcBorders>
              <w:top w:val="single" w:color="auto" w:sz="4" w:space="0"/>
              <w:left w:val="single" w:color="auto" w:sz="12" w:space="0"/>
              <w:bottom w:val="single" w:color="auto" w:sz="12" w:space="0"/>
              <w:right w:val="single" w:color="auto" w:sz="12" w:space="0"/>
            </w:tcBorders>
            <w:vAlign w:val="top"/>
          </w:tcPr>
          <w:p>
            <w:pPr>
              <w:spacing w:line="360" w:lineRule="auto"/>
              <w:rPr>
                <w:rFonts w:hint="eastAsia"/>
                <w:b w:val="0"/>
                <w:bCs w:val="0"/>
                <w:color w:val="auto"/>
                <w:sz w:val="21"/>
                <w:szCs w:val="21"/>
              </w:rPr>
            </w:pPr>
            <w:r>
              <w:rPr>
                <w:rFonts w:hint="eastAsia"/>
                <w:b w:val="0"/>
                <w:bCs w:val="0"/>
                <w:color w:val="auto"/>
                <w:sz w:val="21"/>
                <w:szCs w:val="21"/>
              </w:rPr>
              <w:t>主要生态影响：</w:t>
            </w:r>
          </w:p>
          <w:p>
            <w:pPr>
              <w:spacing w:line="360" w:lineRule="auto"/>
              <w:ind w:firstLine="480" w:firstLineChars="200"/>
              <w:rPr>
                <w:rFonts w:hint="eastAsia"/>
                <w:b w:val="0"/>
                <w:bCs w:val="0"/>
                <w:color w:val="auto"/>
                <w:sz w:val="21"/>
                <w:szCs w:val="21"/>
              </w:rPr>
            </w:pPr>
            <w:r>
              <w:rPr>
                <w:rFonts w:hint="eastAsia"/>
                <w:b w:val="0"/>
                <w:bCs w:val="0"/>
                <w:color w:val="auto"/>
                <w:sz w:val="21"/>
                <w:szCs w:val="21"/>
              </w:rPr>
              <w:t>1、生态影响分析</w:t>
            </w:r>
          </w:p>
          <w:p>
            <w:pPr>
              <w:spacing w:line="360" w:lineRule="auto"/>
              <w:ind w:firstLine="480" w:firstLineChars="200"/>
              <w:rPr>
                <w:rFonts w:hint="eastAsia"/>
                <w:color w:val="auto"/>
                <w:sz w:val="21"/>
                <w:szCs w:val="21"/>
              </w:rPr>
            </w:pPr>
            <w:r>
              <w:rPr>
                <w:rFonts w:hint="eastAsia"/>
                <w:color w:val="auto"/>
                <w:sz w:val="21"/>
                <w:szCs w:val="21"/>
              </w:rPr>
              <w:t>本项目配水管道主要沿平江县内现有省道S308、乡道Y127、县道X095、县道X013等道路为主，项目建设地周边主要以行道树、居民点等为主，项目涉及区域大部分属人类活动频繁地区，区域内活动的动物主要是喜鹊、麻雀、鼠类、青蛙等常见物种，无需要保护的珍稀物种；项目在施工过程中会破坏地表现有的植被和地形地貌，但受到破坏的植被均为本地区常见种，对区域生物多样性影响很小。</w:t>
            </w:r>
          </w:p>
          <w:p>
            <w:pPr>
              <w:spacing w:line="360" w:lineRule="auto"/>
              <w:ind w:firstLine="480" w:firstLineChars="200"/>
              <w:rPr>
                <w:rFonts w:hint="eastAsia"/>
                <w:color w:val="auto"/>
                <w:sz w:val="21"/>
                <w:szCs w:val="21"/>
                <w:lang w:eastAsia="zh-CN"/>
              </w:rPr>
            </w:pPr>
            <w:r>
              <w:rPr>
                <w:rFonts w:hint="eastAsia"/>
                <w:color w:val="auto"/>
                <w:sz w:val="21"/>
                <w:szCs w:val="21"/>
                <w:lang w:eastAsia="zh-CN"/>
              </w:rPr>
              <w:t>本项目沿省道</w:t>
            </w:r>
            <w:r>
              <w:rPr>
                <w:rFonts w:hint="eastAsia"/>
                <w:color w:val="auto"/>
                <w:sz w:val="21"/>
                <w:szCs w:val="21"/>
                <w:lang w:val="en-US" w:eastAsia="zh-CN"/>
              </w:rPr>
              <w:t>S308铺设管网，不占用福寿山-汨罗江国家级风景名胜区用地。对风景名胜区生态完整性及景观影响较小。</w:t>
            </w:r>
          </w:p>
          <w:p>
            <w:pPr>
              <w:spacing w:line="360" w:lineRule="auto"/>
              <w:ind w:firstLine="480" w:firstLineChars="200"/>
              <w:rPr>
                <w:rFonts w:hint="eastAsia"/>
                <w:color w:val="auto"/>
                <w:sz w:val="21"/>
                <w:szCs w:val="21"/>
              </w:rPr>
            </w:pPr>
            <w:r>
              <w:rPr>
                <w:rFonts w:hint="eastAsia"/>
                <w:color w:val="auto"/>
                <w:sz w:val="21"/>
                <w:szCs w:val="21"/>
              </w:rPr>
              <w:t>本项目占地属于临时占地，且施工期较短，工程施工完成后，管道上方可以进行路面恢复或植草绿化，因此，本项目施工期对当地生态环境影响较小。</w:t>
            </w:r>
          </w:p>
          <w:p>
            <w:pPr>
              <w:spacing w:line="360" w:lineRule="auto"/>
              <w:ind w:firstLine="480" w:firstLineChars="200"/>
              <w:rPr>
                <w:rFonts w:hint="eastAsia"/>
                <w:color w:val="auto"/>
                <w:sz w:val="21"/>
                <w:szCs w:val="21"/>
              </w:rPr>
            </w:pPr>
            <w:r>
              <w:rPr>
                <w:rFonts w:hint="eastAsia"/>
                <w:color w:val="auto"/>
                <w:sz w:val="21"/>
                <w:szCs w:val="21"/>
              </w:rPr>
              <w:t>2、水土流失影响分析</w:t>
            </w:r>
          </w:p>
          <w:p>
            <w:pPr>
              <w:spacing w:line="360" w:lineRule="auto"/>
              <w:ind w:firstLine="480" w:firstLineChars="200"/>
              <w:rPr>
                <w:rFonts w:hint="eastAsia"/>
                <w:color w:val="auto"/>
                <w:sz w:val="21"/>
                <w:szCs w:val="21"/>
              </w:rPr>
            </w:pPr>
            <w:r>
              <w:rPr>
                <w:rFonts w:hint="eastAsia"/>
                <w:color w:val="auto"/>
                <w:sz w:val="21"/>
                <w:szCs w:val="21"/>
              </w:rPr>
              <w:t>本项目在建设过程中，由于土地开挖等施工活动使四周土壤受到扰动，原有的土壤层次和结构将遭受破坏，其抗蚀能力与原自然状态相比大大降低，从而导致水土流失的发生；管沟开挖、管线敷设和安装等过程中产生的土石方，如果无序堆放也将引起和产生水土流失的影响。</w:t>
            </w:r>
          </w:p>
          <w:p>
            <w:pPr>
              <w:spacing w:line="360" w:lineRule="auto"/>
              <w:ind w:firstLine="480" w:firstLineChars="200"/>
              <w:rPr>
                <w:rFonts w:hint="eastAsia"/>
                <w:color w:val="auto"/>
                <w:sz w:val="21"/>
                <w:szCs w:val="21"/>
              </w:rPr>
            </w:pPr>
            <w:r>
              <w:rPr>
                <w:rFonts w:hint="eastAsia"/>
                <w:color w:val="auto"/>
                <w:sz w:val="21"/>
                <w:szCs w:val="21"/>
              </w:rPr>
              <w:t>为此，建设方应根据施工场地的实际情况，采取设置临时挡土墙、加盖篷布等措施防止水土流失现象的发生；对可能长期裸露的表土，应种植草坪，加强绿化，以减少水土流失现象的发生。只要防治措施得当，建设过程引起的水土流失对区域生态环境的影响较小。</w:t>
            </w:r>
          </w:p>
          <w:p>
            <w:pPr>
              <w:spacing w:line="360" w:lineRule="auto"/>
              <w:ind w:firstLine="480" w:firstLineChars="200"/>
              <w:rPr>
                <w:rFonts w:hint="eastAsia"/>
                <w:color w:val="auto"/>
                <w:sz w:val="21"/>
                <w:szCs w:val="21"/>
              </w:rPr>
            </w:pPr>
            <w:r>
              <w:rPr>
                <w:rFonts w:hint="eastAsia"/>
                <w:color w:val="auto"/>
                <w:sz w:val="21"/>
                <w:szCs w:val="21"/>
              </w:rPr>
              <w:t>综上所述，本项目施工期在场地清理、管沟开挖及回填等过程中会造成扬尘、水土流失以及局部生态环境的破坏。但这种影响是短期的、暂时性的，随着工程的结束，工程行为对环境带来的不利影响将会逐渐减弱或消失；对区域生态环境局部影响的消除，将取决于恢复措施的实施，因此挖掘后应及时覆土、绿化。只要建设单位在建设过程中，按本评价提出的生态环境保护措施执行，项目对生态环境的影响很小。</w:t>
            </w:r>
          </w:p>
          <w:p>
            <w:pPr>
              <w:spacing w:line="240" w:lineRule="atLeast"/>
              <w:jc w:val="center"/>
              <w:rPr>
                <w:rFonts w:hint="eastAsia"/>
                <w:color w:val="auto"/>
                <w:sz w:val="21"/>
                <w:szCs w:val="21"/>
              </w:rPr>
            </w:pPr>
          </w:p>
        </w:tc>
      </w:tr>
    </w:tbl>
    <w:p>
      <w:pPr>
        <w:spacing w:line="360" w:lineRule="auto"/>
        <w:outlineLvl w:val="0"/>
        <w:rPr>
          <w:b/>
          <w:bCs/>
          <w:color w:val="auto"/>
          <w:sz w:val="28"/>
        </w:rPr>
      </w:pPr>
      <w:r>
        <w:rPr>
          <w:b/>
          <w:bCs/>
          <w:color w:val="auto"/>
          <w:sz w:val="28"/>
        </w:rPr>
        <w:br w:type="page"/>
      </w:r>
      <w:r>
        <w:rPr>
          <w:b/>
          <w:bCs/>
          <w:color w:val="auto"/>
          <w:sz w:val="28"/>
        </w:rPr>
        <w:t>环境影响分析</w:t>
      </w:r>
    </w:p>
    <w:tbl>
      <w:tblPr>
        <w:tblStyle w:val="1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2" w:hRule="atLeast"/>
          <w:jc w:val="center"/>
        </w:trPr>
        <w:tc>
          <w:tcPr>
            <w:tcW w:w="8528" w:type="dxa"/>
            <w:vAlign w:val="top"/>
          </w:tcPr>
          <w:p>
            <w:pPr>
              <w:spacing w:line="360" w:lineRule="auto"/>
              <w:rPr>
                <w:color w:val="auto"/>
                <w:sz w:val="28"/>
              </w:rPr>
            </w:pPr>
            <w:r>
              <w:rPr>
                <w:color w:val="auto"/>
                <w:sz w:val="28"/>
              </w:rPr>
              <w:t>施工期环境影响简要分析：</w:t>
            </w:r>
          </w:p>
          <w:p>
            <w:pPr>
              <w:pStyle w:val="4"/>
              <w:adjustRightInd w:val="0"/>
              <w:snapToGrid w:val="0"/>
              <w:spacing w:before="0" w:after="0" w:line="360" w:lineRule="auto"/>
              <w:ind w:left="720" w:hanging="720"/>
              <w:rPr>
                <w:rFonts w:hint="eastAsia"/>
                <w:color w:val="auto"/>
                <w:sz w:val="24"/>
                <w:szCs w:val="24"/>
                <w:u w:val="none"/>
                <w:lang w:val="en-US" w:eastAsia="zh-CN"/>
              </w:rPr>
            </w:pPr>
            <w:r>
              <w:rPr>
                <w:rFonts w:hint="eastAsia"/>
                <w:color w:val="auto"/>
                <w:sz w:val="24"/>
                <w:szCs w:val="24"/>
                <w:u w:val="none"/>
                <w:lang w:val="en-US" w:eastAsia="zh-CN"/>
              </w:rPr>
              <w:t>1、净水厂</w:t>
            </w:r>
          </w:p>
          <w:p>
            <w:pPr>
              <w:pStyle w:val="4"/>
              <w:adjustRightInd w:val="0"/>
              <w:snapToGrid w:val="0"/>
              <w:spacing w:before="0" w:after="0" w:line="360" w:lineRule="auto"/>
              <w:ind w:left="720" w:hanging="720"/>
              <w:rPr>
                <w:rFonts w:hint="eastAsia"/>
                <w:color w:val="auto"/>
                <w:sz w:val="24"/>
                <w:szCs w:val="24"/>
                <w:u w:val="none"/>
              </w:rPr>
            </w:pPr>
            <w:r>
              <w:rPr>
                <w:rFonts w:hint="eastAsia"/>
                <w:color w:val="auto"/>
                <w:sz w:val="24"/>
                <w:szCs w:val="24"/>
                <w:u w:val="none"/>
                <w:lang w:val="en-US" w:eastAsia="zh-CN"/>
              </w:rPr>
              <w:t>1.1</w:t>
            </w:r>
            <w:r>
              <w:rPr>
                <w:rFonts w:hint="eastAsia"/>
                <w:color w:val="auto"/>
                <w:sz w:val="24"/>
                <w:szCs w:val="24"/>
                <w:u w:val="none"/>
              </w:rPr>
              <w:t>大气环境影响分析</w:t>
            </w:r>
          </w:p>
          <w:p>
            <w:pPr>
              <w:spacing w:line="360" w:lineRule="auto"/>
              <w:ind w:firstLine="480" w:firstLineChars="200"/>
              <w:rPr>
                <w:rFonts w:hint="eastAsia"/>
                <w:color w:val="auto"/>
                <w:sz w:val="24"/>
                <w:u w:val="none"/>
              </w:rPr>
            </w:pPr>
            <w:r>
              <w:rPr>
                <w:rFonts w:hint="eastAsia"/>
                <w:color w:val="auto"/>
                <w:sz w:val="24"/>
                <w:u w:val="none"/>
              </w:rPr>
              <w:t xml:space="preserve">施工期场地废气污染主要是施工工地扬尘，其次是施工机械设备燃油( 汽油或柴油) 烟气及各型施工运载车辆的尾气。 </w:t>
            </w:r>
          </w:p>
          <w:p>
            <w:pPr>
              <w:spacing w:line="360" w:lineRule="auto"/>
              <w:ind w:firstLine="480" w:firstLineChars="200"/>
              <w:rPr>
                <w:rFonts w:hint="eastAsia"/>
                <w:color w:val="auto"/>
                <w:sz w:val="24"/>
                <w:u w:val="none"/>
              </w:rPr>
            </w:pPr>
            <w:r>
              <w:rPr>
                <w:rFonts w:hint="eastAsia"/>
                <w:color w:val="auto"/>
                <w:sz w:val="24"/>
                <w:u w:val="none"/>
              </w:rPr>
              <w:t xml:space="preserve">该项目建设期的主要污染因子是扬尘，其排放源较多，主要为：建筑材料( 砂石、水泥) 的无遮盖、超量运输洒漏、粗放式卸料、用料造成的扬尘；工地材料、渣堆、土堆的露天堆放，随风造成的扬尘污染；裸露道路上行驶运输车辆产生的扬尘等。 </w:t>
            </w:r>
          </w:p>
          <w:p>
            <w:pPr>
              <w:spacing w:line="360" w:lineRule="auto"/>
              <w:ind w:firstLine="480" w:firstLineChars="200"/>
              <w:rPr>
                <w:rFonts w:hint="eastAsia"/>
                <w:color w:val="auto"/>
                <w:sz w:val="24"/>
                <w:u w:val="none"/>
              </w:rPr>
            </w:pPr>
            <w:r>
              <w:rPr>
                <w:rFonts w:hint="eastAsia"/>
                <w:color w:val="auto"/>
                <w:sz w:val="24"/>
                <w:u w:val="none"/>
              </w:rPr>
              <w:t>施工扬尘在空气中的飘扬距离与空气动力特性有关，特别是与风速和大气稳定度关系密切。在大气稳定度处于稳定状态时，其传播距离较近，风速较小时，其传播距离也较近。如遇干旱无雨季节，加上大风，施工扬尘则更为严重。 施工过程中，扬尘的影响主要来源于三个方面：挖土、堆场和运输。其中，环境影响最大的环节为挖土和车辆运输。</w:t>
            </w:r>
          </w:p>
          <w:p>
            <w:pPr>
              <w:spacing w:line="360" w:lineRule="auto"/>
              <w:ind w:firstLine="480" w:firstLineChars="200"/>
              <w:rPr>
                <w:rFonts w:hint="eastAsia"/>
                <w:color w:val="auto"/>
                <w:sz w:val="24"/>
                <w:u w:val="none"/>
              </w:rPr>
            </w:pPr>
            <w:r>
              <w:rPr>
                <w:rFonts w:hint="eastAsia"/>
                <w:color w:val="auto"/>
                <w:sz w:val="24"/>
                <w:u w:val="none"/>
              </w:rPr>
              <w:t>据有关调查显示，施工工地的扬尘主要是由运输车辆的行驶和场地开挖产生，约占扬尘总量的75% ，并与道路路面车辆行驶速度有关，一般情况下，施工场地、运输道路沿线在自然风力的作用下产生扬尘的影响范围一般为100m左右，在静风状态下，道路运输扬尘污染主要在道路两边扩散，随着离开路边的距离增加，浓度逐渐递减而趋向于背景值。据类比调查，在大风情况下施工现场下风向1m处扬尘浓度可达3mg/m</w:t>
            </w:r>
            <w:r>
              <w:rPr>
                <w:rFonts w:hint="eastAsia"/>
                <w:color w:val="auto"/>
                <w:sz w:val="24"/>
                <w:u w:val="none"/>
                <w:vertAlign w:val="superscript"/>
              </w:rPr>
              <w:t>3</w:t>
            </w:r>
            <w:r>
              <w:rPr>
                <w:rFonts w:hint="eastAsia"/>
                <w:color w:val="auto"/>
                <w:sz w:val="24"/>
                <w:u w:val="none"/>
              </w:rPr>
              <w:t>以上，25m处为1.53mg/m</w:t>
            </w:r>
            <w:r>
              <w:rPr>
                <w:rFonts w:hint="eastAsia"/>
                <w:color w:val="auto"/>
                <w:sz w:val="24"/>
                <w:u w:val="none"/>
                <w:vertAlign w:val="superscript"/>
              </w:rPr>
              <w:t>3</w:t>
            </w:r>
            <w:r>
              <w:rPr>
                <w:rFonts w:hint="eastAsia"/>
                <w:color w:val="auto"/>
                <w:sz w:val="24"/>
                <w:u w:val="none"/>
              </w:rPr>
              <w:t>，下风向60m范围内TSP浓度超标。</w:t>
            </w:r>
          </w:p>
          <w:p>
            <w:pPr>
              <w:spacing w:line="360" w:lineRule="auto"/>
              <w:ind w:firstLine="480" w:firstLineChars="200"/>
              <w:rPr>
                <w:rFonts w:hint="eastAsia"/>
                <w:color w:val="auto"/>
                <w:sz w:val="24"/>
                <w:u w:val="none"/>
              </w:rPr>
            </w:pPr>
            <w:r>
              <w:rPr>
                <w:rFonts w:hint="eastAsia"/>
                <w:color w:val="auto"/>
                <w:sz w:val="24"/>
                <w:u w:val="none"/>
              </w:rPr>
              <w:t>若在施工期间对开挖、车辆行驶路面实施洒水抑尘，每天洒水 4-5 次，可使扬尘减少 70% 左右，有效地控制施工扬尘，将 TSP 污染距离缩小到20-50 米范围内。此外，由于扬尘量与道路和车辆的行驶速度有关，速度愈快，其扬尘量势必愈大，所以在施工场地，对施工车辆必须实施限速行驶，一方面是减少扬尘发生量，另一方面也是出于施工安全的考虑。</w:t>
            </w:r>
          </w:p>
          <w:p>
            <w:pPr>
              <w:spacing w:line="360" w:lineRule="auto"/>
              <w:ind w:firstLine="480" w:firstLineChars="200"/>
              <w:rPr>
                <w:rFonts w:hint="eastAsia"/>
                <w:color w:val="auto"/>
                <w:sz w:val="24"/>
                <w:u w:val="none"/>
              </w:rPr>
            </w:pPr>
            <w:r>
              <w:rPr>
                <w:rFonts w:hint="eastAsia"/>
                <w:color w:val="auto"/>
                <w:sz w:val="24"/>
                <w:u w:val="none"/>
              </w:rPr>
              <w:t>施工机械、运输车辆等废气产生量较少，严格采用0#轻质柴油作为原料，施工时间控制在白天，严禁晚上和中午休息时间施工，保持厂区内交通顺畅并减少车辆在厂区内怠速行驶，减少施工机械和运输车辆废气产生，对周围环境空气影响较小。</w:t>
            </w:r>
          </w:p>
          <w:p>
            <w:pPr>
              <w:pStyle w:val="4"/>
              <w:adjustRightInd w:val="0"/>
              <w:snapToGrid w:val="0"/>
              <w:spacing w:before="0" w:after="0" w:line="360" w:lineRule="auto"/>
              <w:ind w:left="720" w:hanging="720"/>
              <w:rPr>
                <w:rFonts w:hint="eastAsia"/>
                <w:color w:val="auto"/>
                <w:sz w:val="24"/>
                <w:szCs w:val="24"/>
                <w:u w:val="none"/>
              </w:rPr>
            </w:pPr>
            <w:r>
              <w:rPr>
                <w:rFonts w:hint="eastAsia"/>
                <w:color w:val="auto"/>
                <w:sz w:val="24"/>
                <w:szCs w:val="24"/>
                <w:u w:val="none"/>
                <w:lang w:val="en-US" w:eastAsia="zh-CN"/>
              </w:rPr>
              <w:t>1</w:t>
            </w:r>
            <w:r>
              <w:rPr>
                <w:rFonts w:hint="eastAsia"/>
                <w:color w:val="auto"/>
                <w:sz w:val="24"/>
                <w:szCs w:val="24"/>
                <w:u w:val="none"/>
              </w:rPr>
              <w:t>.2地表水环境影响分析</w:t>
            </w:r>
          </w:p>
          <w:p>
            <w:pPr>
              <w:spacing w:line="360" w:lineRule="auto"/>
              <w:ind w:firstLine="480" w:firstLineChars="200"/>
              <w:rPr>
                <w:rFonts w:hint="eastAsia"/>
                <w:color w:val="auto"/>
                <w:sz w:val="24"/>
                <w:u w:val="none"/>
              </w:rPr>
            </w:pPr>
            <w:r>
              <w:rPr>
                <w:rFonts w:hint="eastAsia"/>
                <w:color w:val="auto"/>
                <w:sz w:val="24"/>
                <w:u w:val="none"/>
              </w:rPr>
              <w:t>工程施工将产生一定量的施工废水及生活污水，并随着施工进行废水产生量有较大的变化。施工工人产生的生活污水经化粪池处理后用于周边农肥不外排。</w:t>
            </w:r>
            <w:r>
              <w:rPr>
                <w:rFonts w:hAnsi="宋体"/>
                <w:color w:val="auto"/>
                <w:sz w:val="24"/>
                <w:u w:val="none"/>
              </w:rPr>
              <w:t>施工废水主要来源于工程施工机械、车辆的冲洗等，冲洗废水主要为含有油污、悬浮物。据类比及初步估算，一般施工车辆冲洗废水中</w:t>
            </w:r>
            <w:r>
              <w:rPr>
                <w:color w:val="auto"/>
                <w:sz w:val="24"/>
                <w:u w:val="none"/>
              </w:rPr>
              <w:t>COD</w:t>
            </w:r>
            <w:r>
              <w:rPr>
                <w:rFonts w:hAnsi="宋体"/>
                <w:color w:val="auto"/>
                <w:sz w:val="24"/>
                <w:u w:val="none"/>
              </w:rPr>
              <w:t>为</w:t>
            </w:r>
            <w:r>
              <w:rPr>
                <w:color w:val="auto"/>
                <w:sz w:val="24"/>
                <w:u w:val="none"/>
              </w:rPr>
              <w:t>25</w:t>
            </w:r>
            <w:r>
              <w:rPr>
                <w:rFonts w:hAnsi="宋体"/>
                <w:color w:val="auto"/>
                <w:sz w:val="24"/>
                <w:u w:val="none"/>
              </w:rPr>
              <w:t>～</w:t>
            </w:r>
            <w:r>
              <w:rPr>
                <w:color w:val="auto"/>
                <w:sz w:val="24"/>
                <w:u w:val="none"/>
              </w:rPr>
              <w:t>200mg/L</w:t>
            </w:r>
            <w:r>
              <w:rPr>
                <w:rFonts w:hAnsi="宋体"/>
                <w:color w:val="auto"/>
                <w:sz w:val="24"/>
                <w:u w:val="none"/>
              </w:rPr>
              <w:t>，石油类为</w:t>
            </w:r>
            <w:r>
              <w:rPr>
                <w:color w:val="auto"/>
                <w:sz w:val="24"/>
                <w:u w:val="none"/>
              </w:rPr>
              <w:t>10</w:t>
            </w:r>
            <w:r>
              <w:rPr>
                <w:rFonts w:hAnsi="宋体"/>
                <w:color w:val="auto"/>
                <w:sz w:val="24"/>
                <w:u w:val="none"/>
              </w:rPr>
              <w:t>～</w:t>
            </w:r>
            <w:r>
              <w:rPr>
                <w:color w:val="auto"/>
                <w:sz w:val="24"/>
                <w:u w:val="none"/>
              </w:rPr>
              <w:t>300mg/L</w:t>
            </w:r>
            <w:r>
              <w:rPr>
                <w:rFonts w:hAnsi="宋体"/>
                <w:color w:val="auto"/>
                <w:sz w:val="24"/>
                <w:u w:val="none"/>
              </w:rPr>
              <w:t>，</w:t>
            </w:r>
            <w:r>
              <w:rPr>
                <w:color w:val="auto"/>
                <w:sz w:val="24"/>
                <w:u w:val="none"/>
              </w:rPr>
              <w:t>SS</w:t>
            </w:r>
            <w:r>
              <w:rPr>
                <w:rFonts w:hAnsi="宋体"/>
                <w:color w:val="auto"/>
                <w:sz w:val="24"/>
                <w:u w:val="none"/>
              </w:rPr>
              <w:t>约为</w:t>
            </w:r>
            <w:r>
              <w:rPr>
                <w:color w:val="auto"/>
                <w:sz w:val="24"/>
                <w:u w:val="none"/>
              </w:rPr>
              <w:t>400</w:t>
            </w:r>
            <w:r>
              <w:rPr>
                <w:rFonts w:hAnsi="宋体"/>
                <w:color w:val="auto"/>
                <w:sz w:val="24"/>
                <w:u w:val="none"/>
              </w:rPr>
              <w:t>～</w:t>
            </w:r>
            <w:r>
              <w:rPr>
                <w:color w:val="auto"/>
                <w:sz w:val="24"/>
                <w:u w:val="none"/>
              </w:rPr>
              <w:t>500mg/L</w:t>
            </w:r>
            <w:r>
              <w:rPr>
                <w:rFonts w:hAnsi="宋体"/>
                <w:color w:val="auto"/>
                <w:sz w:val="24"/>
                <w:u w:val="none"/>
              </w:rPr>
              <w:t>。因此，需建设一沉淀隔油池，使泥沙自然沉降，油水分离，避免洗车废水污染水体。另外，雨季作业场面的地面径流水，含有一定量的泥土和高浓度的悬浮物。要求施工单位在施工现场设置临时集水池、沉砂池等临时性污水简易处理设施，对施工废水进行处理后</w:t>
            </w:r>
            <w:r>
              <w:rPr>
                <w:rFonts w:hint="eastAsia"/>
                <w:color w:val="auto"/>
                <w:sz w:val="24"/>
                <w:u w:val="none"/>
              </w:rPr>
              <w:t xml:space="preserve">回用不外排，对周围水环境影响较小。 </w:t>
            </w:r>
          </w:p>
          <w:p>
            <w:pPr>
              <w:pStyle w:val="4"/>
              <w:adjustRightInd w:val="0"/>
              <w:snapToGrid w:val="0"/>
              <w:spacing w:before="0" w:after="0" w:line="360" w:lineRule="auto"/>
              <w:ind w:left="720" w:hanging="720"/>
              <w:rPr>
                <w:rFonts w:hint="eastAsia"/>
                <w:color w:val="auto"/>
                <w:sz w:val="24"/>
                <w:szCs w:val="24"/>
                <w:u w:val="none"/>
              </w:rPr>
            </w:pPr>
            <w:r>
              <w:rPr>
                <w:rFonts w:hint="eastAsia"/>
                <w:color w:val="auto"/>
                <w:sz w:val="24"/>
                <w:szCs w:val="24"/>
                <w:u w:val="none"/>
                <w:lang w:val="en-US" w:eastAsia="zh-CN"/>
              </w:rPr>
              <w:t>1</w:t>
            </w:r>
            <w:r>
              <w:rPr>
                <w:rFonts w:hint="eastAsia"/>
                <w:color w:val="auto"/>
                <w:sz w:val="24"/>
                <w:szCs w:val="24"/>
                <w:u w:val="none"/>
              </w:rPr>
              <w:t>.</w:t>
            </w:r>
            <w:r>
              <w:rPr>
                <w:rFonts w:hint="eastAsia"/>
                <w:color w:val="auto"/>
                <w:sz w:val="24"/>
                <w:szCs w:val="24"/>
                <w:u w:val="none"/>
                <w:lang w:val="en-US" w:eastAsia="zh-CN"/>
              </w:rPr>
              <w:t>3</w:t>
            </w:r>
            <w:r>
              <w:rPr>
                <w:rFonts w:hint="eastAsia"/>
                <w:color w:val="auto"/>
                <w:sz w:val="24"/>
                <w:szCs w:val="24"/>
                <w:u w:val="none"/>
              </w:rPr>
              <w:t>声环境影响分析</w:t>
            </w:r>
          </w:p>
          <w:p>
            <w:pPr>
              <w:widowControl/>
              <w:snapToGrid w:val="0"/>
              <w:spacing w:line="360" w:lineRule="auto"/>
              <w:ind w:firstLine="449"/>
              <w:rPr>
                <w:color w:val="auto"/>
                <w:kern w:val="0"/>
                <w:sz w:val="24"/>
                <w:u w:val="none"/>
              </w:rPr>
            </w:pPr>
            <w:r>
              <w:rPr>
                <w:rFonts w:hint="eastAsia"/>
                <w:color w:val="auto"/>
                <w:sz w:val="24"/>
                <w:u w:val="none"/>
              </w:rPr>
              <w:t>根据噪声源分析可知，施工场地的噪声源主要为土建时使用到的各类高噪声施工机械</w:t>
            </w:r>
            <w:r>
              <w:rPr>
                <w:color w:val="auto"/>
                <w:kern w:val="0"/>
                <w:sz w:val="24"/>
                <w:u w:val="none"/>
              </w:rPr>
              <w:t>、施工作业噪声和施工车辆噪声。机械噪声主要由施工机械造成，如挖土机械、混凝土输送泵、升降机等，多为点声源；施工作业噪声主要指一些零星的敲打声、装卸车辆的撞击声、吆喝声、拆装模板的撞击声等，多为瞬间噪声。</w:t>
            </w:r>
          </w:p>
          <w:p>
            <w:pPr>
              <w:widowControl/>
              <w:snapToGrid w:val="0"/>
              <w:spacing w:line="360" w:lineRule="auto"/>
              <w:ind w:firstLine="449"/>
              <w:rPr>
                <w:color w:val="auto"/>
                <w:sz w:val="24"/>
                <w:u w:val="none"/>
              </w:rPr>
            </w:pPr>
            <w:r>
              <w:rPr>
                <w:color w:val="auto"/>
                <w:kern w:val="0"/>
                <w:sz w:val="24"/>
                <w:u w:val="none"/>
              </w:rPr>
              <w:t>由于施工期噪声源数量多，且具有移动性和源强的不稳定性，其对周围环境的影响会发生不断的变化。本评价主要通过计算施工期噪声的衰减范围和程度，并结合噪声标准限值和周围敏感点分布情况来说明项目施工期噪声对周围环境的影响。</w:t>
            </w:r>
            <w:r>
              <w:rPr>
                <w:color w:val="auto"/>
                <w:sz w:val="24"/>
                <w:u w:val="none"/>
              </w:rPr>
              <w:t>各主要施工机械噪声随距离衰减情况见表</w:t>
            </w:r>
            <w:r>
              <w:rPr>
                <w:rFonts w:hint="eastAsia"/>
                <w:color w:val="auto"/>
                <w:sz w:val="24"/>
                <w:u w:val="none"/>
                <w:lang w:val="en-US" w:eastAsia="zh-CN"/>
              </w:rPr>
              <w:t>36</w:t>
            </w:r>
            <w:r>
              <w:rPr>
                <w:color w:val="auto"/>
                <w:sz w:val="24"/>
                <w:u w:val="none"/>
              </w:rPr>
              <w:t>。</w:t>
            </w:r>
          </w:p>
          <w:p>
            <w:pPr>
              <w:jc w:val="center"/>
              <w:rPr>
                <w:b/>
                <w:color w:val="auto"/>
                <w:sz w:val="24"/>
              </w:rPr>
            </w:pPr>
            <w:r>
              <w:rPr>
                <w:b/>
                <w:color w:val="auto"/>
                <w:sz w:val="24"/>
              </w:rPr>
              <w:t>表</w:t>
            </w:r>
            <w:r>
              <w:rPr>
                <w:rFonts w:hint="eastAsia"/>
                <w:b/>
                <w:color w:val="auto"/>
                <w:sz w:val="24"/>
                <w:lang w:val="en-US" w:eastAsia="zh-CN"/>
              </w:rPr>
              <w:t>36</w:t>
            </w:r>
            <w:r>
              <w:rPr>
                <w:rFonts w:hint="eastAsia"/>
                <w:b/>
                <w:color w:val="auto"/>
                <w:sz w:val="24"/>
              </w:rPr>
              <w:t xml:space="preserve"> </w:t>
            </w:r>
            <w:r>
              <w:rPr>
                <w:b/>
                <w:color w:val="auto"/>
                <w:sz w:val="24"/>
              </w:rPr>
              <w:t>主要施工机械噪声随距离衰减情况</w:t>
            </w:r>
          </w:p>
          <w:tbl>
            <w:tblPr>
              <w:tblStyle w:val="14"/>
              <w:tblW w:w="8405"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338"/>
              <w:gridCol w:w="1007"/>
              <w:gridCol w:w="840"/>
              <w:gridCol w:w="675"/>
              <w:gridCol w:w="675"/>
              <w:gridCol w:w="675"/>
              <w:gridCol w:w="675"/>
              <w:gridCol w:w="840"/>
              <w:gridCol w:w="840"/>
              <w:gridCol w:w="84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90" w:hRule="atLeast"/>
                <w:jc w:val="center"/>
              </w:trPr>
              <w:tc>
                <w:tcPr>
                  <w:tcW w:w="1338" w:type="dxa"/>
                  <w:vMerge w:val="restart"/>
                  <w:vAlign w:val="center"/>
                </w:tcPr>
                <w:p>
                  <w:pPr>
                    <w:jc w:val="center"/>
                    <w:rPr>
                      <w:color w:val="auto"/>
                      <w:sz w:val="21"/>
                      <w:szCs w:val="21"/>
                      <w:u w:val="none"/>
                    </w:rPr>
                  </w:pPr>
                  <w:r>
                    <w:rPr>
                      <w:color w:val="auto"/>
                      <w:sz w:val="21"/>
                      <w:szCs w:val="21"/>
                      <w:u w:val="none"/>
                    </w:rPr>
                    <w:t>声源</w:t>
                  </w:r>
                </w:p>
              </w:tc>
              <w:tc>
                <w:tcPr>
                  <w:tcW w:w="1007" w:type="dxa"/>
                  <w:vMerge w:val="restart"/>
                  <w:vAlign w:val="center"/>
                </w:tcPr>
                <w:p>
                  <w:pPr>
                    <w:jc w:val="center"/>
                    <w:rPr>
                      <w:color w:val="auto"/>
                      <w:sz w:val="21"/>
                      <w:szCs w:val="21"/>
                      <w:u w:val="none"/>
                    </w:rPr>
                  </w:pPr>
                  <w:r>
                    <w:rPr>
                      <w:color w:val="auto"/>
                      <w:sz w:val="21"/>
                      <w:szCs w:val="21"/>
                      <w:u w:val="none"/>
                    </w:rPr>
                    <w:t>声级</w:t>
                  </w:r>
                </w:p>
              </w:tc>
              <w:tc>
                <w:tcPr>
                  <w:tcW w:w="6060" w:type="dxa"/>
                  <w:gridSpan w:val="8"/>
                  <w:vAlign w:val="center"/>
                </w:tcPr>
                <w:p>
                  <w:pPr>
                    <w:jc w:val="center"/>
                    <w:rPr>
                      <w:color w:val="auto"/>
                      <w:sz w:val="21"/>
                      <w:szCs w:val="21"/>
                      <w:u w:val="none"/>
                    </w:rPr>
                  </w:pPr>
                  <w:r>
                    <w:rPr>
                      <w:color w:val="auto"/>
                      <w:sz w:val="21"/>
                      <w:szCs w:val="21"/>
                      <w:u w:val="none"/>
                    </w:rPr>
                    <w:t>距离(m)</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80" w:hRule="atLeast"/>
                <w:jc w:val="center"/>
              </w:trPr>
              <w:tc>
                <w:tcPr>
                  <w:tcW w:w="1338" w:type="dxa"/>
                  <w:vMerge w:val="continue"/>
                  <w:vAlign w:val="center"/>
                </w:tcPr>
                <w:p>
                  <w:pPr>
                    <w:jc w:val="center"/>
                    <w:rPr>
                      <w:color w:val="auto"/>
                      <w:sz w:val="21"/>
                      <w:szCs w:val="21"/>
                      <w:u w:val="none"/>
                    </w:rPr>
                  </w:pPr>
                </w:p>
              </w:tc>
              <w:tc>
                <w:tcPr>
                  <w:tcW w:w="1007" w:type="dxa"/>
                  <w:vMerge w:val="continue"/>
                  <w:vAlign w:val="center"/>
                </w:tcPr>
                <w:p>
                  <w:pPr>
                    <w:jc w:val="center"/>
                    <w:rPr>
                      <w:color w:val="auto"/>
                      <w:sz w:val="21"/>
                      <w:szCs w:val="21"/>
                      <w:u w:val="none"/>
                    </w:rPr>
                  </w:pPr>
                </w:p>
              </w:tc>
              <w:tc>
                <w:tcPr>
                  <w:tcW w:w="840" w:type="dxa"/>
                  <w:vAlign w:val="center"/>
                </w:tcPr>
                <w:p>
                  <w:pPr>
                    <w:jc w:val="center"/>
                    <w:rPr>
                      <w:color w:val="auto"/>
                      <w:sz w:val="21"/>
                      <w:szCs w:val="21"/>
                      <w:u w:val="none"/>
                    </w:rPr>
                  </w:pPr>
                  <w:r>
                    <w:rPr>
                      <w:color w:val="auto"/>
                      <w:sz w:val="21"/>
                      <w:szCs w:val="21"/>
                      <w:u w:val="none"/>
                    </w:rPr>
                    <w:t>10</w:t>
                  </w:r>
                </w:p>
              </w:tc>
              <w:tc>
                <w:tcPr>
                  <w:tcW w:w="675" w:type="dxa"/>
                  <w:vAlign w:val="center"/>
                </w:tcPr>
                <w:p>
                  <w:pPr>
                    <w:jc w:val="center"/>
                    <w:rPr>
                      <w:color w:val="auto"/>
                      <w:sz w:val="21"/>
                      <w:szCs w:val="21"/>
                      <w:u w:val="none"/>
                    </w:rPr>
                  </w:pPr>
                  <w:r>
                    <w:rPr>
                      <w:color w:val="auto"/>
                      <w:sz w:val="21"/>
                      <w:szCs w:val="21"/>
                      <w:u w:val="none"/>
                    </w:rPr>
                    <w:t>20</w:t>
                  </w:r>
                </w:p>
              </w:tc>
              <w:tc>
                <w:tcPr>
                  <w:tcW w:w="675" w:type="dxa"/>
                  <w:vAlign w:val="center"/>
                </w:tcPr>
                <w:p>
                  <w:pPr>
                    <w:jc w:val="center"/>
                    <w:rPr>
                      <w:color w:val="auto"/>
                      <w:sz w:val="21"/>
                      <w:szCs w:val="21"/>
                      <w:u w:val="none"/>
                    </w:rPr>
                  </w:pPr>
                  <w:r>
                    <w:rPr>
                      <w:color w:val="auto"/>
                      <w:sz w:val="21"/>
                      <w:szCs w:val="21"/>
                      <w:u w:val="none"/>
                    </w:rPr>
                    <w:t>30</w:t>
                  </w:r>
                </w:p>
              </w:tc>
              <w:tc>
                <w:tcPr>
                  <w:tcW w:w="675" w:type="dxa"/>
                  <w:vAlign w:val="center"/>
                </w:tcPr>
                <w:p>
                  <w:pPr>
                    <w:jc w:val="center"/>
                    <w:rPr>
                      <w:color w:val="auto"/>
                      <w:sz w:val="21"/>
                      <w:szCs w:val="21"/>
                      <w:u w:val="none"/>
                    </w:rPr>
                  </w:pPr>
                  <w:r>
                    <w:rPr>
                      <w:color w:val="auto"/>
                      <w:sz w:val="21"/>
                      <w:szCs w:val="21"/>
                      <w:u w:val="none"/>
                    </w:rPr>
                    <w:t>50</w:t>
                  </w:r>
                </w:p>
              </w:tc>
              <w:tc>
                <w:tcPr>
                  <w:tcW w:w="675" w:type="dxa"/>
                  <w:vAlign w:val="center"/>
                </w:tcPr>
                <w:p>
                  <w:pPr>
                    <w:jc w:val="center"/>
                    <w:rPr>
                      <w:color w:val="auto"/>
                      <w:sz w:val="21"/>
                      <w:szCs w:val="21"/>
                      <w:u w:val="none"/>
                    </w:rPr>
                  </w:pPr>
                  <w:r>
                    <w:rPr>
                      <w:color w:val="auto"/>
                      <w:sz w:val="21"/>
                      <w:szCs w:val="21"/>
                      <w:u w:val="none"/>
                    </w:rPr>
                    <w:t>80</w:t>
                  </w:r>
                </w:p>
              </w:tc>
              <w:tc>
                <w:tcPr>
                  <w:tcW w:w="840" w:type="dxa"/>
                  <w:vAlign w:val="center"/>
                </w:tcPr>
                <w:p>
                  <w:pPr>
                    <w:jc w:val="center"/>
                    <w:rPr>
                      <w:color w:val="auto"/>
                      <w:sz w:val="21"/>
                      <w:szCs w:val="21"/>
                      <w:u w:val="none"/>
                    </w:rPr>
                  </w:pPr>
                  <w:r>
                    <w:rPr>
                      <w:color w:val="auto"/>
                      <w:sz w:val="21"/>
                      <w:szCs w:val="21"/>
                      <w:u w:val="none"/>
                    </w:rPr>
                    <w:t>100</w:t>
                  </w:r>
                </w:p>
              </w:tc>
              <w:tc>
                <w:tcPr>
                  <w:tcW w:w="840" w:type="dxa"/>
                  <w:vAlign w:val="center"/>
                </w:tcPr>
                <w:p>
                  <w:pPr>
                    <w:jc w:val="center"/>
                    <w:rPr>
                      <w:color w:val="auto"/>
                      <w:sz w:val="21"/>
                      <w:szCs w:val="21"/>
                      <w:u w:val="none"/>
                    </w:rPr>
                  </w:pPr>
                  <w:r>
                    <w:rPr>
                      <w:color w:val="auto"/>
                      <w:sz w:val="21"/>
                      <w:szCs w:val="21"/>
                      <w:u w:val="none"/>
                    </w:rPr>
                    <w:t>150</w:t>
                  </w:r>
                </w:p>
              </w:tc>
              <w:tc>
                <w:tcPr>
                  <w:tcW w:w="840" w:type="dxa"/>
                  <w:vAlign w:val="center"/>
                </w:tcPr>
                <w:p>
                  <w:pPr>
                    <w:jc w:val="center"/>
                    <w:rPr>
                      <w:color w:val="auto"/>
                      <w:sz w:val="21"/>
                      <w:szCs w:val="21"/>
                      <w:u w:val="none"/>
                    </w:rPr>
                  </w:pPr>
                  <w:r>
                    <w:rPr>
                      <w:color w:val="auto"/>
                      <w:sz w:val="21"/>
                      <w:szCs w:val="21"/>
                      <w:u w:val="none"/>
                    </w:rPr>
                    <w:t>200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91" w:hRule="atLeast"/>
                <w:jc w:val="center"/>
              </w:trPr>
              <w:tc>
                <w:tcPr>
                  <w:tcW w:w="1338" w:type="dxa"/>
                  <w:vAlign w:val="center"/>
                </w:tcPr>
                <w:p>
                  <w:pPr>
                    <w:jc w:val="center"/>
                    <w:rPr>
                      <w:color w:val="auto"/>
                      <w:sz w:val="21"/>
                      <w:szCs w:val="21"/>
                      <w:u w:val="none"/>
                    </w:rPr>
                  </w:pPr>
                  <w:r>
                    <w:rPr>
                      <w:color w:val="auto"/>
                      <w:sz w:val="21"/>
                      <w:szCs w:val="21"/>
                      <w:u w:val="none"/>
                    </w:rPr>
                    <w:t>推土机</w:t>
                  </w:r>
                </w:p>
              </w:tc>
              <w:tc>
                <w:tcPr>
                  <w:tcW w:w="1007" w:type="dxa"/>
                  <w:vAlign w:val="center"/>
                </w:tcPr>
                <w:p>
                  <w:pPr>
                    <w:jc w:val="center"/>
                    <w:rPr>
                      <w:color w:val="auto"/>
                      <w:sz w:val="21"/>
                      <w:szCs w:val="21"/>
                      <w:u w:val="none"/>
                    </w:rPr>
                  </w:pPr>
                  <w:r>
                    <w:rPr>
                      <w:color w:val="auto"/>
                      <w:sz w:val="21"/>
                      <w:szCs w:val="21"/>
                      <w:u w:val="none"/>
                    </w:rPr>
                    <w:t>86</w:t>
                  </w:r>
                </w:p>
              </w:tc>
              <w:tc>
                <w:tcPr>
                  <w:tcW w:w="840" w:type="dxa"/>
                  <w:vAlign w:val="center"/>
                </w:tcPr>
                <w:p>
                  <w:pPr>
                    <w:jc w:val="center"/>
                    <w:rPr>
                      <w:color w:val="auto"/>
                      <w:sz w:val="21"/>
                      <w:szCs w:val="21"/>
                      <w:u w:val="none"/>
                    </w:rPr>
                  </w:pPr>
                  <w:r>
                    <w:rPr>
                      <w:color w:val="auto"/>
                      <w:sz w:val="21"/>
                      <w:szCs w:val="21"/>
                      <w:u w:val="none"/>
                    </w:rPr>
                    <w:t>77</w:t>
                  </w:r>
                </w:p>
              </w:tc>
              <w:tc>
                <w:tcPr>
                  <w:tcW w:w="675" w:type="dxa"/>
                  <w:vAlign w:val="center"/>
                </w:tcPr>
                <w:p>
                  <w:pPr>
                    <w:jc w:val="center"/>
                    <w:rPr>
                      <w:color w:val="auto"/>
                      <w:sz w:val="21"/>
                      <w:szCs w:val="21"/>
                      <w:u w:val="none"/>
                    </w:rPr>
                  </w:pPr>
                  <w:r>
                    <w:rPr>
                      <w:color w:val="auto"/>
                      <w:sz w:val="21"/>
                      <w:szCs w:val="21"/>
                      <w:u w:val="none"/>
                    </w:rPr>
                    <w:t>70</w:t>
                  </w:r>
                </w:p>
              </w:tc>
              <w:tc>
                <w:tcPr>
                  <w:tcW w:w="675" w:type="dxa"/>
                  <w:vAlign w:val="center"/>
                </w:tcPr>
                <w:p>
                  <w:pPr>
                    <w:jc w:val="center"/>
                    <w:rPr>
                      <w:color w:val="auto"/>
                      <w:sz w:val="21"/>
                      <w:szCs w:val="21"/>
                      <w:u w:val="none"/>
                    </w:rPr>
                  </w:pPr>
                  <w:r>
                    <w:rPr>
                      <w:color w:val="auto"/>
                      <w:sz w:val="21"/>
                      <w:szCs w:val="21"/>
                      <w:u w:val="none"/>
                    </w:rPr>
                    <w:t>66</w:t>
                  </w:r>
                </w:p>
              </w:tc>
              <w:tc>
                <w:tcPr>
                  <w:tcW w:w="675" w:type="dxa"/>
                  <w:vAlign w:val="center"/>
                </w:tcPr>
                <w:p>
                  <w:pPr>
                    <w:jc w:val="center"/>
                    <w:rPr>
                      <w:color w:val="auto"/>
                      <w:sz w:val="21"/>
                      <w:szCs w:val="21"/>
                      <w:u w:val="none"/>
                    </w:rPr>
                  </w:pPr>
                  <w:r>
                    <w:rPr>
                      <w:color w:val="auto"/>
                      <w:sz w:val="21"/>
                      <w:szCs w:val="21"/>
                      <w:u w:val="none"/>
                    </w:rPr>
                    <w:t>62</w:t>
                  </w:r>
                </w:p>
              </w:tc>
              <w:tc>
                <w:tcPr>
                  <w:tcW w:w="675" w:type="dxa"/>
                  <w:vAlign w:val="center"/>
                </w:tcPr>
                <w:p>
                  <w:pPr>
                    <w:jc w:val="center"/>
                    <w:rPr>
                      <w:color w:val="auto"/>
                      <w:sz w:val="21"/>
                      <w:szCs w:val="21"/>
                      <w:u w:val="none"/>
                    </w:rPr>
                  </w:pPr>
                  <w:r>
                    <w:rPr>
                      <w:color w:val="auto"/>
                      <w:sz w:val="21"/>
                      <w:szCs w:val="21"/>
                      <w:u w:val="none"/>
                    </w:rPr>
                    <w:t>60</w:t>
                  </w:r>
                </w:p>
              </w:tc>
              <w:tc>
                <w:tcPr>
                  <w:tcW w:w="840" w:type="dxa"/>
                  <w:vAlign w:val="center"/>
                </w:tcPr>
                <w:p>
                  <w:pPr>
                    <w:jc w:val="center"/>
                    <w:rPr>
                      <w:color w:val="auto"/>
                      <w:sz w:val="21"/>
                      <w:szCs w:val="21"/>
                      <w:u w:val="none"/>
                    </w:rPr>
                  </w:pPr>
                  <w:r>
                    <w:rPr>
                      <w:color w:val="auto"/>
                      <w:sz w:val="21"/>
                      <w:szCs w:val="21"/>
                      <w:u w:val="none"/>
                    </w:rPr>
                    <w:t>56</w:t>
                  </w:r>
                </w:p>
              </w:tc>
              <w:tc>
                <w:tcPr>
                  <w:tcW w:w="840" w:type="dxa"/>
                  <w:vAlign w:val="center"/>
                </w:tcPr>
                <w:p>
                  <w:pPr>
                    <w:jc w:val="center"/>
                    <w:rPr>
                      <w:color w:val="auto"/>
                      <w:sz w:val="21"/>
                      <w:szCs w:val="21"/>
                      <w:u w:val="none"/>
                    </w:rPr>
                  </w:pPr>
                  <w:r>
                    <w:rPr>
                      <w:color w:val="auto"/>
                      <w:sz w:val="21"/>
                      <w:szCs w:val="21"/>
                      <w:u w:val="none"/>
                    </w:rPr>
                    <w:t>52</w:t>
                  </w:r>
                </w:p>
              </w:tc>
              <w:tc>
                <w:tcPr>
                  <w:tcW w:w="840" w:type="dxa"/>
                  <w:vAlign w:val="center"/>
                </w:tcPr>
                <w:p>
                  <w:pPr>
                    <w:jc w:val="center"/>
                    <w:rPr>
                      <w:color w:val="auto"/>
                      <w:sz w:val="21"/>
                      <w:szCs w:val="21"/>
                      <w:u w:val="none"/>
                    </w:rPr>
                  </w:pPr>
                  <w:r>
                    <w:rPr>
                      <w:color w:val="auto"/>
                      <w:sz w:val="21"/>
                      <w:szCs w:val="21"/>
                      <w:u w:val="none"/>
                    </w:rPr>
                    <w:t>50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98" w:hRule="atLeast"/>
                <w:jc w:val="center"/>
              </w:trPr>
              <w:tc>
                <w:tcPr>
                  <w:tcW w:w="1338" w:type="dxa"/>
                  <w:vAlign w:val="center"/>
                </w:tcPr>
                <w:p>
                  <w:pPr>
                    <w:jc w:val="center"/>
                    <w:rPr>
                      <w:color w:val="auto"/>
                      <w:sz w:val="21"/>
                      <w:szCs w:val="21"/>
                      <w:u w:val="none"/>
                    </w:rPr>
                  </w:pPr>
                  <w:r>
                    <w:rPr>
                      <w:color w:val="auto"/>
                      <w:sz w:val="21"/>
                      <w:szCs w:val="21"/>
                      <w:u w:val="none"/>
                    </w:rPr>
                    <w:t>装卸机</w:t>
                  </w:r>
                </w:p>
              </w:tc>
              <w:tc>
                <w:tcPr>
                  <w:tcW w:w="1007" w:type="dxa"/>
                  <w:vAlign w:val="center"/>
                </w:tcPr>
                <w:p>
                  <w:pPr>
                    <w:jc w:val="center"/>
                    <w:rPr>
                      <w:color w:val="auto"/>
                      <w:sz w:val="21"/>
                      <w:szCs w:val="21"/>
                      <w:u w:val="none"/>
                    </w:rPr>
                  </w:pPr>
                  <w:r>
                    <w:rPr>
                      <w:color w:val="auto"/>
                      <w:sz w:val="21"/>
                      <w:szCs w:val="21"/>
                      <w:u w:val="none"/>
                    </w:rPr>
                    <w:t>90</w:t>
                  </w:r>
                </w:p>
              </w:tc>
              <w:tc>
                <w:tcPr>
                  <w:tcW w:w="840" w:type="dxa"/>
                  <w:vAlign w:val="center"/>
                </w:tcPr>
                <w:p>
                  <w:pPr>
                    <w:jc w:val="center"/>
                    <w:rPr>
                      <w:color w:val="auto"/>
                      <w:sz w:val="21"/>
                      <w:szCs w:val="21"/>
                      <w:u w:val="none"/>
                    </w:rPr>
                  </w:pPr>
                  <w:r>
                    <w:rPr>
                      <w:color w:val="auto"/>
                      <w:sz w:val="21"/>
                      <w:szCs w:val="21"/>
                      <w:u w:val="none"/>
                    </w:rPr>
                    <w:t>80</w:t>
                  </w:r>
                </w:p>
              </w:tc>
              <w:tc>
                <w:tcPr>
                  <w:tcW w:w="675" w:type="dxa"/>
                  <w:vAlign w:val="center"/>
                </w:tcPr>
                <w:p>
                  <w:pPr>
                    <w:jc w:val="center"/>
                    <w:rPr>
                      <w:color w:val="auto"/>
                      <w:sz w:val="21"/>
                      <w:szCs w:val="21"/>
                      <w:u w:val="none"/>
                    </w:rPr>
                  </w:pPr>
                  <w:r>
                    <w:rPr>
                      <w:color w:val="auto"/>
                      <w:sz w:val="21"/>
                      <w:szCs w:val="21"/>
                      <w:u w:val="none"/>
                    </w:rPr>
                    <w:t>74</w:t>
                  </w:r>
                </w:p>
              </w:tc>
              <w:tc>
                <w:tcPr>
                  <w:tcW w:w="675" w:type="dxa"/>
                  <w:vAlign w:val="center"/>
                </w:tcPr>
                <w:p>
                  <w:pPr>
                    <w:jc w:val="center"/>
                    <w:rPr>
                      <w:color w:val="auto"/>
                      <w:sz w:val="21"/>
                      <w:szCs w:val="21"/>
                      <w:u w:val="none"/>
                    </w:rPr>
                  </w:pPr>
                  <w:r>
                    <w:rPr>
                      <w:color w:val="auto"/>
                      <w:sz w:val="21"/>
                      <w:szCs w:val="21"/>
                      <w:u w:val="none"/>
                    </w:rPr>
                    <w:t>70</w:t>
                  </w:r>
                </w:p>
              </w:tc>
              <w:tc>
                <w:tcPr>
                  <w:tcW w:w="675" w:type="dxa"/>
                  <w:vAlign w:val="center"/>
                </w:tcPr>
                <w:p>
                  <w:pPr>
                    <w:jc w:val="center"/>
                    <w:rPr>
                      <w:color w:val="auto"/>
                      <w:sz w:val="21"/>
                      <w:szCs w:val="21"/>
                      <w:u w:val="none"/>
                    </w:rPr>
                  </w:pPr>
                  <w:r>
                    <w:rPr>
                      <w:color w:val="auto"/>
                      <w:sz w:val="21"/>
                      <w:szCs w:val="21"/>
                      <w:u w:val="none"/>
                    </w:rPr>
                    <w:t>66</w:t>
                  </w:r>
                </w:p>
              </w:tc>
              <w:tc>
                <w:tcPr>
                  <w:tcW w:w="675" w:type="dxa"/>
                  <w:vAlign w:val="center"/>
                </w:tcPr>
                <w:p>
                  <w:pPr>
                    <w:jc w:val="center"/>
                    <w:rPr>
                      <w:color w:val="auto"/>
                      <w:sz w:val="21"/>
                      <w:szCs w:val="21"/>
                      <w:u w:val="none"/>
                    </w:rPr>
                  </w:pPr>
                  <w:r>
                    <w:rPr>
                      <w:color w:val="auto"/>
                      <w:sz w:val="21"/>
                      <w:szCs w:val="21"/>
                      <w:u w:val="none"/>
                    </w:rPr>
                    <w:t>63</w:t>
                  </w:r>
                </w:p>
              </w:tc>
              <w:tc>
                <w:tcPr>
                  <w:tcW w:w="840" w:type="dxa"/>
                  <w:vAlign w:val="center"/>
                </w:tcPr>
                <w:p>
                  <w:pPr>
                    <w:jc w:val="center"/>
                    <w:rPr>
                      <w:color w:val="auto"/>
                      <w:sz w:val="21"/>
                      <w:szCs w:val="21"/>
                      <w:u w:val="none"/>
                    </w:rPr>
                  </w:pPr>
                  <w:r>
                    <w:rPr>
                      <w:color w:val="auto"/>
                      <w:sz w:val="21"/>
                      <w:szCs w:val="21"/>
                      <w:u w:val="none"/>
                    </w:rPr>
                    <w:t>60</w:t>
                  </w:r>
                </w:p>
              </w:tc>
              <w:tc>
                <w:tcPr>
                  <w:tcW w:w="840" w:type="dxa"/>
                  <w:vAlign w:val="center"/>
                </w:tcPr>
                <w:p>
                  <w:pPr>
                    <w:jc w:val="center"/>
                    <w:rPr>
                      <w:color w:val="auto"/>
                      <w:sz w:val="21"/>
                      <w:szCs w:val="21"/>
                      <w:u w:val="none"/>
                    </w:rPr>
                  </w:pPr>
                  <w:r>
                    <w:rPr>
                      <w:color w:val="auto"/>
                      <w:sz w:val="21"/>
                      <w:szCs w:val="21"/>
                      <w:u w:val="none"/>
                    </w:rPr>
                    <w:t>56</w:t>
                  </w:r>
                </w:p>
              </w:tc>
              <w:tc>
                <w:tcPr>
                  <w:tcW w:w="840" w:type="dxa"/>
                  <w:vAlign w:val="center"/>
                </w:tcPr>
                <w:p>
                  <w:pPr>
                    <w:jc w:val="center"/>
                    <w:rPr>
                      <w:color w:val="auto"/>
                      <w:sz w:val="21"/>
                      <w:szCs w:val="21"/>
                      <w:u w:val="none"/>
                    </w:rPr>
                  </w:pPr>
                  <w:r>
                    <w:rPr>
                      <w:color w:val="auto"/>
                      <w:sz w:val="21"/>
                      <w:szCs w:val="21"/>
                      <w:u w:val="none"/>
                    </w:rPr>
                    <w:t>54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74" w:hRule="atLeast"/>
                <w:jc w:val="center"/>
              </w:trPr>
              <w:tc>
                <w:tcPr>
                  <w:tcW w:w="1338" w:type="dxa"/>
                  <w:vAlign w:val="center"/>
                </w:tcPr>
                <w:p>
                  <w:pPr>
                    <w:jc w:val="center"/>
                    <w:rPr>
                      <w:color w:val="auto"/>
                      <w:sz w:val="21"/>
                      <w:szCs w:val="21"/>
                      <w:u w:val="none"/>
                    </w:rPr>
                  </w:pPr>
                  <w:r>
                    <w:rPr>
                      <w:color w:val="auto"/>
                      <w:sz w:val="21"/>
                      <w:szCs w:val="21"/>
                      <w:u w:val="none"/>
                    </w:rPr>
                    <w:t>挖掘机</w:t>
                  </w:r>
                </w:p>
              </w:tc>
              <w:tc>
                <w:tcPr>
                  <w:tcW w:w="1007" w:type="dxa"/>
                  <w:vAlign w:val="center"/>
                </w:tcPr>
                <w:p>
                  <w:pPr>
                    <w:jc w:val="center"/>
                    <w:rPr>
                      <w:color w:val="auto"/>
                      <w:sz w:val="21"/>
                      <w:szCs w:val="21"/>
                      <w:u w:val="none"/>
                    </w:rPr>
                  </w:pPr>
                  <w:r>
                    <w:rPr>
                      <w:color w:val="auto"/>
                      <w:sz w:val="21"/>
                      <w:szCs w:val="21"/>
                      <w:u w:val="none"/>
                    </w:rPr>
                    <w:t>84</w:t>
                  </w:r>
                </w:p>
              </w:tc>
              <w:tc>
                <w:tcPr>
                  <w:tcW w:w="840" w:type="dxa"/>
                  <w:vAlign w:val="center"/>
                </w:tcPr>
                <w:p>
                  <w:pPr>
                    <w:jc w:val="center"/>
                    <w:rPr>
                      <w:color w:val="auto"/>
                      <w:sz w:val="21"/>
                      <w:szCs w:val="21"/>
                      <w:u w:val="none"/>
                    </w:rPr>
                  </w:pPr>
                  <w:r>
                    <w:rPr>
                      <w:color w:val="auto"/>
                      <w:sz w:val="21"/>
                      <w:szCs w:val="21"/>
                      <w:u w:val="none"/>
                    </w:rPr>
                    <w:t>75</w:t>
                  </w:r>
                </w:p>
              </w:tc>
              <w:tc>
                <w:tcPr>
                  <w:tcW w:w="675" w:type="dxa"/>
                  <w:vAlign w:val="center"/>
                </w:tcPr>
                <w:p>
                  <w:pPr>
                    <w:jc w:val="center"/>
                    <w:rPr>
                      <w:color w:val="auto"/>
                      <w:sz w:val="21"/>
                      <w:szCs w:val="21"/>
                      <w:u w:val="none"/>
                    </w:rPr>
                  </w:pPr>
                  <w:r>
                    <w:rPr>
                      <w:color w:val="auto"/>
                      <w:sz w:val="21"/>
                      <w:szCs w:val="21"/>
                      <w:u w:val="none"/>
                    </w:rPr>
                    <w:t>68</w:t>
                  </w:r>
                </w:p>
              </w:tc>
              <w:tc>
                <w:tcPr>
                  <w:tcW w:w="675" w:type="dxa"/>
                  <w:vAlign w:val="center"/>
                </w:tcPr>
                <w:p>
                  <w:pPr>
                    <w:jc w:val="center"/>
                    <w:rPr>
                      <w:color w:val="auto"/>
                      <w:sz w:val="21"/>
                      <w:szCs w:val="21"/>
                      <w:u w:val="none"/>
                    </w:rPr>
                  </w:pPr>
                  <w:r>
                    <w:rPr>
                      <w:color w:val="auto"/>
                      <w:sz w:val="21"/>
                      <w:szCs w:val="21"/>
                      <w:u w:val="none"/>
                    </w:rPr>
                    <w:t>64</w:t>
                  </w:r>
                </w:p>
              </w:tc>
              <w:tc>
                <w:tcPr>
                  <w:tcW w:w="675" w:type="dxa"/>
                  <w:vAlign w:val="center"/>
                </w:tcPr>
                <w:p>
                  <w:pPr>
                    <w:jc w:val="center"/>
                    <w:rPr>
                      <w:color w:val="auto"/>
                      <w:sz w:val="21"/>
                      <w:szCs w:val="21"/>
                      <w:u w:val="none"/>
                    </w:rPr>
                  </w:pPr>
                  <w:r>
                    <w:rPr>
                      <w:color w:val="auto"/>
                      <w:sz w:val="21"/>
                      <w:szCs w:val="21"/>
                      <w:u w:val="none"/>
                    </w:rPr>
                    <w:t>60</w:t>
                  </w:r>
                </w:p>
              </w:tc>
              <w:tc>
                <w:tcPr>
                  <w:tcW w:w="675" w:type="dxa"/>
                  <w:vAlign w:val="center"/>
                </w:tcPr>
                <w:p>
                  <w:pPr>
                    <w:jc w:val="center"/>
                    <w:rPr>
                      <w:color w:val="auto"/>
                      <w:sz w:val="21"/>
                      <w:szCs w:val="21"/>
                      <w:u w:val="none"/>
                    </w:rPr>
                  </w:pPr>
                  <w:r>
                    <w:rPr>
                      <w:color w:val="auto"/>
                      <w:sz w:val="21"/>
                      <w:szCs w:val="21"/>
                      <w:u w:val="none"/>
                    </w:rPr>
                    <w:t>57</w:t>
                  </w:r>
                </w:p>
              </w:tc>
              <w:tc>
                <w:tcPr>
                  <w:tcW w:w="840" w:type="dxa"/>
                  <w:vAlign w:val="center"/>
                </w:tcPr>
                <w:p>
                  <w:pPr>
                    <w:jc w:val="center"/>
                    <w:rPr>
                      <w:color w:val="auto"/>
                      <w:sz w:val="21"/>
                      <w:szCs w:val="21"/>
                      <w:u w:val="none"/>
                    </w:rPr>
                  </w:pPr>
                  <w:r>
                    <w:rPr>
                      <w:color w:val="auto"/>
                      <w:sz w:val="21"/>
                      <w:szCs w:val="21"/>
                      <w:u w:val="none"/>
                    </w:rPr>
                    <w:t>54</w:t>
                  </w:r>
                </w:p>
              </w:tc>
              <w:tc>
                <w:tcPr>
                  <w:tcW w:w="840" w:type="dxa"/>
                  <w:vAlign w:val="center"/>
                </w:tcPr>
                <w:p>
                  <w:pPr>
                    <w:jc w:val="center"/>
                    <w:rPr>
                      <w:color w:val="auto"/>
                      <w:sz w:val="21"/>
                      <w:szCs w:val="21"/>
                      <w:u w:val="none"/>
                    </w:rPr>
                  </w:pPr>
                  <w:r>
                    <w:rPr>
                      <w:color w:val="auto"/>
                      <w:sz w:val="21"/>
                      <w:szCs w:val="21"/>
                      <w:u w:val="none"/>
                    </w:rPr>
                    <w:t>50</w:t>
                  </w:r>
                </w:p>
              </w:tc>
              <w:tc>
                <w:tcPr>
                  <w:tcW w:w="840" w:type="dxa"/>
                  <w:vAlign w:val="center"/>
                </w:tcPr>
                <w:p>
                  <w:pPr>
                    <w:jc w:val="center"/>
                    <w:rPr>
                      <w:color w:val="auto"/>
                      <w:sz w:val="21"/>
                      <w:szCs w:val="21"/>
                      <w:u w:val="none"/>
                    </w:rPr>
                  </w:pPr>
                  <w:r>
                    <w:rPr>
                      <w:color w:val="auto"/>
                      <w:sz w:val="21"/>
                      <w:szCs w:val="21"/>
                      <w:u w:val="none"/>
                    </w:rPr>
                    <w:t>48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54" w:hRule="atLeast"/>
                <w:jc w:val="center"/>
              </w:trPr>
              <w:tc>
                <w:tcPr>
                  <w:tcW w:w="1338" w:type="dxa"/>
                  <w:vAlign w:val="center"/>
                </w:tcPr>
                <w:p>
                  <w:pPr>
                    <w:jc w:val="center"/>
                    <w:rPr>
                      <w:color w:val="auto"/>
                      <w:sz w:val="21"/>
                      <w:szCs w:val="21"/>
                      <w:u w:val="none"/>
                    </w:rPr>
                  </w:pPr>
                  <w:r>
                    <w:rPr>
                      <w:color w:val="auto"/>
                      <w:sz w:val="21"/>
                      <w:szCs w:val="21"/>
                      <w:u w:val="none"/>
                    </w:rPr>
                    <w:t>振捣机</w:t>
                  </w:r>
                </w:p>
              </w:tc>
              <w:tc>
                <w:tcPr>
                  <w:tcW w:w="1007" w:type="dxa"/>
                  <w:vAlign w:val="center"/>
                </w:tcPr>
                <w:p>
                  <w:pPr>
                    <w:jc w:val="center"/>
                    <w:rPr>
                      <w:color w:val="auto"/>
                      <w:sz w:val="21"/>
                      <w:szCs w:val="21"/>
                      <w:u w:val="none"/>
                    </w:rPr>
                  </w:pPr>
                  <w:r>
                    <w:rPr>
                      <w:color w:val="auto"/>
                      <w:sz w:val="21"/>
                      <w:szCs w:val="21"/>
                      <w:u w:val="none"/>
                    </w:rPr>
                    <w:t>90</w:t>
                  </w:r>
                </w:p>
              </w:tc>
              <w:tc>
                <w:tcPr>
                  <w:tcW w:w="840" w:type="dxa"/>
                  <w:vAlign w:val="center"/>
                </w:tcPr>
                <w:p>
                  <w:pPr>
                    <w:jc w:val="center"/>
                    <w:rPr>
                      <w:color w:val="auto"/>
                      <w:sz w:val="21"/>
                      <w:szCs w:val="21"/>
                      <w:u w:val="none"/>
                    </w:rPr>
                  </w:pPr>
                  <w:r>
                    <w:rPr>
                      <w:color w:val="auto"/>
                      <w:sz w:val="21"/>
                      <w:szCs w:val="21"/>
                      <w:u w:val="none"/>
                    </w:rPr>
                    <w:t>80</w:t>
                  </w:r>
                </w:p>
              </w:tc>
              <w:tc>
                <w:tcPr>
                  <w:tcW w:w="675" w:type="dxa"/>
                  <w:vAlign w:val="center"/>
                </w:tcPr>
                <w:p>
                  <w:pPr>
                    <w:jc w:val="center"/>
                    <w:rPr>
                      <w:color w:val="auto"/>
                      <w:sz w:val="21"/>
                      <w:szCs w:val="21"/>
                      <w:u w:val="none"/>
                    </w:rPr>
                  </w:pPr>
                  <w:r>
                    <w:rPr>
                      <w:color w:val="auto"/>
                      <w:sz w:val="21"/>
                      <w:szCs w:val="21"/>
                      <w:u w:val="none"/>
                    </w:rPr>
                    <w:t>74</w:t>
                  </w:r>
                </w:p>
              </w:tc>
              <w:tc>
                <w:tcPr>
                  <w:tcW w:w="675" w:type="dxa"/>
                  <w:vAlign w:val="center"/>
                </w:tcPr>
                <w:p>
                  <w:pPr>
                    <w:jc w:val="center"/>
                    <w:rPr>
                      <w:color w:val="auto"/>
                      <w:sz w:val="21"/>
                      <w:szCs w:val="21"/>
                      <w:u w:val="none"/>
                    </w:rPr>
                  </w:pPr>
                  <w:r>
                    <w:rPr>
                      <w:color w:val="auto"/>
                      <w:sz w:val="21"/>
                      <w:szCs w:val="21"/>
                      <w:u w:val="none"/>
                    </w:rPr>
                    <w:t>70</w:t>
                  </w:r>
                </w:p>
              </w:tc>
              <w:tc>
                <w:tcPr>
                  <w:tcW w:w="675" w:type="dxa"/>
                  <w:vAlign w:val="center"/>
                </w:tcPr>
                <w:p>
                  <w:pPr>
                    <w:jc w:val="center"/>
                    <w:rPr>
                      <w:color w:val="auto"/>
                      <w:sz w:val="21"/>
                      <w:szCs w:val="21"/>
                      <w:u w:val="none"/>
                    </w:rPr>
                  </w:pPr>
                  <w:r>
                    <w:rPr>
                      <w:color w:val="auto"/>
                      <w:sz w:val="21"/>
                      <w:szCs w:val="21"/>
                      <w:u w:val="none"/>
                    </w:rPr>
                    <w:t>66</w:t>
                  </w:r>
                </w:p>
              </w:tc>
              <w:tc>
                <w:tcPr>
                  <w:tcW w:w="675" w:type="dxa"/>
                  <w:vAlign w:val="center"/>
                </w:tcPr>
                <w:p>
                  <w:pPr>
                    <w:jc w:val="center"/>
                    <w:rPr>
                      <w:color w:val="auto"/>
                      <w:sz w:val="21"/>
                      <w:szCs w:val="21"/>
                      <w:u w:val="none"/>
                    </w:rPr>
                  </w:pPr>
                  <w:r>
                    <w:rPr>
                      <w:color w:val="auto"/>
                      <w:sz w:val="21"/>
                      <w:szCs w:val="21"/>
                      <w:u w:val="none"/>
                    </w:rPr>
                    <w:t>62</w:t>
                  </w:r>
                </w:p>
              </w:tc>
              <w:tc>
                <w:tcPr>
                  <w:tcW w:w="840" w:type="dxa"/>
                  <w:vAlign w:val="center"/>
                </w:tcPr>
                <w:p>
                  <w:pPr>
                    <w:jc w:val="center"/>
                    <w:rPr>
                      <w:color w:val="auto"/>
                      <w:sz w:val="21"/>
                      <w:szCs w:val="21"/>
                      <w:u w:val="none"/>
                    </w:rPr>
                  </w:pPr>
                  <w:r>
                    <w:rPr>
                      <w:color w:val="auto"/>
                      <w:sz w:val="21"/>
                      <w:szCs w:val="21"/>
                      <w:u w:val="none"/>
                    </w:rPr>
                    <w:t>60</w:t>
                  </w:r>
                </w:p>
              </w:tc>
              <w:tc>
                <w:tcPr>
                  <w:tcW w:w="840" w:type="dxa"/>
                  <w:vAlign w:val="center"/>
                </w:tcPr>
                <w:p>
                  <w:pPr>
                    <w:jc w:val="center"/>
                    <w:rPr>
                      <w:color w:val="auto"/>
                      <w:sz w:val="21"/>
                      <w:szCs w:val="21"/>
                      <w:u w:val="none"/>
                    </w:rPr>
                  </w:pPr>
                  <w:r>
                    <w:rPr>
                      <w:color w:val="auto"/>
                      <w:sz w:val="21"/>
                      <w:szCs w:val="21"/>
                      <w:u w:val="none"/>
                    </w:rPr>
                    <w:t>56</w:t>
                  </w:r>
                </w:p>
              </w:tc>
              <w:tc>
                <w:tcPr>
                  <w:tcW w:w="840" w:type="dxa"/>
                  <w:vAlign w:val="center"/>
                </w:tcPr>
                <w:p>
                  <w:pPr>
                    <w:jc w:val="center"/>
                    <w:rPr>
                      <w:color w:val="auto"/>
                      <w:sz w:val="21"/>
                      <w:szCs w:val="21"/>
                      <w:u w:val="none"/>
                    </w:rPr>
                  </w:pPr>
                  <w:r>
                    <w:rPr>
                      <w:color w:val="auto"/>
                      <w:sz w:val="21"/>
                      <w:szCs w:val="21"/>
                      <w:u w:val="none"/>
                    </w:rPr>
                    <w:t>54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06" w:hRule="atLeast"/>
                <w:jc w:val="center"/>
              </w:trPr>
              <w:tc>
                <w:tcPr>
                  <w:tcW w:w="1338" w:type="dxa"/>
                  <w:vAlign w:val="center"/>
                </w:tcPr>
                <w:p>
                  <w:pPr>
                    <w:jc w:val="center"/>
                    <w:rPr>
                      <w:color w:val="auto"/>
                      <w:sz w:val="21"/>
                      <w:szCs w:val="21"/>
                      <w:u w:val="none"/>
                    </w:rPr>
                  </w:pPr>
                  <w:r>
                    <w:rPr>
                      <w:color w:val="auto"/>
                      <w:sz w:val="21"/>
                      <w:szCs w:val="21"/>
                      <w:u w:val="none"/>
                    </w:rPr>
                    <w:t>翻斗机</w:t>
                  </w:r>
                </w:p>
              </w:tc>
              <w:tc>
                <w:tcPr>
                  <w:tcW w:w="1007" w:type="dxa"/>
                  <w:vAlign w:val="center"/>
                </w:tcPr>
                <w:p>
                  <w:pPr>
                    <w:jc w:val="center"/>
                    <w:rPr>
                      <w:color w:val="auto"/>
                      <w:sz w:val="21"/>
                      <w:szCs w:val="21"/>
                      <w:u w:val="none"/>
                    </w:rPr>
                  </w:pPr>
                  <w:r>
                    <w:rPr>
                      <w:color w:val="auto"/>
                      <w:sz w:val="21"/>
                      <w:szCs w:val="21"/>
                      <w:u w:val="none"/>
                    </w:rPr>
                    <w:t>85</w:t>
                  </w:r>
                </w:p>
              </w:tc>
              <w:tc>
                <w:tcPr>
                  <w:tcW w:w="840" w:type="dxa"/>
                  <w:vAlign w:val="center"/>
                </w:tcPr>
                <w:p>
                  <w:pPr>
                    <w:jc w:val="center"/>
                    <w:rPr>
                      <w:color w:val="auto"/>
                      <w:sz w:val="21"/>
                      <w:szCs w:val="21"/>
                      <w:u w:val="none"/>
                    </w:rPr>
                  </w:pPr>
                  <w:r>
                    <w:rPr>
                      <w:color w:val="auto"/>
                      <w:sz w:val="21"/>
                      <w:szCs w:val="21"/>
                      <w:u w:val="none"/>
                    </w:rPr>
                    <w:t>76</w:t>
                  </w:r>
                </w:p>
              </w:tc>
              <w:tc>
                <w:tcPr>
                  <w:tcW w:w="675" w:type="dxa"/>
                  <w:vAlign w:val="center"/>
                </w:tcPr>
                <w:p>
                  <w:pPr>
                    <w:jc w:val="center"/>
                    <w:rPr>
                      <w:color w:val="auto"/>
                      <w:sz w:val="21"/>
                      <w:szCs w:val="21"/>
                      <w:u w:val="none"/>
                    </w:rPr>
                  </w:pPr>
                  <w:r>
                    <w:rPr>
                      <w:color w:val="auto"/>
                      <w:sz w:val="21"/>
                      <w:szCs w:val="21"/>
                      <w:u w:val="none"/>
                    </w:rPr>
                    <w:t>69</w:t>
                  </w:r>
                </w:p>
              </w:tc>
              <w:tc>
                <w:tcPr>
                  <w:tcW w:w="675" w:type="dxa"/>
                  <w:vAlign w:val="center"/>
                </w:tcPr>
                <w:p>
                  <w:pPr>
                    <w:jc w:val="center"/>
                    <w:rPr>
                      <w:color w:val="auto"/>
                      <w:sz w:val="21"/>
                      <w:szCs w:val="21"/>
                      <w:u w:val="none"/>
                    </w:rPr>
                  </w:pPr>
                  <w:r>
                    <w:rPr>
                      <w:color w:val="auto"/>
                      <w:sz w:val="21"/>
                      <w:szCs w:val="21"/>
                      <w:u w:val="none"/>
                    </w:rPr>
                    <w:t>65</w:t>
                  </w:r>
                </w:p>
              </w:tc>
              <w:tc>
                <w:tcPr>
                  <w:tcW w:w="675" w:type="dxa"/>
                  <w:vAlign w:val="center"/>
                </w:tcPr>
                <w:p>
                  <w:pPr>
                    <w:jc w:val="center"/>
                    <w:rPr>
                      <w:color w:val="auto"/>
                      <w:sz w:val="21"/>
                      <w:szCs w:val="21"/>
                      <w:u w:val="none"/>
                    </w:rPr>
                  </w:pPr>
                  <w:r>
                    <w:rPr>
                      <w:color w:val="auto"/>
                      <w:sz w:val="21"/>
                      <w:szCs w:val="21"/>
                      <w:u w:val="none"/>
                    </w:rPr>
                    <w:t>61</w:t>
                  </w:r>
                </w:p>
              </w:tc>
              <w:tc>
                <w:tcPr>
                  <w:tcW w:w="675" w:type="dxa"/>
                  <w:vAlign w:val="center"/>
                </w:tcPr>
                <w:p>
                  <w:pPr>
                    <w:jc w:val="center"/>
                    <w:rPr>
                      <w:color w:val="auto"/>
                      <w:sz w:val="21"/>
                      <w:szCs w:val="21"/>
                      <w:u w:val="none"/>
                    </w:rPr>
                  </w:pPr>
                  <w:r>
                    <w:rPr>
                      <w:color w:val="auto"/>
                      <w:sz w:val="21"/>
                      <w:szCs w:val="21"/>
                      <w:u w:val="none"/>
                    </w:rPr>
                    <w:t>58</w:t>
                  </w:r>
                </w:p>
              </w:tc>
              <w:tc>
                <w:tcPr>
                  <w:tcW w:w="840" w:type="dxa"/>
                  <w:vAlign w:val="center"/>
                </w:tcPr>
                <w:p>
                  <w:pPr>
                    <w:jc w:val="center"/>
                    <w:rPr>
                      <w:color w:val="auto"/>
                      <w:sz w:val="21"/>
                      <w:szCs w:val="21"/>
                      <w:u w:val="none"/>
                    </w:rPr>
                  </w:pPr>
                  <w:r>
                    <w:rPr>
                      <w:color w:val="auto"/>
                      <w:sz w:val="21"/>
                      <w:szCs w:val="21"/>
                      <w:u w:val="none"/>
                    </w:rPr>
                    <w:t>55</w:t>
                  </w:r>
                </w:p>
              </w:tc>
              <w:tc>
                <w:tcPr>
                  <w:tcW w:w="840" w:type="dxa"/>
                  <w:vAlign w:val="center"/>
                </w:tcPr>
                <w:p>
                  <w:pPr>
                    <w:jc w:val="center"/>
                    <w:rPr>
                      <w:color w:val="auto"/>
                      <w:sz w:val="21"/>
                      <w:szCs w:val="21"/>
                      <w:u w:val="none"/>
                    </w:rPr>
                  </w:pPr>
                  <w:r>
                    <w:rPr>
                      <w:color w:val="auto"/>
                      <w:sz w:val="21"/>
                      <w:szCs w:val="21"/>
                      <w:u w:val="none"/>
                    </w:rPr>
                    <w:t>51</w:t>
                  </w:r>
                </w:p>
              </w:tc>
              <w:tc>
                <w:tcPr>
                  <w:tcW w:w="840" w:type="dxa"/>
                  <w:vAlign w:val="center"/>
                </w:tcPr>
                <w:p>
                  <w:pPr>
                    <w:jc w:val="center"/>
                    <w:rPr>
                      <w:color w:val="auto"/>
                      <w:sz w:val="21"/>
                      <w:szCs w:val="21"/>
                      <w:u w:val="none"/>
                    </w:rPr>
                  </w:pPr>
                  <w:r>
                    <w:rPr>
                      <w:color w:val="auto"/>
                      <w:sz w:val="21"/>
                      <w:szCs w:val="21"/>
                      <w:u w:val="none"/>
                    </w:rPr>
                    <w:t>49</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283" w:hRule="atLeast"/>
                <w:jc w:val="center"/>
              </w:trPr>
              <w:tc>
                <w:tcPr>
                  <w:tcW w:w="1338" w:type="dxa"/>
                  <w:vAlign w:val="center"/>
                </w:tcPr>
                <w:p>
                  <w:pPr>
                    <w:jc w:val="center"/>
                    <w:rPr>
                      <w:color w:val="auto"/>
                      <w:sz w:val="21"/>
                      <w:szCs w:val="21"/>
                      <w:u w:val="none"/>
                    </w:rPr>
                  </w:pPr>
                  <w:r>
                    <w:rPr>
                      <w:color w:val="auto"/>
                      <w:sz w:val="21"/>
                      <w:szCs w:val="21"/>
                      <w:u w:val="none"/>
                    </w:rPr>
                    <w:t>卡车</w:t>
                  </w:r>
                </w:p>
              </w:tc>
              <w:tc>
                <w:tcPr>
                  <w:tcW w:w="1007" w:type="dxa"/>
                  <w:vAlign w:val="center"/>
                </w:tcPr>
                <w:p>
                  <w:pPr>
                    <w:jc w:val="center"/>
                    <w:rPr>
                      <w:color w:val="auto"/>
                      <w:sz w:val="21"/>
                      <w:szCs w:val="21"/>
                      <w:u w:val="none"/>
                    </w:rPr>
                  </w:pPr>
                  <w:r>
                    <w:rPr>
                      <w:color w:val="auto"/>
                      <w:sz w:val="21"/>
                      <w:szCs w:val="21"/>
                      <w:u w:val="none"/>
                    </w:rPr>
                    <w:t>80</w:t>
                  </w:r>
                </w:p>
              </w:tc>
              <w:tc>
                <w:tcPr>
                  <w:tcW w:w="840" w:type="dxa"/>
                  <w:vAlign w:val="center"/>
                </w:tcPr>
                <w:p>
                  <w:pPr>
                    <w:jc w:val="center"/>
                    <w:rPr>
                      <w:color w:val="auto"/>
                      <w:sz w:val="21"/>
                      <w:szCs w:val="21"/>
                      <w:u w:val="none"/>
                    </w:rPr>
                  </w:pPr>
                  <w:r>
                    <w:rPr>
                      <w:color w:val="auto"/>
                      <w:sz w:val="21"/>
                      <w:szCs w:val="21"/>
                      <w:u w:val="none"/>
                    </w:rPr>
                    <w:t>71</w:t>
                  </w:r>
                </w:p>
              </w:tc>
              <w:tc>
                <w:tcPr>
                  <w:tcW w:w="675" w:type="dxa"/>
                  <w:vAlign w:val="center"/>
                </w:tcPr>
                <w:p>
                  <w:pPr>
                    <w:jc w:val="center"/>
                    <w:rPr>
                      <w:color w:val="auto"/>
                      <w:sz w:val="21"/>
                      <w:szCs w:val="21"/>
                      <w:u w:val="none"/>
                    </w:rPr>
                  </w:pPr>
                  <w:r>
                    <w:rPr>
                      <w:color w:val="auto"/>
                      <w:sz w:val="21"/>
                      <w:szCs w:val="21"/>
                      <w:u w:val="none"/>
                    </w:rPr>
                    <w:t>64</w:t>
                  </w:r>
                </w:p>
              </w:tc>
              <w:tc>
                <w:tcPr>
                  <w:tcW w:w="675" w:type="dxa"/>
                  <w:vAlign w:val="center"/>
                </w:tcPr>
                <w:p>
                  <w:pPr>
                    <w:jc w:val="center"/>
                    <w:rPr>
                      <w:color w:val="auto"/>
                      <w:sz w:val="21"/>
                      <w:szCs w:val="21"/>
                      <w:u w:val="none"/>
                    </w:rPr>
                  </w:pPr>
                  <w:r>
                    <w:rPr>
                      <w:color w:val="auto"/>
                      <w:sz w:val="21"/>
                      <w:szCs w:val="21"/>
                      <w:u w:val="none"/>
                    </w:rPr>
                    <w:t>60</w:t>
                  </w:r>
                </w:p>
              </w:tc>
              <w:tc>
                <w:tcPr>
                  <w:tcW w:w="675" w:type="dxa"/>
                  <w:vAlign w:val="center"/>
                </w:tcPr>
                <w:p>
                  <w:pPr>
                    <w:jc w:val="center"/>
                    <w:rPr>
                      <w:color w:val="auto"/>
                      <w:sz w:val="21"/>
                      <w:szCs w:val="21"/>
                      <w:u w:val="none"/>
                    </w:rPr>
                  </w:pPr>
                  <w:r>
                    <w:rPr>
                      <w:color w:val="auto"/>
                      <w:sz w:val="21"/>
                      <w:szCs w:val="21"/>
                      <w:u w:val="none"/>
                    </w:rPr>
                    <w:t>56</w:t>
                  </w:r>
                </w:p>
              </w:tc>
              <w:tc>
                <w:tcPr>
                  <w:tcW w:w="675" w:type="dxa"/>
                  <w:vAlign w:val="center"/>
                </w:tcPr>
                <w:p>
                  <w:pPr>
                    <w:jc w:val="center"/>
                    <w:rPr>
                      <w:color w:val="auto"/>
                      <w:sz w:val="21"/>
                      <w:szCs w:val="21"/>
                      <w:u w:val="none"/>
                    </w:rPr>
                  </w:pPr>
                  <w:r>
                    <w:rPr>
                      <w:color w:val="auto"/>
                      <w:sz w:val="21"/>
                      <w:szCs w:val="21"/>
                      <w:u w:val="none"/>
                    </w:rPr>
                    <w:t>53</w:t>
                  </w:r>
                </w:p>
              </w:tc>
              <w:tc>
                <w:tcPr>
                  <w:tcW w:w="840" w:type="dxa"/>
                  <w:vAlign w:val="center"/>
                </w:tcPr>
                <w:p>
                  <w:pPr>
                    <w:jc w:val="center"/>
                    <w:rPr>
                      <w:color w:val="auto"/>
                      <w:sz w:val="21"/>
                      <w:szCs w:val="21"/>
                      <w:u w:val="none"/>
                    </w:rPr>
                  </w:pPr>
                  <w:r>
                    <w:rPr>
                      <w:color w:val="auto"/>
                      <w:sz w:val="21"/>
                      <w:szCs w:val="21"/>
                      <w:u w:val="none"/>
                    </w:rPr>
                    <w:t>50</w:t>
                  </w:r>
                </w:p>
              </w:tc>
              <w:tc>
                <w:tcPr>
                  <w:tcW w:w="840" w:type="dxa"/>
                  <w:vAlign w:val="center"/>
                </w:tcPr>
                <w:p>
                  <w:pPr>
                    <w:jc w:val="center"/>
                    <w:rPr>
                      <w:color w:val="auto"/>
                      <w:sz w:val="21"/>
                      <w:szCs w:val="21"/>
                      <w:u w:val="none"/>
                    </w:rPr>
                  </w:pPr>
                  <w:r>
                    <w:rPr>
                      <w:color w:val="auto"/>
                      <w:sz w:val="21"/>
                      <w:szCs w:val="21"/>
                      <w:u w:val="none"/>
                    </w:rPr>
                    <w:t>46</w:t>
                  </w:r>
                </w:p>
              </w:tc>
              <w:tc>
                <w:tcPr>
                  <w:tcW w:w="840" w:type="dxa"/>
                  <w:vAlign w:val="center"/>
                </w:tcPr>
                <w:p>
                  <w:pPr>
                    <w:jc w:val="center"/>
                    <w:rPr>
                      <w:color w:val="auto"/>
                      <w:sz w:val="21"/>
                      <w:szCs w:val="21"/>
                      <w:u w:val="none"/>
                    </w:rPr>
                  </w:pPr>
                  <w:r>
                    <w:rPr>
                      <w:color w:val="auto"/>
                      <w:sz w:val="21"/>
                      <w:szCs w:val="21"/>
                      <w:u w:val="none"/>
                    </w:rPr>
                    <w:t>44</w:t>
                  </w:r>
                </w:p>
              </w:tc>
            </w:tr>
          </w:tbl>
          <w:p>
            <w:pPr>
              <w:spacing w:line="360" w:lineRule="auto"/>
              <w:ind w:firstLine="480" w:firstLineChars="200"/>
              <w:rPr>
                <w:color w:val="auto"/>
                <w:sz w:val="24"/>
                <w:u w:val="none"/>
              </w:rPr>
            </w:pPr>
            <w:r>
              <w:rPr>
                <w:color w:val="auto"/>
                <w:sz w:val="24"/>
                <w:u w:val="none"/>
              </w:rPr>
              <w:t>从表</w:t>
            </w:r>
            <w:r>
              <w:rPr>
                <w:rFonts w:hint="eastAsia"/>
                <w:color w:val="auto"/>
                <w:sz w:val="24"/>
                <w:u w:val="none"/>
                <w:lang w:val="en-US" w:eastAsia="zh-CN"/>
              </w:rPr>
              <w:t>36</w:t>
            </w:r>
            <w:r>
              <w:rPr>
                <w:color w:val="auto"/>
                <w:sz w:val="24"/>
                <w:u w:val="none"/>
              </w:rPr>
              <w:t>可以看出，当大部分施工机械的施工点距离场界大于100m时，场界噪声综合限值基本可以达到《建筑施工场界环境噪声排放标准》（GB12523-2011）昼间标准，但在实际施工中，在距离场界100m范围内施工仍是不可避免的，此时施工场界噪声将超过《建筑施工场界环境噪声排放标准》（GB12523-2011）昼间标准；若夜间施工，施工点周围200米的范围内噪声仍达不到《建筑施工场界环境噪声排放标准》（GB12523-2011）标准。</w:t>
            </w:r>
          </w:p>
          <w:p>
            <w:pPr>
              <w:spacing w:line="360" w:lineRule="auto"/>
              <w:ind w:firstLine="480" w:firstLineChars="200"/>
              <w:rPr>
                <w:color w:val="auto"/>
                <w:sz w:val="24"/>
                <w:u w:val="none"/>
              </w:rPr>
            </w:pPr>
            <w:r>
              <w:rPr>
                <w:rFonts w:hint="eastAsia"/>
                <w:color w:val="auto"/>
                <w:sz w:val="24"/>
                <w:u w:val="none"/>
              </w:rPr>
              <w:t>因此，</w:t>
            </w:r>
            <w:r>
              <w:rPr>
                <w:color w:val="auto"/>
                <w:sz w:val="24"/>
                <w:u w:val="none"/>
              </w:rPr>
              <w:t>为了保护</w:t>
            </w:r>
            <w:r>
              <w:rPr>
                <w:rFonts w:hint="eastAsia"/>
                <w:color w:val="auto"/>
                <w:sz w:val="24"/>
                <w:u w:val="none"/>
              </w:rPr>
              <w:t>建设地周边的</w:t>
            </w:r>
            <w:r>
              <w:rPr>
                <w:color w:val="auto"/>
                <w:sz w:val="24"/>
                <w:u w:val="none"/>
              </w:rPr>
              <w:t>声环境，施工中应选用低噪声设备、文明施工、合理安排施工时间，禁止夜间</w:t>
            </w:r>
            <w:r>
              <w:rPr>
                <w:rFonts w:hint="eastAsia"/>
                <w:color w:val="auto"/>
                <w:sz w:val="24"/>
                <w:u w:val="none"/>
              </w:rPr>
              <w:t>高噪声设备施工</w:t>
            </w:r>
            <w:r>
              <w:rPr>
                <w:color w:val="auto"/>
                <w:sz w:val="24"/>
                <w:u w:val="none"/>
              </w:rPr>
              <w:t>以减轻施工噪声对周围居民和环境的影响。总体而言，在严格执行噪声防治措施后，施工噪声对敏感点影响将降低，基本能够满足《建筑施工场界</w:t>
            </w:r>
            <w:r>
              <w:rPr>
                <w:rFonts w:hint="eastAsia"/>
                <w:color w:val="auto"/>
                <w:sz w:val="24"/>
                <w:u w:val="none"/>
              </w:rPr>
              <w:t>环境</w:t>
            </w:r>
            <w:r>
              <w:rPr>
                <w:color w:val="auto"/>
                <w:sz w:val="24"/>
                <w:u w:val="none"/>
              </w:rPr>
              <w:t>噪声</w:t>
            </w:r>
            <w:r>
              <w:rPr>
                <w:rFonts w:hint="eastAsia"/>
                <w:color w:val="auto"/>
                <w:sz w:val="24"/>
                <w:u w:val="none"/>
              </w:rPr>
              <w:t>排放标准</w:t>
            </w:r>
            <w:r>
              <w:rPr>
                <w:color w:val="auto"/>
                <w:sz w:val="24"/>
                <w:u w:val="none"/>
              </w:rPr>
              <w:t>》（GB12523-</w:t>
            </w:r>
            <w:r>
              <w:rPr>
                <w:rFonts w:hint="eastAsia"/>
                <w:color w:val="auto"/>
                <w:sz w:val="24"/>
                <w:u w:val="none"/>
              </w:rPr>
              <w:t>2011</w:t>
            </w:r>
            <w:r>
              <w:rPr>
                <w:color w:val="auto"/>
                <w:sz w:val="24"/>
                <w:u w:val="none"/>
              </w:rPr>
              <w:t>）要求。施工期噪声影响是暂时的，并随着施工期的结束而消失。</w:t>
            </w:r>
          </w:p>
          <w:p>
            <w:pPr>
              <w:pStyle w:val="4"/>
              <w:adjustRightInd w:val="0"/>
              <w:snapToGrid w:val="0"/>
              <w:spacing w:before="0" w:after="0" w:line="360" w:lineRule="auto"/>
              <w:ind w:left="720" w:hanging="720"/>
              <w:rPr>
                <w:rFonts w:hint="eastAsia"/>
                <w:color w:val="auto"/>
                <w:sz w:val="24"/>
                <w:szCs w:val="24"/>
                <w:u w:val="none"/>
              </w:rPr>
            </w:pPr>
            <w:r>
              <w:rPr>
                <w:rFonts w:hint="eastAsia"/>
                <w:color w:val="auto"/>
                <w:sz w:val="24"/>
                <w:szCs w:val="24"/>
                <w:u w:val="none"/>
              </w:rPr>
              <w:t>1.</w:t>
            </w:r>
            <w:r>
              <w:rPr>
                <w:rFonts w:hint="eastAsia"/>
                <w:color w:val="auto"/>
                <w:sz w:val="24"/>
                <w:szCs w:val="24"/>
                <w:u w:val="none"/>
                <w:lang w:val="en-US" w:eastAsia="zh-CN"/>
              </w:rPr>
              <w:t>4</w:t>
            </w:r>
            <w:r>
              <w:rPr>
                <w:rFonts w:hint="eastAsia"/>
                <w:color w:val="auto"/>
                <w:sz w:val="24"/>
                <w:szCs w:val="24"/>
                <w:u w:val="none"/>
              </w:rPr>
              <w:t>固体废弃物影响分析</w:t>
            </w:r>
          </w:p>
          <w:p>
            <w:pPr>
              <w:spacing w:line="360" w:lineRule="auto"/>
              <w:ind w:firstLine="480" w:firstLineChars="200"/>
              <w:rPr>
                <w:rFonts w:hint="eastAsia"/>
                <w:color w:val="auto"/>
                <w:sz w:val="24"/>
                <w:u w:val="none"/>
              </w:rPr>
            </w:pPr>
            <w:r>
              <w:rPr>
                <w:rFonts w:hint="eastAsia"/>
                <w:color w:val="auto"/>
                <w:sz w:val="24"/>
                <w:u w:val="none"/>
              </w:rPr>
              <w:t xml:space="preserve">施工期固体废物主要有施工垃圾和施工人员生活垃圾。施工垃圾一部分是建筑模块、建筑材料下脚料、断残钢筋头、破钢管、包装材料、废旧设备等，大部分可回收利用；另一部分为土、石沙等建材废弃物。包装材料包括废旧塑料、泡沫等基本上不溶解、不腐烂变质，如处理不当，会影响景观和周围环境的质量。对于这些废物，拟采取分类收集、集中处理的方式进行处理，并尽可能的回收再利用有价值的一般工业固体废物，不能回收利用的固体废物应及时清理出施工现场，施工弃土送城市渣土办规定场地堆放。严禁随意处置有毒有害废物，生活垃圾交环卫部门送县城生活垃圾填埋场处置。 </w:t>
            </w:r>
          </w:p>
          <w:p>
            <w:pPr>
              <w:spacing w:line="360" w:lineRule="auto"/>
              <w:ind w:firstLine="480" w:firstLineChars="200"/>
              <w:rPr>
                <w:rFonts w:hint="eastAsia"/>
                <w:color w:val="auto"/>
                <w:sz w:val="24"/>
                <w:u w:val="none"/>
              </w:rPr>
            </w:pPr>
            <w:r>
              <w:rPr>
                <w:rFonts w:hint="eastAsia"/>
                <w:color w:val="auto"/>
                <w:sz w:val="24"/>
                <w:u w:val="none"/>
              </w:rPr>
              <w:t>总的来说，在采取以上措施后，施工固体废物均可得到有效处理，施工期固体废物对评价区域环境影响较小。</w:t>
            </w:r>
          </w:p>
          <w:p>
            <w:pPr>
              <w:pStyle w:val="4"/>
              <w:adjustRightInd w:val="0"/>
              <w:snapToGrid w:val="0"/>
              <w:spacing w:before="0" w:after="0" w:line="360" w:lineRule="auto"/>
              <w:rPr>
                <w:rFonts w:hint="eastAsia"/>
                <w:color w:val="auto"/>
                <w:sz w:val="24"/>
                <w:szCs w:val="24"/>
                <w:u w:val="none"/>
                <w:lang w:eastAsia="zh-CN"/>
              </w:rPr>
            </w:pPr>
            <w:r>
              <w:rPr>
                <w:rFonts w:hint="eastAsia"/>
                <w:color w:val="auto"/>
                <w:sz w:val="24"/>
                <w:szCs w:val="24"/>
                <w:u w:val="none"/>
                <w:lang w:val="en-US" w:eastAsia="zh-CN"/>
              </w:rPr>
              <w:t>2、</w:t>
            </w:r>
            <w:r>
              <w:rPr>
                <w:rFonts w:hint="eastAsia"/>
                <w:color w:val="auto"/>
                <w:sz w:val="24"/>
                <w:szCs w:val="24"/>
                <w:u w:val="none"/>
                <w:lang w:eastAsia="zh-CN"/>
              </w:rPr>
              <w:t>管网工程</w:t>
            </w:r>
          </w:p>
          <w:p>
            <w:pPr>
              <w:numPr>
                <w:ilvl w:val="0"/>
                <w:numId w:val="0"/>
              </w:numPr>
              <w:spacing w:line="360" w:lineRule="auto"/>
              <w:ind w:leftChars="0"/>
              <w:rPr>
                <w:b/>
                <w:color w:val="auto"/>
                <w:sz w:val="24"/>
              </w:rPr>
            </w:pPr>
            <w:r>
              <w:rPr>
                <w:rFonts w:hint="eastAsia"/>
                <w:b/>
                <w:color w:val="auto"/>
                <w:sz w:val="24"/>
                <w:lang w:val="en-US" w:eastAsia="zh-CN"/>
              </w:rPr>
              <w:t>2.1</w:t>
            </w:r>
            <w:r>
              <w:rPr>
                <w:b/>
                <w:color w:val="auto"/>
                <w:sz w:val="24"/>
              </w:rPr>
              <w:t>大气环境影响分析</w:t>
            </w:r>
          </w:p>
          <w:p>
            <w:pPr>
              <w:widowControl/>
              <w:spacing w:line="360" w:lineRule="auto"/>
              <w:ind w:firstLine="480" w:firstLineChars="200"/>
              <w:rPr>
                <w:rFonts w:hint="eastAsia"/>
                <w:color w:val="auto"/>
                <w:sz w:val="24"/>
              </w:rPr>
            </w:pPr>
            <w:r>
              <w:rPr>
                <w:rFonts w:hint="eastAsia"/>
                <w:color w:val="auto"/>
                <w:sz w:val="24"/>
              </w:rPr>
              <w:t>本项目施工期产生的主要大气污染物为扬尘，其次为钢管焊接过程产生的焊接烟尘、施工机械及运输车辆燃油排放的尾气。</w:t>
            </w:r>
          </w:p>
          <w:p>
            <w:pPr>
              <w:widowControl/>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 xml:space="preserve"> 施工扬尘</w:t>
            </w:r>
          </w:p>
          <w:p>
            <w:pPr>
              <w:widowControl/>
              <w:spacing w:line="360" w:lineRule="auto"/>
              <w:ind w:firstLine="480" w:firstLineChars="200"/>
              <w:rPr>
                <w:rFonts w:hint="eastAsia"/>
                <w:color w:val="auto"/>
                <w:sz w:val="24"/>
              </w:rPr>
            </w:pPr>
            <w:r>
              <w:rPr>
                <w:rFonts w:hint="eastAsia"/>
                <w:color w:val="auto"/>
                <w:sz w:val="24"/>
              </w:rPr>
              <w:t>本项目施工期的扬尘主要来源于以下几方面：</w:t>
            </w:r>
          </w:p>
          <w:p>
            <w:pPr>
              <w:widowControl/>
              <w:spacing w:line="360" w:lineRule="auto"/>
              <w:ind w:firstLine="480" w:firstLineChars="200"/>
              <w:rPr>
                <w:rFonts w:hint="eastAsia"/>
                <w:color w:val="auto"/>
                <w:sz w:val="24"/>
              </w:rPr>
            </w:pPr>
            <w:r>
              <w:rPr>
                <w:rFonts w:hint="eastAsia"/>
                <w:color w:val="auto"/>
                <w:sz w:val="24"/>
              </w:rPr>
              <w:t>1）管沟施工过程土方开挖、堆放和回填产生的扬尘；</w:t>
            </w:r>
          </w:p>
          <w:p>
            <w:pPr>
              <w:widowControl/>
              <w:spacing w:line="360" w:lineRule="auto"/>
              <w:ind w:firstLine="480" w:firstLineChars="200"/>
              <w:rPr>
                <w:rFonts w:hint="eastAsia"/>
                <w:color w:val="auto"/>
                <w:sz w:val="24"/>
              </w:rPr>
            </w:pPr>
            <w:r>
              <w:rPr>
                <w:rFonts w:hint="eastAsia"/>
                <w:color w:val="auto"/>
                <w:sz w:val="24"/>
              </w:rPr>
              <w:t>2）建筑材料（如水泥、白灰、沙子等）的现场搬运及堆放产生的扬尘；</w:t>
            </w:r>
          </w:p>
          <w:p>
            <w:pPr>
              <w:widowControl/>
              <w:spacing w:line="360" w:lineRule="auto"/>
              <w:ind w:firstLine="480" w:firstLineChars="200"/>
              <w:rPr>
                <w:rFonts w:hint="eastAsia"/>
                <w:color w:val="auto"/>
                <w:sz w:val="24"/>
              </w:rPr>
            </w:pPr>
            <w:r>
              <w:rPr>
                <w:rFonts w:hint="eastAsia"/>
                <w:color w:val="auto"/>
                <w:sz w:val="24"/>
              </w:rPr>
              <w:t>3）施工垃圾的清理及堆放产生的扬尘；</w:t>
            </w:r>
          </w:p>
          <w:p>
            <w:pPr>
              <w:widowControl/>
              <w:spacing w:line="360" w:lineRule="auto"/>
              <w:ind w:firstLine="480" w:firstLineChars="200"/>
              <w:rPr>
                <w:rFonts w:hint="eastAsia"/>
                <w:color w:val="auto"/>
                <w:sz w:val="24"/>
              </w:rPr>
            </w:pPr>
            <w:r>
              <w:rPr>
                <w:rFonts w:hint="eastAsia"/>
                <w:color w:val="auto"/>
                <w:sz w:val="24"/>
              </w:rPr>
              <w:t>4）施工机械引发的施工现场及道路扬尘。</w:t>
            </w:r>
          </w:p>
          <w:p>
            <w:pPr>
              <w:widowControl/>
              <w:spacing w:line="360" w:lineRule="auto"/>
              <w:ind w:firstLine="480" w:firstLineChars="200"/>
              <w:rPr>
                <w:rFonts w:hint="eastAsia"/>
                <w:color w:val="auto"/>
                <w:sz w:val="24"/>
              </w:rPr>
            </w:pPr>
            <w:r>
              <w:rPr>
                <w:rFonts w:hint="eastAsia"/>
                <w:color w:val="auto"/>
                <w:sz w:val="24"/>
              </w:rPr>
              <w:t>施工扬尘排放量和施工规模、作业方式、气候、地质条件、扬尘控制措施等因素有关。施工扬尘属于典型的无组织排放源，具有污染过程复杂、排放随机性大、难以量化等特点。本评价采用类比法，利用现有的施工场地实测资料对扬尘环境影响进行分析。</w:t>
            </w:r>
          </w:p>
          <w:p>
            <w:pPr>
              <w:widowControl/>
              <w:spacing w:line="360" w:lineRule="auto"/>
              <w:ind w:firstLine="480" w:firstLineChars="200"/>
              <w:rPr>
                <w:rFonts w:hint="eastAsia"/>
                <w:color w:val="auto"/>
                <w:sz w:val="24"/>
              </w:rPr>
            </w:pPr>
            <w:r>
              <w:rPr>
                <w:rFonts w:hint="eastAsia"/>
                <w:color w:val="auto"/>
                <w:sz w:val="24"/>
              </w:rPr>
              <w:t>1）无围挡的施工扬尘十分严重，扬尘污染范围在施工场地下风向200m范围内，被影响地区的颗粒物浓度</w:t>
            </w:r>
            <w:r>
              <w:rPr>
                <w:color w:val="auto"/>
                <w:sz w:val="24"/>
              </w:rPr>
              <w:t>平均在756μg/</w:t>
            </w:r>
            <w:r>
              <w:rPr>
                <w:rFonts w:hint="eastAsia"/>
                <w:color w:val="auto"/>
                <w:sz w:val="24"/>
                <w:lang w:eastAsia="zh-CN"/>
              </w:rPr>
              <w:t>m³</w:t>
            </w:r>
            <w:r>
              <w:rPr>
                <w:color w:val="auto"/>
                <w:sz w:val="24"/>
              </w:rPr>
              <w:t>左右，</w:t>
            </w:r>
            <w:r>
              <w:rPr>
                <w:rFonts w:hint="eastAsia"/>
                <w:color w:val="auto"/>
                <w:sz w:val="24"/>
              </w:rPr>
              <w:t>相当于</w:t>
            </w:r>
            <w:r>
              <w:rPr>
                <w:bCs/>
                <w:color w:val="auto"/>
                <w:sz w:val="24"/>
              </w:rPr>
              <w:t>《环境空气质量标准》（GB3095-</w:t>
            </w:r>
            <w:r>
              <w:rPr>
                <w:rFonts w:hint="eastAsia"/>
                <w:bCs/>
                <w:color w:val="auto"/>
                <w:sz w:val="24"/>
              </w:rPr>
              <w:t>2012</w:t>
            </w:r>
            <w:r>
              <w:rPr>
                <w:bCs/>
                <w:color w:val="auto"/>
                <w:sz w:val="24"/>
              </w:rPr>
              <w:t>）中</w:t>
            </w:r>
            <w:r>
              <w:rPr>
                <w:rFonts w:hint="eastAsia"/>
                <w:bCs/>
                <w:color w:val="auto"/>
                <w:sz w:val="24"/>
              </w:rPr>
              <w:t>的</w:t>
            </w:r>
            <w:r>
              <w:rPr>
                <w:bCs/>
                <w:color w:val="auto"/>
                <w:sz w:val="24"/>
              </w:rPr>
              <w:t>二级标准</w:t>
            </w:r>
            <w:r>
              <w:rPr>
                <w:rFonts w:hint="eastAsia"/>
                <w:color w:val="auto"/>
                <w:sz w:val="24"/>
              </w:rPr>
              <w:t>的2.52倍左右；</w:t>
            </w:r>
          </w:p>
          <w:p>
            <w:pPr>
              <w:widowControl/>
              <w:spacing w:line="360" w:lineRule="auto"/>
              <w:ind w:firstLine="480" w:firstLineChars="200"/>
              <w:rPr>
                <w:rFonts w:hint="eastAsia"/>
                <w:color w:val="auto"/>
                <w:sz w:val="24"/>
              </w:rPr>
            </w:pPr>
            <w:r>
              <w:rPr>
                <w:color w:val="auto"/>
                <w:sz w:val="24"/>
              </w:rPr>
              <w:t>2）有围挡的施工扬尘相对无围挡时有明显的改善，但仍然较严重，扬尘污染范围在施工场地下风向200m范围内，被影响地区的颗粒物浓度平均为在585μg/</w:t>
            </w:r>
            <w:r>
              <w:rPr>
                <w:rFonts w:hint="eastAsia"/>
                <w:color w:val="auto"/>
                <w:sz w:val="24"/>
                <w:lang w:eastAsia="zh-CN"/>
              </w:rPr>
              <w:t>m³</w:t>
            </w:r>
            <w:r>
              <w:rPr>
                <w:color w:val="auto"/>
                <w:sz w:val="24"/>
              </w:rPr>
              <w:t>左右，</w:t>
            </w:r>
            <w:r>
              <w:rPr>
                <w:rFonts w:hint="eastAsia"/>
                <w:color w:val="auto"/>
                <w:sz w:val="24"/>
              </w:rPr>
              <w:t>相当于</w:t>
            </w:r>
            <w:r>
              <w:rPr>
                <w:bCs/>
                <w:color w:val="auto"/>
                <w:sz w:val="24"/>
              </w:rPr>
              <w:t>《环境空气质量标准》（GB3095-</w:t>
            </w:r>
            <w:r>
              <w:rPr>
                <w:rFonts w:hint="eastAsia"/>
                <w:bCs/>
                <w:color w:val="auto"/>
                <w:sz w:val="24"/>
              </w:rPr>
              <w:t>2012</w:t>
            </w:r>
            <w:r>
              <w:rPr>
                <w:bCs/>
                <w:color w:val="auto"/>
                <w:sz w:val="24"/>
              </w:rPr>
              <w:t>）中</w:t>
            </w:r>
            <w:r>
              <w:rPr>
                <w:rFonts w:hint="eastAsia"/>
                <w:bCs/>
                <w:color w:val="auto"/>
                <w:sz w:val="24"/>
              </w:rPr>
              <w:t>的</w:t>
            </w:r>
            <w:r>
              <w:rPr>
                <w:bCs/>
                <w:color w:val="auto"/>
                <w:sz w:val="24"/>
              </w:rPr>
              <w:t>二级标准</w:t>
            </w:r>
            <w:r>
              <w:rPr>
                <w:rFonts w:hint="eastAsia"/>
                <w:color w:val="auto"/>
                <w:sz w:val="24"/>
              </w:rPr>
              <w:t>的1.95倍左右。</w:t>
            </w:r>
          </w:p>
          <w:p>
            <w:pPr>
              <w:widowControl/>
              <w:spacing w:line="360" w:lineRule="auto"/>
              <w:ind w:firstLine="480" w:firstLineChars="200"/>
              <w:rPr>
                <w:rFonts w:hint="eastAsia"/>
                <w:color w:val="auto"/>
                <w:sz w:val="24"/>
              </w:rPr>
            </w:pPr>
            <w:r>
              <w:rPr>
                <w:rFonts w:hint="eastAsia"/>
                <w:color w:val="auto"/>
                <w:sz w:val="24"/>
              </w:rPr>
              <w:t>根据工程沿线现场调查可知，本项目施工期环境敏感区主要为管道施工沿线的村庄居民，受本项目施工扬尘影响较大。因此，建设方在施工期间须采取积极的措施来尽量减少扬尘的产生，具体措施如下：</w:t>
            </w:r>
          </w:p>
          <w:p>
            <w:pPr>
              <w:widowControl/>
              <w:spacing w:line="360" w:lineRule="auto"/>
              <w:ind w:firstLine="480" w:firstLineChars="200"/>
              <w:rPr>
                <w:rFonts w:hint="eastAsia"/>
                <w:color w:val="auto"/>
                <w:sz w:val="24"/>
              </w:rPr>
            </w:pPr>
            <w:r>
              <w:rPr>
                <w:rFonts w:hint="eastAsia"/>
                <w:color w:val="auto"/>
                <w:sz w:val="24"/>
              </w:rPr>
              <w:t>1）项目开工前，建设方应当按照标准在施工现场周边设置围挡，并对围挡进行定期维护。因特殊情况不能进行围挡的，应当设置警示标志，并在工程危险部位采取防护措施。</w:t>
            </w:r>
          </w:p>
          <w:p>
            <w:pPr>
              <w:widowControl/>
              <w:spacing w:line="360" w:lineRule="auto"/>
              <w:ind w:firstLine="480" w:firstLineChars="200"/>
              <w:rPr>
                <w:rFonts w:hint="eastAsia"/>
                <w:color w:val="auto"/>
                <w:sz w:val="24"/>
              </w:rPr>
            </w:pPr>
            <w:r>
              <w:rPr>
                <w:rFonts w:hint="eastAsia"/>
                <w:color w:val="auto"/>
                <w:sz w:val="24"/>
              </w:rPr>
              <w:t>2）施工作业区应配备专人负责，作到科学管理、文明施工；在管沟开挖施工期间，应尽可能采取措施提高工程进度，缩短危害周期。</w:t>
            </w:r>
          </w:p>
          <w:p>
            <w:pPr>
              <w:widowControl/>
              <w:spacing w:line="360" w:lineRule="auto"/>
              <w:ind w:firstLine="480" w:firstLineChars="200"/>
              <w:rPr>
                <w:rFonts w:hint="eastAsia"/>
                <w:color w:val="auto"/>
                <w:sz w:val="24"/>
              </w:rPr>
            </w:pPr>
            <w:r>
              <w:rPr>
                <w:rFonts w:hint="eastAsia"/>
                <w:color w:val="auto"/>
                <w:sz w:val="24"/>
              </w:rPr>
              <w:t>3）对作业面和临时堆存的粉状建筑材料适当地洒水，使其保持一定的湿度，减小起尘量，施工便道应进行夯实硬化处理，减少起尘量。</w:t>
            </w:r>
          </w:p>
          <w:p>
            <w:pPr>
              <w:widowControl/>
              <w:spacing w:line="360" w:lineRule="auto"/>
              <w:ind w:firstLine="480" w:firstLineChars="200"/>
              <w:rPr>
                <w:rFonts w:hint="eastAsia"/>
                <w:color w:val="auto"/>
                <w:sz w:val="24"/>
              </w:rPr>
            </w:pPr>
            <w:r>
              <w:rPr>
                <w:rFonts w:hint="eastAsia"/>
                <w:color w:val="auto"/>
                <w:sz w:val="24"/>
              </w:rPr>
              <w:t>4）对露天堆存的砂石等易产生扬尘的材料如有长期堆存的，为防止在大风、干燥天气扬尘的扩散，应加盖篷布之类围布以减少扬尘的产生，以免影响周围环境空气质量。</w:t>
            </w:r>
          </w:p>
          <w:p>
            <w:pPr>
              <w:widowControl/>
              <w:spacing w:line="360" w:lineRule="auto"/>
              <w:ind w:firstLine="480" w:firstLineChars="200"/>
              <w:rPr>
                <w:rFonts w:hint="eastAsia"/>
                <w:color w:val="auto"/>
                <w:sz w:val="24"/>
              </w:rPr>
            </w:pPr>
            <w:r>
              <w:rPr>
                <w:rFonts w:hint="eastAsia"/>
                <w:color w:val="auto"/>
                <w:sz w:val="24"/>
              </w:rPr>
              <w:t>5）施工材料运输车辆应保持良好的状态，运水泥、砂石等时不宜装载过满，同时要采取相应的遮盖、封闭措施（如用苫布）。对不慎洒落的沙土和建筑材料，应对地面进行适当的清理。</w:t>
            </w:r>
          </w:p>
          <w:p>
            <w:pPr>
              <w:widowControl/>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 xml:space="preserve"> 焊接烟尘</w:t>
            </w:r>
          </w:p>
          <w:p>
            <w:pPr>
              <w:widowControl/>
              <w:spacing w:line="360" w:lineRule="auto"/>
              <w:ind w:firstLine="480" w:firstLineChars="200"/>
              <w:rPr>
                <w:rFonts w:hint="eastAsia"/>
                <w:color w:val="auto"/>
                <w:sz w:val="24"/>
              </w:rPr>
            </w:pPr>
            <w:r>
              <w:rPr>
                <w:rFonts w:hint="eastAsia"/>
                <w:color w:val="auto"/>
                <w:sz w:val="24"/>
              </w:rPr>
              <w:t>本项目钢管焊接过程有焊接烟尘产生；焊接烟尘是在焊接过程中金属及非金属物质在过热条件下产生的蒸汽经氧化和冷凝而形成的。</w:t>
            </w:r>
          </w:p>
          <w:p>
            <w:pPr>
              <w:widowControl/>
              <w:spacing w:line="360" w:lineRule="auto"/>
              <w:ind w:firstLine="480" w:firstLineChars="200"/>
              <w:rPr>
                <w:rFonts w:hint="eastAsia"/>
                <w:color w:val="auto"/>
                <w:sz w:val="24"/>
              </w:rPr>
            </w:pPr>
            <w:r>
              <w:rPr>
                <w:rFonts w:hint="eastAsia"/>
                <w:color w:val="auto"/>
                <w:sz w:val="24"/>
              </w:rPr>
              <w:t>本项目采用的焊接方法为电弧焊，焊材为实芯焊丝。据有关资料，实芯焊丝的发尘量约为8g/kg，本项目焊丝用量约为1t，据此计算焊接过程产生的焊接烟尘量约为0.008t；项目焊接场地设位于空旷地带，焊接烟尘可以很快经大气稀释扩散，焊接场地边界无组织排放监控点的浓度小于0.50mg/</w:t>
            </w:r>
            <w:r>
              <w:rPr>
                <w:rFonts w:hint="eastAsia"/>
                <w:color w:val="auto"/>
                <w:sz w:val="24"/>
                <w:lang w:eastAsia="zh-CN"/>
              </w:rPr>
              <w:t>m³</w:t>
            </w:r>
            <w:r>
              <w:rPr>
                <w:rFonts w:hint="eastAsia"/>
                <w:color w:val="auto"/>
                <w:sz w:val="24"/>
              </w:rPr>
              <w:t>，符合《大气污染物综合排放标准》（GB16297-1996）中的无组织排放监控点浓度限值要求。</w:t>
            </w:r>
          </w:p>
          <w:p>
            <w:pPr>
              <w:widowControl/>
              <w:spacing w:line="360" w:lineRule="auto"/>
              <w:ind w:firstLine="480" w:firstLineChars="200"/>
              <w:rPr>
                <w:rFonts w:hint="eastAsia"/>
                <w:color w:val="auto"/>
                <w:sz w:val="24"/>
                <w:lang w:eastAsia="zh-CN"/>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）施工机械及运输车辆尾气</w:t>
            </w:r>
          </w:p>
          <w:p>
            <w:pPr>
              <w:widowControl/>
              <w:spacing w:line="360" w:lineRule="auto"/>
              <w:ind w:firstLine="480" w:firstLineChars="200"/>
              <w:jc w:val="left"/>
              <w:rPr>
                <w:rFonts w:hint="eastAsia"/>
                <w:color w:val="auto"/>
                <w:sz w:val="24"/>
              </w:rPr>
            </w:pPr>
            <w:r>
              <w:rPr>
                <w:color w:val="auto"/>
                <w:sz w:val="24"/>
              </w:rPr>
              <w:t>施工机械和运输车辆排放的</w:t>
            </w:r>
            <w:r>
              <w:rPr>
                <w:rFonts w:hint="eastAsia"/>
                <w:color w:val="auto"/>
                <w:sz w:val="24"/>
              </w:rPr>
              <w:t>尾气</w:t>
            </w:r>
            <w:r>
              <w:rPr>
                <w:color w:val="auto"/>
                <w:sz w:val="24"/>
              </w:rPr>
              <w:t>产生量与施工机械</w:t>
            </w:r>
            <w:r>
              <w:rPr>
                <w:rFonts w:hint="eastAsia"/>
                <w:color w:val="auto"/>
                <w:sz w:val="24"/>
              </w:rPr>
              <w:t>及运输车辆</w:t>
            </w:r>
            <w:r>
              <w:rPr>
                <w:color w:val="auto"/>
                <w:sz w:val="24"/>
              </w:rPr>
              <w:t>的选型及用量有关。各种施工机械设备燃油排放的废气中含有CO、NOx、SO</w:t>
            </w:r>
            <w:r>
              <w:rPr>
                <w:color w:val="auto"/>
                <w:sz w:val="24"/>
                <w:vertAlign w:val="subscript"/>
              </w:rPr>
              <w:t>2</w:t>
            </w:r>
            <w:r>
              <w:rPr>
                <w:color w:val="auto"/>
                <w:sz w:val="24"/>
              </w:rPr>
              <w:t>、碳氢化合物等污染物。根据相关统计资料可知</w:t>
            </w:r>
            <w:r>
              <w:rPr>
                <w:rFonts w:hint="eastAsia"/>
                <w:color w:val="auto"/>
                <w:sz w:val="24"/>
              </w:rPr>
              <w:t>，</w:t>
            </w:r>
            <w:r>
              <w:rPr>
                <w:color w:val="auto"/>
                <w:sz w:val="24"/>
              </w:rPr>
              <w:t>每燃烧1t柴油可排放SO</w:t>
            </w:r>
            <w:r>
              <w:rPr>
                <w:color w:val="auto"/>
                <w:sz w:val="24"/>
                <w:vertAlign w:val="subscript"/>
              </w:rPr>
              <w:t>2</w:t>
            </w:r>
            <w:r>
              <w:rPr>
                <w:color w:val="auto"/>
                <w:sz w:val="24"/>
              </w:rPr>
              <w:t>：3.522kg</w:t>
            </w:r>
            <w:r>
              <w:rPr>
                <w:rFonts w:hint="eastAsia"/>
                <w:color w:val="auto"/>
                <w:sz w:val="24"/>
              </w:rPr>
              <w:t>、</w:t>
            </w:r>
            <w:r>
              <w:rPr>
                <w:color w:val="auto"/>
                <w:sz w:val="24"/>
              </w:rPr>
              <w:t>CO：29.439kg</w:t>
            </w:r>
            <w:r>
              <w:rPr>
                <w:rFonts w:hint="eastAsia"/>
                <w:color w:val="auto"/>
                <w:sz w:val="24"/>
              </w:rPr>
              <w:t>、</w:t>
            </w:r>
            <w:r>
              <w:rPr>
                <w:color w:val="auto"/>
                <w:sz w:val="24"/>
              </w:rPr>
              <w:t>NOx：48.263kg</w:t>
            </w:r>
            <w:r>
              <w:rPr>
                <w:rFonts w:hint="eastAsia"/>
                <w:color w:val="auto"/>
                <w:sz w:val="24"/>
              </w:rPr>
              <w:t>、</w:t>
            </w:r>
            <w:r>
              <w:rPr>
                <w:color w:val="auto"/>
                <w:sz w:val="24"/>
              </w:rPr>
              <w:t>碳氢化合物：4.826kg。</w:t>
            </w:r>
          </w:p>
          <w:p>
            <w:pPr>
              <w:widowControl/>
              <w:spacing w:line="360" w:lineRule="auto"/>
              <w:ind w:firstLine="480" w:firstLineChars="200"/>
              <w:jc w:val="left"/>
              <w:rPr>
                <w:rFonts w:hint="eastAsia"/>
                <w:color w:val="auto"/>
                <w:sz w:val="24"/>
              </w:rPr>
            </w:pPr>
            <w:r>
              <w:rPr>
                <w:rFonts w:hint="eastAsia"/>
                <w:color w:val="auto"/>
                <w:sz w:val="24"/>
              </w:rPr>
              <w:t>由于本项目管线较长，具有施工范围广、局部区域内施工强度不大的特点，局部区域采用的施工机械及运输车辆较少，运行时间不长，其尾气</w:t>
            </w:r>
            <w:r>
              <w:rPr>
                <w:color w:val="auto"/>
                <w:sz w:val="24"/>
              </w:rPr>
              <w:t>排放量很小，</w:t>
            </w:r>
            <w:r>
              <w:rPr>
                <w:rFonts w:hint="eastAsia"/>
                <w:color w:val="auto"/>
                <w:sz w:val="24"/>
              </w:rPr>
              <w:t>污染物排放浓度低，预计</w:t>
            </w:r>
            <w:r>
              <w:rPr>
                <w:color w:val="auto"/>
                <w:sz w:val="24"/>
              </w:rPr>
              <w:t>对当地环境空气影响较小。</w:t>
            </w:r>
            <w:r>
              <w:rPr>
                <w:rFonts w:hint="eastAsia"/>
                <w:color w:val="auto"/>
                <w:sz w:val="24"/>
              </w:rPr>
              <w:t>但为降低工程对区域环境空气的影响程度，施工方应合理安排施工运输工作，尽量避免施工机械及车辆同时运行；同时，施工单位应采取积极措施，做好施工现场的交通疏导，避免交通阻塞，最大限度的控制汽车尾气的排放。</w:t>
            </w:r>
          </w:p>
          <w:p>
            <w:pPr>
              <w:numPr>
                <w:ilvl w:val="0"/>
                <w:numId w:val="0"/>
              </w:numPr>
              <w:spacing w:line="360" w:lineRule="auto"/>
              <w:ind w:leftChars="0"/>
              <w:rPr>
                <w:b/>
                <w:color w:val="auto"/>
                <w:sz w:val="24"/>
              </w:rPr>
            </w:pPr>
            <w:r>
              <w:rPr>
                <w:rFonts w:hint="eastAsia"/>
                <w:b/>
                <w:color w:val="auto"/>
                <w:sz w:val="24"/>
                <w:lang w:val="en-US" w:eastAsia="zh-CN"/>
              </w:rPr>
              <w:t>2.2</w:t>
            </w:r>
            <w:r>
              <w:rPr>
                <w:b/>
                <w:color w:val="auto"/>
                <w:sz w:val="24"/>
              </w:rPr>
              <w:t>水环境影响分析</w:t>
            </w:r>
          </w:p>
          <w:p>
            <w:pPr>
              <w:widowControl/>
              <w:spacing w:line="360" w:lineRule="auto"/>
              <w:ind w:firstLine="480" w:firstLineChars="200"/>
              <w:jc w:val="left"/>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施工废水</w:t>
            </w:r>
          </w:p>
          <w:p>
            <w:pPr>
              <w:widowControl/>
              <w:spacing w:line="360" w:lineRule="auto"/>
              <w:ind w:firstLine="480" w:firstLineChars="200"/>
              <w:jc w:val="left"/>
              <w:rPr>
                <w:rFonts w:hint="eastAsia"/>
                <w:color w:val="auto"/>
                <w:sz w:val="24"/>
              </w:rPr>
            </w:pPr>
            <w:r>
              <w:rPr>
                <w:rFonts w:hint="eastAsia"/>
                <w:color w:val="auto"/>
                <w:sz w:val="24"/>
              </w:rPr>
              <w:t>本项目施工期产生的施工废水主要为供水管道试压废水。其中管道试压采用新鲜水进行试压，试压后的水除SS有所升高外，其余水质指标基本上没有变化，可经沉淀后就近排放，不会对区域水环境造成影响。</w:t>
            </w:r>
          </w:p>
          <w:p>
            <w:pPr>
              <w:widowControl/>
              <w:spacing w:line="360" w:lineRule="auto"/>
              <w:ind w:firstLine="480" w:firstLineChars="200"/>
              <w:jc w:val="left"/>
              <w:rPr>
                <w:rFonts w:hint="eastAsia"/>
                <w:color w:val="auto"/>
                <w:sz w:val="24"/>
              </w:rPr>
            </w:pPr>
            <w:r>
              <w:rPr>
                <w:rFonts w:hint="eastAsia"/>
                <w:color w:val="auto"/>
                <w:sz w:val="24"/>
              </w:rPr>
              <w:t>根据本项目实际情况，项目部分管道需要依托现有道路桥梁穿越汨罗江、昌江、浯水河、张市河等地表水体，同时有部分管道需要临近汨罗江河岸进行施工、埋设，为降低工程施工过程中对区域水环境的影响，评价建议建设方可采取以下的污染防治措施：</w:t>
            </w:r>
          </w:p>
          <w:p>
            <w:pPr>
              <w:widowControl/>
              <w:spacing w:line="360" w:lineRule="auto"/>
              <w:ind w:firstLine="480" w:firstLineChars="200"/>
              <w:jc w:val="left"/>
              <w:rPr>
                <w:rFonts w:hint="eastAsia"/>
                <w:color w:val="auto"/>
                <w:sz w:val="24"/>
              </w:rPr>
            </w:pPr>
            <w:r>
              <w:rPr>
                <w:rFonts w:hint="eastAsia"/>
                <w:color w:val="auto"/>
                <w:sz w:val="24"/>
              </w:rPr>
              <w:t>1）严格控制施工范围，应尽量控制施工作业面，以免对小河特别是两岸坡面或河堤造成大面积破坏，污染水质。</w:t>
            </w:r>
          </w:p>
          <w:p>
            <w:pPr>
              <w:widowControl/>
              <w:spacing w:line="360" w:lineRule="auto"/>
              <w:ind w:firstLine="480" w:firstLineChars="200"/>
              <w:jc w:val="left"/>
              <w:rPr>
                <w:rFonts w:hint="eastAsia"/>
                <w:color w:val="auto"/>
                <w:sz w:val="24"/>
              </w:rPr>
            </w:pPr>
            <w:r>
              <w:rPr>
                <w:rFonts w:hint="eastAsia"/>
                <w:color w:val="auto"/>
                <w:sz w:val="24"/>
              </w:rPr>
              <w:t>2）施工机械及车辆的维修、维护应尽量送至市区相应单位进行，避免在施工现场进行设备维修和维护，如必须在现场进行设备维修，应做好防治措施将设备维修过程中产生的含油废水进行收集和处理，严禁将其直接排放。</w:t>
            </w:r>
          </w:p>
          <w:p>
            <w:pPr>
              <w:widowControl/>
              <w:spacing w:line="360" w:lineRule="auto"/>
              <w:ind w:firstLine="480" w:firstLineChars="200"/>
              <w:jc w:val="left"/>
              <w:rPr>
                <w:rFonts w:hint="eastAsia"/>
                <w:color w:val="auto"/>
                <w:sz w:val="24"/>
              </w:rPr>
            </w:pPr>
            <w:r>
              <w:rPr>
                <w:rFonts w:hint="eastAsia"/>
                <w:color w:val="auto"/>
                <w:sz w:val="24"/>
              </w:rPr>
              <w:t>3）施工期生活污水不能直接排入水体，需经化粪池处理后作为灌溉用水或排入城市已有污水管网送至污水处理厂进行处理。</w:t>
            </w:r>
          </w:p>
          <w:p>
            <w:pPr>
              <w:widowControl/>
              <w:spacing w:line="360" w:lineRule="auto"/>
              <w:ind w:firstLine="480" w:firstLineChars="200"/>
              <w:jc w:val="left"/>
              <w:rPr>
                <w:rFonts w:hint="eastAsia"/>
                <w:color w:val="auto"/>
                <w:sz w:val="24"/>
              </w:rPr>
            </w:pPr>
            <w:r>
              <w:rPr>
                <w:rFonts w:hint="eastAsia"/>
                <w:color w:val="auto"/>
                <w:sz w:val="24"/>
              </w:rPr>
              <w:t>4）严格管理施工机械，严禁油料泄漏和倾倒废油料。</w:t>
            </w:r>
          </w:p>
          <w:p>
            <w:pPr>
              <w:widowControl/>
              <w:spacing w:line="360" w:lineRule="auto"/>
              <w:ind w:firstLine="480" w:firstLineChars="200"/>
              <w:jc w:val="left"/>
              <w:rPr>
                <w:rFonts w:hint="eastAsia"/>
                <w:color w:val="auto"/>
                <w:sz w:val="24"/>
              </w:rPr>
            </w:pPr>
            <w:r>
              <w:rPr>
                <w:rFonts w:hint="eastAsia"/>
                <w:color w:val="auto"/>
                <w:sz w:val="24"/>
              </w:rPr>
              <w:t>5）严禁将管沟开挖的土石方或建筑材料堆置在河道内；建筑材料临时堆放时应加以覆盖，防止雨水冲刷造成污染。</w:t>
            </w:r>
          </w:p>
          <w:p>
            <w:pPr>
              <w:widowControl/>
              <w:spacing w:line="360" w:lineRule="auto"/>
              <w:ind w:firstLine="480" w:firstLineChars="200"/>
              <w:jc w:val="left"/>
              <w:rPr>
                <w:rFonts w:hint="eastAsia"/>
                <w:color w:val="auto"/>
                <w:sz w:val="24"/>
              </w:rPr>
            </w:pPr>
            <w:r>
              <w:rPr>
                <w:rFonts w:hint="eastAsia"/>
                <w:color w:val="auto"/>
                <w:sz w:val="24"/>
              </w:rPr>
              <w:t>6）管道敷设及河道穿越作业过程排放的废弃土石方等应在指定地点堆放，以免淤塞河道。</w:t>
            </w:r>
          </w:p>
          <w:p>
            <w:pPr>
              <w:widowControl/>
              <w:spacing w:line="360" w:lineRule="auto"/>
              <w:ind w:firstLine="480" w:firstLineChars="200"/>
              <w:jc w:val="left"/>
              <w:rPr>
                <w:rFonts w:hint="eastAsia"/>
                <w:color w:val="auto"/>
                <w:sz w:val="24"/>
              </w:rPr>
            </w:pPr>
            <w:r>
              <w:rPr>
                <w:rFonts w:hint="eastAsia"/>
                <w:color w:val="auto"/>
                <w:sz w:val="24"/>
              </w:rPr>
              <w:t>7）建设方应将回填的土石方临时堆放在河道外，多余的土石方应按要求及时清运。</w:t>
            </w:r>
          </w:p>
          <w:p>
            <w:pPr>
              <w:widowControl/>
              <w:spacing w:line="360" w:lineRule="auto"/>
              <w:ind w:firstLine="480" w:firstLineChars="200"/>
              <w:jc w:val="left"/>
              <w:rPr>
                <w:rFonts w:hint="eastAsia"/>
                <w:color w:val="auto"/>
                <w:sz w:val="24"/>
              </w:rPr>
            </w:pPr>
            <w:r>
              <w:rPr>
                <w:rFonts w:hint="eastAsia"/>
                <w:color w:val="auto"/>
                <w:sz w:val="24"/>
              </w:rPr>
              <w:t>8）施工结束后要尽快对出、入土场地的平整和绿化，减少水土流失。施工多余土方应尽量用于沿岸护堤或及时按平江县渣土办要求外运至指定地点进行处置，不得随意弃置。</w:t>
            </w:r>
          </w:p>
          <w:p>
            <w:pPr>
              <w:widowControl/>
              <w:spacing w:line="360" w:lineRule="auto"/>
              <w:ind w:firstLine="480" w:firstLineChars="200"/>
              <w:jc w:val="left"/>
              <w:rPr>
                <w:rFonts w:hint="eastAsia"/>
                <w:color w:val="auto"/>
                <w:sz w:val="24"/>
              </w:rPr>
            </w:pPr>
            <w:r>
              <w:rPr>
                <w:rFonts w:hint="eastAsia"/>
                <w:color w:val="auto"/>
                <w:sz w:val="24"/>
              </w:rPr>
              <w:t>9）建设单位应加强施工期环境管理，管沟开挖、临时道路修建、河流、水渠穿越施工应避开雨季，减少水土流失和对水生生态系统的影响。</w:t>
            </w:r>
          </w:p>
          <w:p>
            <w:pPr>
              <w:widowControl/>
              <w:spacing w:line="360" w:lineRule="auto"/>
              <w:ind w:firstLine="480" w:firstLineChars="200"/>
              <w:jc w:val="left"/>
              <w:rPr>
                <w:rFonts w:hint="eastAsia"/>
                <w:color w:val="auto"/>
                <w:sz w:val="24"/>
              </w:rPr>
            </w:pPr>
            <w:r>
              <w:rPr>
                <w:rFonts w:hint="eastAsia"/>
                <w:color w:val="auto"/>
                <w:sz w:val="24"/>
              </w:rPr>
              <w:t>10）在堆管场旁设置沉淀池收集初期雨水，经沉淀后再排放。</w:t>
            </w:r>
          </w:p>
          <w:p>
            <w:pPr>
              <w:widowControl/>
              <w:spacing w:line="360" w:lineRule="auto"/>
              <w:ind w:firstLine="480" w:firstLineChars="200"/>
              <w:jc w:val="left"/>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生活污水</w:t>
            </w:r>
          </w:p>
          <w:p>
            <w:pPr>
              <w:widowControl/>
              <w:spacing w:line="360" w:lineRule="auto"/>
              <w:ind w:firstLine="480" w:firstLineChars="200"/>
              <w:jc w:val="left"/>
              <w:rPr>
                <w:rFonts w:hint="eastAsia"/>
                <w:color w:val="auto"/>
                <w:sz w:val="24"/>
              </w:rPr>
            </w:pPr>
            <w:r>
              <w:rPr>
                <w:rFonts w:hint="eastAsia"/>
                <w:color w:val="auto"/>
                <w:sz w:val="24"/>
              </w:rPr>
              <w:t>根据本项目的实际情况，工程采用分段施工的方式进行，施工现场不设施工营地，拟在施工现场租用民房作为临时办公和生活场所。因此，施工期产生的生活污水可依托租用民房所在城镇、村庄的处理设施进行处理，不会对区域水环境造成新的影响。</w:t>
            </w:r>
          </w:p>
          <w:p>
            <w:pPr>
              <w:numPr>
                <w:ilvl w:val="0"/>
                <w:numId w:val="0"/>
              </w:numPr>
              <w:spacing w:line="360" w:lineRule="auto"/>
              <w:ind w:leftChars="0"/>
              <w:rPr>
                <w:rFonts w:hint="eastAsia"/>
                <w:b/>
                <w:color w:val="auto"/>
                <w:sz w:val="24"/>
              </w:rPr>
            </w:pPr>
            <w:r>
              <w:rPr>
                <w:rFonts w:hint="eastAsia"/>
                <w:b/>
                <w:color w:val="auto"/>
                <w:sz w:val="24"/>
                <w:lang w:val="en-US" w:eastAsia="zh-CN"/>
              </w:rPr>
              <w:t>2.3</w:t>
            </w:r>
            <w:r>
              <w:rPr>
                <w:rFonts w:hint="eastAsia"/>
                <w:b/>
                <w:color w:val="auto"/>
                <w:sz w:val="24"/>
              </w:rPr>
              <w:t>声环境影响分析</w:t>
            </w:r>
          </w:p>
          <w:p>
            <w:pPr>
              <w:tabs>
                <w:tab w:val="left" w:pos="0"/>
              </w:tabs>
              <w:spacing w:line="360" w:lineRule="auto"/>
              <w:ind w:firstLine="480" w:firstLineChars="200"/>
              <w:rPr>
                <w:rFonts w:hint="eastAsia" w:ascii="宋体" w:hAnsi="宋体"/>
                <w:color w:val="auto"/>
                <w:sz w:val="24"/>
              </w:rPr>
            </w:pPr>
            <w:r>
              <w:rPr>
                <w:rFonts w:hint="eastAsia" w:hAnsi="宋体"/>
                <w:color w:val="auto"/>
                <w:sz w:val="24"/>
              </w:rPr>
              <w:t>本项目</w:t>
            </w:r>
            <w:r>
              <w:rPr>
                <w:rFonts w:hint="eastAsia" w:ascii="宋体" w:hAnsi="宋体"/>
                <w:color w:val="auto"/>
                <w:sz w:val="24"/>
              </w:rPr>
              <w:t>施工期的主要噪声源是各类施工机械产生的噪声，以及原材料运输时车辆引起的交通噪声。</w:t>
            </w:r>
          </w:p>
          <w:p>
            <w:pPr>
              <w:tabs>
                <w:tab w:val="left" w:pos="0"/>
              </w:tabs>
              <w:spacing w:line="360" w:lineRule="auto"/>
              <w:ind w:firstLine="480" w:firstLineChars="200"/>
              <w:rPr>
                <w:color w:val="auto"/>
                <w:sz w:val="24"/>
              </w:rPr>
            </w:pPr>
            <w:r>
              <w:rPr>
                <w:rFonts w:hAnsi="宋体"/>
                <w:color w:val="auto"/>
                <w:sz w:val="24"/>
              </w:rPr>
              <w:t>管线施工噪声源主要为挖沟时采用挖掘机，布管时使用运输车辆，管线入沟时采用吊管机，回填土时使用推土机等。根据类比调查，高达</w:t>
            </w:r>
            <w:r>
              <w:rPr>
                <w:color w:val="auto"/>
                <w:sz w:val="24"/>
              </w:rPr>
              <w:t>85dB(A)</w:t>
            </w:r>
            <w:r>
              <w:rPr>
                <w:rFonts w:hAnsi="宋体"/>
                <w:color w:val="auto"/>
                <w:sz w:val="24"/>
              </w:rPr>
              <w:t>以上的噪声源施工机械有：挖掘机、吊管机、定向钻机、推土机、混凝土搅拌机、切割机等，这些施工均为白天作业，根据施工内容交替使用施工机械，并随施工位置变化移动。</w:t>
            </w:r>
          </w:p>
          <w:p>
            <w:pPr>
              <w:tabs>
                <w:tab w:val="left" w:pos="0"/>
              </w:tabs>
              <w:spacing w:line="360" w:lineRule="auto"/>
              <w:ind w:firstLine="480" w:firstLineChars="200"/>
              <w:rPr>
                <w:color w:val="auto"/>
                <w:sz w:val="24"/>
              </w:rPr>
            </w:pPr>
            <w:r>
              <w:rPr>
                <w:rFonts w:hAnsi="宋体"/>
                <w:color w:val="auto"/>
                <w:sz w:val="24"/>
              </w:rPr>
              <w:t>定向钻和顶管穿越施工地点选择在交通方便、场地开阔的一侧，施工周期取决于采用的施工方式和穿越长度及地质情况，每处穿越工程的施工时间一般</w:t>
            </w:r>
            <w:r>
              <w:rPr>
                <w:rFonts w:hint="eastAsia" w:hAnsi="宋体"/>
                <w:color w:val="auto"/>
                <w:sz w:val="24"/>
              </w:rPr>
              <w:t>不</w:t>
            </w:r>
            <w:r>
              <w:rPr>
                <w:rFonts w:hAnsi="宋体"/>
                <w:color w:val="auto"/>
                <w:sz w:val="24"/>
              </w:rPr>
              <w:t>超过</w:t>
            </w:r>
            <w:r>
              <w:rPr>
                <w:color w:val="auto"/>
                <w:sz w:val="24"/>
              </w:rPr>
              <w:t>20d</w:t>
            </w:r>
            <w:r>
              <w:rPr>
                <w:rFonts w:hAnsi="宋体"/>
                <w:color w:val="auto"/>
                <w:sz w:val="24"/>
              </w:rPr>
              <w:t>，仅在昼间施工；噪声源主要来自施工作业机械，如挖掘机、推土机、吊管机和定向钻等。</w:t>
            </w:r>
          </w:p>
          <w:p>
            <w:pPr>
              <w:tabs>
                <w:tab w:val="left" w:pos="0"/>
              </w:tabs>
              <w:spacing w:line="360" w:lineRule="auto"/>
              <w:ind w:firstLine="480" w:firstLineChars="200"/>
              <w:rPr>
                <w:rFonts w:hint="eastAsia" w:hAnsi="宋体"/>
                <w:color w:val="auto"/>
                <w:sz w:val="24"/>
              </w:rPr>
            </w:pPr>
            <w:r>
              <w:rPr>
                <w:rFonts w:hint="eastAsia" w:ascii="宋体" w:hAnsi="宋体"/>
                <w:color w:val="auto"/>
                <w:sz w:val="24"/>
              </w:rPr>
              <w:t>施工噪声可近似为点声源处理，根据点声源噪声衰减模式，可估算出离声源不同距离处的噪声值。</w:t>
            </w:r>
            <w:r>
              <w:rPr>
                <w:rFonts w:hint="eastAsia" w:hAnsi="宋体"/>
                <w:color w:val="auto"/>
                <w:sz w:val="24"/>
              </w:rPr>
              <w:t>典型施工机械设备的</w:t>
            </w:r>
            <w:r>
              <w:rPr>
                <w:rFonts w:hAnsi="宋体"/>
                <w:color w:val="auto"/>
                <w:sz w:val="24"/>
              </w:rPr>
              <w:t>噪声源及其衰减情况见表</w:t>
            </w:r>
            <w:r>
              <w:rPr>
                <w:rFonts w:hint="eastAsia" w:hAnsi="宋体"/>
                <w:color w:val="auto"/>
                <w:sz w:val="24"/>
                <w:lang w:val="en-US" w:eastAsia="zh-CN"/>
              </w:rPr>
              <w:t>37</w:t>
            </w:r>
            <w:r>
              <w:rPr>
                <w:rFonts w:hAnsi="宋体"/>
                <w:color w:val="auto"/>
                <w:sz w:val="24"/>
              </w:rPr>
              <w:t>。</w:t>
            </w:r>
          </w:p>
          <w:p>
            <w:pPr>
              <w:tabs>
                <w:tab w:val="left" w:pos="0"/>
              </w:tabs>
              <w:spacing w:line="360" w:lineRule="auto"/>
              <w:jc w:val="center"/>
              <w:rPr>
                <w:b/>
                <w:color w:val="auto"/>
                <w:szCs w:val="21"/>
              </w:rPr>
            </w:pPr>
            <w:r>
              <w:rPr>
                <w:b/>
                <w:color w:val="auto"/>
                <w:szCs w:val="21"/>
              </w:rPr>
              <w:t>表</w:t>
            </w:r>
            <w:r>
              <w:rPr>
                <w:rFonts w:hint="eastAsia"/>
                <w:b/>
                <w:color w:val="auto"/>
                <w:szCs w:val="21"/>
                <w:lang w:val="en-US" w:eastAsia="zh-CN"/>
              </w:rPr>
              <w:t>37</w:t>
            </w:r>
            <w:r>
              <w:rPr>
                <w:b/>
                <w:color w:val="auto"/>
                <w:szCs w:val="21"/>
              </w:rPr>
              <w:t xml:space="preserve">  施工期噪声源基本情况表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64"/>
              <w:gridCol w:w="974"/>
              <w:gridCol w:w="974"/>
              <w:gridCol w:w="974"/>
              <w:gridCol w:w="974"/>
              <w:gridCol w:w="974"/>
              <w:gridCol w:w="974"/>
              <w:gridCol w:w="97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vMerge w:val="restart"/>
                  <w:tcMar>
                    <w:left w:w="17" w:type="dxa"/>
                    <w:right w:w="17" w:type="dxa"/>
                  </w:tcMar>
                  <w:vAlign w:val="center"/>
                </w:tcPr>
                <w:p>
                  <w:pPr>
                    <w:spacing w:line="280" w:lineRule="exact"/>
                    <w:jc w:val="center"/>
                    <w:rPr>
                      <w:color w:val="auto"/>
                      <w:szCs w:val="21"/>
                    </w:rPr>
                  </w:pPr>
                  <w:r>
                    <w:rPr>
                      <w:color w:val="auto"/>
                      <w:szCs w:val="21"/>
                    </w:rPr>
                    <w:t>噪声源</w:t>
                  </w:r>
                </w:p>
              </w:tc>
              <w:tc>
                <w:tcPr>
                  <w:tcW w:w="6818" w:type="dxa"/>
                  <w:gridSpan w:val="7"/>
                  <w:tcMar>
                    <w:left w:w="17" w:type="dxa"/>
                    <w:right w:w="17" w:type="dxa"/>
                  </w:tcMar>
                  <w:vAlign w:val="center"/>
                </w:tcPr>
                <w:p>
                  <w:pPr>
                    <w:spacing w:line="280" w:lineRule="exact"/>
                    <w:jc w:val="center"/>
                    <w:rPr>
                      <w:color w:val="auto"/>
                      <w:szCs w:val="21"/>
                    </w:rPr>
                  </w:pPr>
                  <w:r>
                    <w:rPr>
                      <w:color w:val="auto"/>
                      <w:szCs w:val="21"/>
                    </w:rPr>
                    <w:t>距声源不同距离（m）处的噪声值 dB(A)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vMerge w:val="continue"/>
                  <w:tcMar>
                    <w:left w:w="17" w:type="dxa"/>
                    <w:right w:w="17" w:type="dxa"/>
                  </w:tcMar>
                  <w:vAlign w:val="center"/>
                </w:tcPr>
                <w:p>
                  <w:pPr>
                    <w:spacing w:line="280" w:lineRule="exact"/>
                    <w:jc w:val="center"/>
                    <w:rPr>
                      <w:color w:val="auto"/>
                      <w:szCs w:val="21"/>
                    </w:rPr>
                  </w:pPr>
                </w:p>
              </w:tc>
              <w:tc>
                <w:tcPr>
                  <w:tcW w:w="974" w:type="dxa"/>
                  <w:tcMar>
                    <w:left w:w="17" w:type="dxa"/>
                    <w:right w:w="17" w:type="dxa"/>
                  </w:tcMar>
                  <w:vAlign w:val="center"/>
                </w:tcPr>
                <w:p>
                  <w:pPr>
                    <w:spacing w:line="280" w:lineRule="exact"/>
                    <w:jc w:val="center"/>
                    <w:rPr>
                      <w:color w:val="auto"/>
                      <w:szCs w:val="21"/>
                    </w:rPr>
                  </w:pPr>
                  <w:r>
                    <w:rPr>
                      <w:color w:val="auto"/>
                      <w:szCs w:val="21"/>
                    </w:rPr>
                    <w:t>10</w:t>
                  </w:r>
                </w:p>
              </w:tc>
              <w:tc>
                <w:tcPr>
                  <w:tcW w:w="974" w:type="dxa"/>
                  <w:tcMar>
                    <w:left w:w="17" w:type="dxa"/>
                    <w:right w:w="17" w:type="dxa"/>
                  </w:tcMar>
                  <w:vAlign w:val="center"/>
                </w:tcPr>
                <w:p>
                  <w:pPr>
                    <w:spacing w:line="280" w:lineRule="exact"/>
                    <w:jc w:val="center"/>
                    <w:rPr>
                      <w:color w:val="auto"/>
                      <w:szCs w:val="21"/>
                    </w:rPr>
                  </w:pPr>
                  <w:r>
                    <w:rPr>
                      <w:color w:val="auto"/>
                      <w:szCs w:val="21"/>
                    </w:rPr>
                    <w:t>20</w:t>
                  </w:r>
                </w:p>
              </w:tc>
              <w:tc>
                <w:tcPr>
                  <w:tcW w:w="974" w:type="dxa"/>
                  <w:tcMar>
                    <w:left w:w="17" w:type="dxa"/>
                    <w:right w:w="17" w:type="dxa"/>
                  </w:tcMar>
                  <w:vAlign w:val="center"/>
                </w:tcPr>
                <w:p>
                  <w:pPr>
                    <w:spacing w:line="280" w:lineRule="exact"/>
                    <w:jc w:val="center"/>
                    <w:rPr>
                      <w:color w:val="auto"/>
                      <w:szCs w:val="21"/>
                    </w:rPr>
                  </w:pPr>
                  <w:r>
                    <w:rPr>
                      <w:color w:val="auto"/>
                      <w:szCs w:val="21"/>
                    </w:rPr>
                    <w:t>50</w:t>
                  </w:r>
                </w:p>
              </w:tc>
              <w:tc>
                <w:tcPr>
                  <w:tcW w:w="974" w:type="dxa"/>
                  <w:tcMar>
                    <w:left w:w="17" w:type="dxa"/>
                    <w:right w:w="17" w:type="dxa"/>
                  </w:tcMar>
                  <w:vAlign w:val="center"/>
                </w:tcPr>
                <w:p>
                  <w:pPr>
                    <w:spacing w:line="280" w:lineRule="exact"/>
                    <w:jc w:val="center"/>
                    <w:rPr>
                      <w:color w:val="auto"/>
                      <w:szCs w:val="21"/>
                    </w:rPr>
                  </w:pPr>
                  <w:r>
                    <w:rPr>
                      <w:color w:val="auto"/>
                      <w:szCs w:val="21"/>
                    </w:rPr>
                    <w:t>80</w:t>
                  </w:r>
                </w:p>
              </w:tc>
              <w:tc>
                <w:tcPr>
                  <w:tcW w:w="974" w:type="dxa"/>
                  <w:tcMar>
                    <w:left w:w="17" w:type="dxa"/>
                    <w:right w:w="17" w:type="dxa"/>
                  </w:tcMar>
                  <w:vAlign w:val="center"/>
                </w:tcPr>
                <w:p>
                  <w:pPr>
                    <w:spacing w:line="280" w:lineRule="exact"/>
                    <w:jc w:val="center"/>
                    <w:rPr>
                      <w:color w:val="auto"/>
                      <w:szCs w:val="21"/>
                    </w:rPr>
                  </w:pPr>
                  <w:r>
                    <w:rPr>
                      <w:color w:val="auto"/>
                      <w:szCs w:val="21"/>
                    </w:rPr>
                    <w:t>100</w:t>
                  </w:r>
                </w:p>
              </w:tc>
              <w:tc>
                <w:tcPr>
                  <w:tcW w:w="974" w:type="dxa"/>
                  <w:tcMar>
                    <w:left w:w="17" w:type="dxa"/>
                    <w:right w:w="17" w:type="dxa"/>
                  </w:tcMar>
                  <w:vAlign w:val="center"/>
                </w:tcPr>
                <w:p>
                  <w:pPr>
                    <w:spacing w:line="280" w:lineRule="exact"/>
                    <w:jc w:val="center"/>
                    <w:rPr>
                      <w:color w:val="auto"/>
                      <w:szCs w:val="21"/>
                    </w:rPr>
                  </w:pPr>
                  <w:r>
                    <w:rPr>
                      <w:color w:val="auto"/>
                      <w:szCs w:val="21"/>
                    </w:rPr>
                    <w:t>150</w:t>
                  </w:r>
                </w:p>
              </w:tc>
              <w:tc>
                <w:tcPr>
                  <w:tcW w:w="974" w:type="dxa"/>
                  <w:tcMar>
                    <w:left w:w="17" w:type="dxa"/>
                    <w:right w:w="17" w:type="dxa"/>
                  </w:tcMar>
                  <w:vAlign w:val="center"/>
                </w:tcPr>
                <w:p>
                  <w:pPr>
                    <w:spacing w:line="280" w:lineRule="exact"/>
                    <w:jc w:val="center"/>
                    <w:rPr>
                      <w:color w:val="auto"/>
                      <w:szCs w:val="21"/>
                    </w:rPr>
                  </w:pPr>
                  <w:r>
                    <w:rPr>
                      <w:color w:val="auto"/>
                      <w:szCs w:val="21"/>
                    </w:rPr>
                    <w:t>200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推土机</w:t>
                  </w:r>
                </w:p>
              </w:tc>
              <w:tc>
                <w:tcPr>
                  <w:tcW w:w="974" w:type="dxa"/>
                  <w:tcMar>
                    <w:left w:w="17" w:type="dxa"/>
                    <w:right w:w="17" w:type="dxa"/>
                  </w:tcMar>
                  <w:vAlign w:val="center"/>
                </w:tcPr>
                <w:p>
                  <w:pPr>
                    <w:spacing w:line="280" w:lineRule="exact"/>
                    <w:jc w:val="center"/>
                    <w:rPr>
                      <w:color w:val="auto"/>
                      <w:szCs w:val="21"/>
                    </w:rPr>
                  </w:pPr>
                  <w:r>
                    <w:rPr>
                      <w:color w:val="auto"/>
                      <w:szCs w:val="21"/>
                    </w:rPr>
                    <w:t>80</w:t>
                  </w:r>
                </w:p>
              </w:tc>
              <w:tc>
                <w:tcPr>
                  <w:tcW w:w="974" w:type="dxa"/>
                  <w:tcMar>
                    <w:left w:w="17" w:type="dxa"/>
                    <w:right w:w="17" w:type="dxa"/>
                  </w:tcMar>
                  <w:vAlign w:val="center"/>
                </w:tcPr>
                <w:p>
                  <w:pPr>
                    <w:spacing w:line="280" w:lineRule="exact"/>
                    <w:jc w:val="center"/>
                    <w:rPr>
                      <w:color w:val="auto"/>
                      <w:szCs w:val="21"/>
                    </w:rPr>
                  </w:pPr>
                  <w:r>
                    <w:rPr>
                      <w:color w:val="auto"/>
                      <w:szCs w:val="21"/>
                    </w:rPr>
                    <w:t>74</w:t>
                  </w:r>
                </w:p>
              </w:tc>
              <w:tc>
                <w:tcPr>
                  <w:tcW w:w="974" w:type="dxa"/>
                  <w:tcMar>
                    <w:left w:w="17" w:type="dxa"/>
                    <w:right w:w="17" w:type="dxa"/>
                  </w:tcMar>
                  <w:vAlign w:val="center"/>
                </w:tcPr>
                <w:p>
                  <w:pPr>
                    <w:spacing w:line="280" w:lineRule="exact"/>
                    <w:jc w:val="center"/>
                    <w:rPr>
                      <w:color w:val="auto"/>
                      <w:szCs w:val="21"/>
                    </w:rPr>
                  </w:pPr>
                  <w:r>
                    <w:rPr>
                      <w:color w:val="auto"/>
                      <w:szCs w:val="21"/>
                    </w:rPr>
                    <w:t>66</w:t>
                  </w:r>
                </w:p>
              </w:tc>
              <w:tc>
                <w:tcPr>
                  <w:tcW w:w="974" w:type="dxa"/>
                  <w:tcMar>
                    <w:left w:w="17" w:type="dxa"/>
                    <w:right w:w="17" w:type="dxa"/>
                  </w:tcMar>
                  <w:vAlign w:val="center"/>
                </w:tcPr>
                <w:p>
                  <w:pPr>
                    <w:spacing w:line="280" w:lineRule="exact"/>
                    <w:jc w:val="center"/>
                    <w:rPr>
                      <w:color w:val="auto"/>
                      <w:szCs w:val="21"/>
                    </w:rPr>
                  </w:pPr>
                  <w:r>
                    <w:rPr>
                      <w:color w:val="auto"/>
                      <w:szCs w:val="21"/>
                    </w:rPr>
                    <w:t>61.9</w:t>
                  </w:r>
                </w:p>
              </w:tc>
              <w:tc>
                <w:tcPr>
                  <w:tcW w:w="974" w:type="dxa"/>
                  <w:tcMar>
                    <w:left w:w="17" w:type="dxa"/>
                    <w:right w:w="17" w:type="dxa"/>
                  </w:tcMar>
                  <w:vAlign w:val="center"/>
                </w:tcPr>
                <w:p>
                  <w:pPr>
                    <w:spacing w:line="280" w:lineRule="exact"/>
                    <w:jc w:val="center"/>
                    <w:rPr>
                      <w:color w:val="auto"/>
                      <w:szCs w:val="21"/>
                    </w:rPr>
                  </w:pPr>
                  <w:r>
                    <w:rPr>
                      <w:color w:val="auto"/>
                      <w:szCs w:val="21"/>
                    </w:rPr>
                    <w:t>60</w:t>
                  </w:r>
                </w:p>
              </w:tc>
              <w:tc>
                <w:tcPr>
                  <w:tcW w:w="974" w:type="dxa"/>
                  <w:tcMar>
                    <w:left w:w="17" w:type="dxa"/>
                    <w:right w:w="17" w:type="dxa"/>
                  </w:tcMar>
                  <w:vAlign w:val="center"/>
                </w:tcPr>
                <w:p>
                  <w:pPr>
                    <w:spacing w:line="280" w:lineRule="exact"/>
                    <w:jc w:val="center"/>
                    <w:rPr>
                      <w:color w:val="auto"/>
                      <w:szCs w:val="21"/>
                    </w:rPr>
                  </w:pPr>
                  <w:r>
                    <w:rPr>
                      <w:color w:val="auto"/>
                      <w:szCs w:val="21"/>
                    </w:rPr>
                    <w:t>56.5</w:t>
                  </w:r>
                </w:p>
              </w:tc>
              <w:tc>
                <w:tcPr>
                  <w:tcW w:w="974" w:type="dxa"/>
                  <w:tcMar>
                    <w:left w:w="17" w:type="dxa"/>
                    <w:right w:w="17" w:type="dxa"/>
                  </w:tcMar>
                  <w:vAlign w:val="center"/>
                </w:tcPr>
                <w:p>
                  <w:pPr>
                    <w:spacing w:line="280" w:lineRule="exact"/>
                    <w:jc w:val="center"/>
                    <w:rPr>
                      <w:color w:val="auto"/>
                      <w:szCs w:val="21"/>
                    </w:rPr>
                  </w:pPr>
                  <w:r>
                    <w:rPr>
                      <w:color w:val="auto"/>
                      <w:szCs w:val="21"/>
                    </w:rPr>
                    <w:t>54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挖掘机</w:t>
                  </w:r>
                </w:p>
              </w:tc>
              <w:tc>
                <w:tcPr>
                  <w:tcW w:w="974" w:type="dxa"/>
                  <w:tcMar>
                    <w:left w:w="17" w:type="dxa"/>
                    <w:right w:w="17" w:type="dxa"/>
                  </w:tcMar>
                  <w:vAlign w:val="center"/>
                </w:tcPr>
                <w:p>
                  <w:pPr>
                    <w:spacing w:line="280" w:lineRule="exact"/>
                    <w:jc w:val="center"/>
                    <w:rPr>
                      <w:color w:val="auto"/>
                      <w:szCs w:val="21"/>
                    </w:rPr>
                  </w:pPr>
                  <w:r>
                    <w:rPr>
                      <w:color w:val="auto"/>
                      <w:szCs w:val="21"/>
                    </w:rPr>
                    <w:t>78</w:t>
                  </w:r>
                </w:p>
              </w:tc>
              <w:tc>
                <w:tcPr>
                  <w:tcW w:w="974" w:type="dxa"/>
                  <w:tcMar>
                    <w:left w:w="17" w:type="dxa"/>
                    <w:right w:w="17" w:type="dxa"/>
                  </w:tcMar>
                  <w:vAlign w:val="center"/>
                </w:tcPr>
                <w:p>
                  <w:pPr>
                    <w:spacing w:line="280" w:lineRule="exact"/>
                    <w:jc w:val="center"/>
                    <w:rPr>
                      <w:color w:val="auto"/>
                      <w:szCs w:val="21"/>
                    </w:rPr>
                  </w:pPr>
                  <w:r>
                    <w:rPr>
                      <w:color w:val="auto"/>
                      <w:szCs w:val="21"/>
                    </w:rPr>
                    <w:t>72</w:t>
                  </w:r>
                </w:p>
              </w:tc>
              <w:tc>
                <w:tcPr>
                  <w:tcW w:w="974" w:type="dxa"/>
                  <w:tcMar>
                    <w:left w:w="17" w:type="dxa"/>
                    <w:right w:w="17" w:type="dxa"/>
                  </w:tcMar>
                  <w:vAlign w:val="center"/>
                </w:tcPr>
                <w:p>
                  <w:pPr>
                    <w:spacing w:line="280" w:lineRule="exact"/>
                    <w:jc w:val="center"/>
                    <w:rPr>
                      <w:color w:val="auto"/>
                      <w:szCs w:val="21"/>
                    </w:rPr>
                  </w:pPr>
                  <w:r>
                    <w:rPr>
                      <w:color w:val="auto"/>
                      <w:szCs w:val="21"/>
                    </w:rPr>
                    <w:t>64</w:t>
                  </w:r>
                </w:p>
              </w:tc>
              <w:tc>
                <w:tcPr>
                  <w:tcW w:w="974" w:type="dxa"/>
                  <w:tcMar>
                    <w:left w:w="17" w:type="dxa"/>
                    <w:right w:w="17" w:type="dxa"/>
                  </w:tcMar>
                  <w:vAlign w:val="center"/>
                </w:tcPr>
                <w:p>
                  <w:pPr>
                    <w:spacing w:line="280" w:lineRule="exact"/>
                    <w:jc w:val="center"/>
                    <w:rPr>
                      <w:color w:val="auto"/>
                      <w:szCs w:val="21"/>
                    </w:rPr>
                  </w:pPr>
                  <w:r>
                    <w:rPr>
                      <w:color w:val="auto"/>
                      <w:szCs w:val="21"/>
                    </w:rPr>
                    <w:t>59.9</w:t>
                  </w:r>
                </w:p>
              </w:tc>
              <w:tc>
                <w:tcPr>
                  <w:tcW w:w="974" w:type="dxa"/>
                  <w:tcMar>
                    <w:left w:w="17" w:type="dxa"/>
                    <w:right w:w="17" w:type="dxa"/>
                  </w:tcMar>
                  <w:vAlign w:val="center"/>
                </w:tcPr>
                <w:p>
                  <w:pPr>
                    <w:spacing w:line="280" w:lineRule="exact"/>
                    <w:jc w:val="center"/>
                    <w:rPr>
                      <w:color w:val="auto"/>
                      <w:szCs w:val="21"/>
                    </w:rPr>
                  </w:pPr>
                  <w:r>
                    <w:rPr>
                      <w:color w:val="auto"/>
                      <w:szCs w:val="21"/>
                    </w:rPr>
                    <w:t>58</w:t>
                  </w:r>
                </w:p>
              </w:tc>
              <w:tc>
                <w:tcPr>
                  <w:tcW w:w="974" w:type="dxa"/>
                  <w:tcMar>
                    <w:left w:w="17" w:type="dxa"/>
                    <w:right w:w="17" w:type="dxa"/>
                  </w:tcMar>
                  <w:vAlign w:val="center"/>
                </w:tcPr>
                <w:p>
                  <w:pPr>
                    <w:spacing w:line="280" w:lineRule="exact"/>
                    <w:jc w:val="center"/>
                    <w:rPr>
                      <w:color w:val="auto"/>
                      <w:szCs w:val="21"/>
                    </w:rPr>
                  </w:pPr>
                  <w:r>
                    <w:rPr>
                      <w:color w:val="auto"/>
                      <w:szCs w:val="21"/>
                    </w:rPr>
                    <w:t>54.5</w:t>
                  </w:r>
                </w:p>
              </w:tc>
              <w:tc>
                <w:tcPr>
                  <w:tcW w:w="974" w:type="dxa"/>
                  <w:tcMar>
                    <w:left w:w="17" w:type="dxa"/>
                    <w:right w:w="17" w:type="dxa"/>
                  </w:tcMar>
                  <w:vAlign w:val="center"/>
                </w:tcPr>
                <w:p>
                  <w:pPr>
                    <w:spacing w:line="280" w:lineRule="exact"/>
                    <w:jc w:val="center"/>
                    <w:rPr>
                      <w:color w:val="auto"/>
                      <w:szCs w:val="21"/>
                    </w:rPr>
                  </w:pPr>
                  <w:r>
                    <w:rPr>
                      <w:color w:val="auto"/>
                      <w:szCs w:val="21"/>
                    </w:rPr>
                    <w:t>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混凝土搅拌机</w:t>
                  </w:r>
                </w:p>
              </w:tc>
              <w:tc>
                <w:tcPr>
                  <w:tcW w:w="974" w:type="dxa"/>
                  <w:tcMar>
                    <w:left w:w="17" w:type="dxa"/>
                    <w:right w:w="17" w:type="dxa"/>
                  </w:tcMar>
                  <w:vAlign w:val="center"/>
                </w:tcPr>
                <w:p>
                  <w:pPr>
                    <w:spacing w:line="280" w:lineRule="exact"/>
                    <w:jc w:val="center"/>
                    <w:rPr>
                      <w:color w:val="auto"/>
                      <w:szCs w:val="21"/>
                    </w:rPr>
                  </w:pPr>
                  <w:r>
                    <w:rPr>
                      <w:color w:val="auto"/>
                      <w:szCs w:val="21"/>
                    </w:rPr>
                    <w:t>75</w:t>
                  </w:r>
                </w:p>
              </w:tc>
              <w:tc>
                <w:tcPr>
                  <w:tcW w:w="974" w:type="dxa"/>
                  <w:tcMar>
                    <w:left w:w="17" w:type="dxa"/>
                    <w:right w:w="17" w:type="dxa"/>
                  </w:tcMar>
                  <w:vAlign w:val="center"/>
                </w:tcPr>
                <w:p>
                  <w:pPr>
                    <w:spacing w:line="280" w:lineRule="exact"/>
                    <w:jc w:val="center"/>
                    <w:rPr>
                      <w:color w:val="auto"/>
                      <w:szCs w:val="21"/>
                    </w:rPr>
                  </w:pPr>
                  <w:r>
                    <w:rPr>
                      <w:color w:val="auto"/>
                      <w:szCs w:val="21"/>
                    </w:rPr>
                    <w:t>69</w:t>
                  </w:r>
                </w:p>
              </w:tc>
              <w:tc>
                <w:tcPr>
                  <w:tcW w:w="974" w:type="dxa"/>
                  <w:tcMar>
                    <w:left w:w="17" w:type="dxa"/>
                    <w:right w:w="17" w:type="dxa"/>
                  </w:tcMar>
                  <w:vAlign w:val="center"/>
                </w:tcPr>
                <w:p>
                  <w:pPr>
                    <w:spacing w:line="280" w:lineRule="exact"/>
                    <w:jc w:val="center"/>
                    <w:rPr>
                      <w:color w:val="auto"/>
                      <w:szCs w:val="21"/>
                    </w:rPr>
                  </w:pPr>
                  <w:r>
                    <w:rPr>
                      <w:color w:val="auto"/>
                      <w:szCs w:val="21"/>
                    </w:rPr>
                    <w:t>61</w:t>
                  </w:r>
                </w:p>
              </w:tc>
              <w:tc>
                <w:tcPr>
                  <w:tcW w:w="974" w:type="dxa"/>
                  <w:tcMar>
                    <w:left w:w="17" w:type="dxa"/>
                    <w:right w:w="17" w:type="dxa"/>
                  </w:tcMar>
                  <w:vAlign w:val="center"/>
                </w:tcPr>
                <w:p>
                  <w:pPr>
                    <w:spacing w:line="280" w:lineRule="exact"/>
                    <w:jc w:val="center"/>
                    <w:rPr>
                      <w:color w:val="auto"/>
                      <w:szCs w:val="21"/>
                    </w:rPr>
                  </w:pPr>
                  <w:r>
                    <w:rPr>
                      <w:color w:val="auto"/>
                      <w:szCs w:val="21"/>
                    </w:rPr>
                    <w:t>55.9</w:t>
                  </w:r>
                </w:p>
              </w:tc>
              <w:tc>
                <w:tcPr>
                  <w:tcW w:w="974" w:type="dxa"/>
                  <w:tcMar>
                    <w:left w:w="17" w:type="dxa"/>
                    <w:right w:w="17" w:type="dxa"/>
                  </w:tcMar>
                  <w:vAlign w:val="center"/>
                </w:tcPr>
                <w:p>
                  <w:pPr>
                    <w:spacing w:line="280" w:lineRule="exact"/>
                    <w:jc w:val="center"/>
                    <w:rPr>
                      <w:color w:val="auto"/>
                      <w:szCs w:val="21"/>
                    </w:rPr>
                  </w:pPr>
                  <w:r>
                    <w:rPr>
                      <w:color w:val="auto"/>
                      <w:szCs w:val="21"/>
                    </w:rPr>
                    <w:t>55</w:t>
                  </w:r>
                </w:p>
              </w:tc>
              <w:tc>
                <w:tcPr>
                  <w:tcW w:w="974" w:type="dxa"/>
                  <w:tcMar>
                    <w:left w:w="17" w:type="dxa"/>
                    <w:right w:w="17" w:type="dxa"/>
                  </w:tcMar>
                  <w:vAlign w:val="center"/>
                </w:tcPr>
                <w:p>
                  <w:pPr>
                    <w:spacing w:line="280" w:lineRule="exact"/>
                    <w:jc w:val="center"/>
                    <w:rPr>
                      <w:color w:val="auto"/>
                      <w:szCs w:val="21"/>
                    </w:rPr>
                  </w:pPr>
                  <w:r>
                    <w:rPr>
                      <w:color w:val="auto"/>
                      <w:szCs w:val="21"/>
                    </w:rPr>
                    <w:t>51.5</w:t>
                  </w:r>
                </w:p>
              </w:tc>
              <w:tc>
                <w:tcPr>
                  <w:tcW w:w="974" w:type="dxa"/>
                  <w:tcMar>
                    <w:left w:w="17" w:type="dxa"/>
                    <w:right w:w="17" w:type="dxa"/>
                  </w:tcMar>
                  <w:vAlign w:val="center"/>
                </w:tcPr>
                <w:p>
                  <w:pPr>
                    <w:spacing w:line="280" w:lineRule="exact"/>
                    <w:jc w:val="center"/>
                    <w:rPr>
                      <w:color w:val="auto"/>
                      <w:szCs w:val="21"/>
                    </w:rPr>
                  </w:pPr>
                  <w:r>
                    <w:rPr>
                      <w:color w:val="auto"/>
                      <w:szCs w:val="21"/>
                    </w:rPr>
                    <w:t>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吊管机</w:t>
                  </w:r>
                </w:p>
              </w:tc>
              <w:tc>
                <w:tcPr>
                  <w:tcW w:w="974" w:type="dxa"/>
                  <w:tcMar>
                    <w:left w:w="17" w:type="dxa"/>
                    <w:right w:w="17" w:type="dxa"/>
                  </w:tcMar>
                  <w:vAlign w:val="center"/>
                </w:tcPr>
                <w:p>
                  <w:pPr>
                    <w:spacing w:line="280" w:lineRule="exact"/>
                    <w:jc w:val="center"/>
                    <w:rPr>
                      <w:color w:val="auto"/>
                      <w:szCs w:val="21"/>
                    </w:rPr>
                  </w:pPr>
                  <w:r>
                    <w:rPr>
                      <w:color w:val="auto"/>
                      <w:szCs w:val="21"/>
                    </w:rPr>
                    <w:t>75</w:t>
                  </w:r>
                </w:p>
              </w:tc>
              <w:tc>
                <w:tcPr>
                  <w:tcW w:w="974" w:type="dxa"/>
                  <w:tcMar>
                    <w:left w:w="17" w:type="dxa"/>
                    <w:right w:w="17" w:type="dxa"/>
                  </w:tcMar>
                  <w:vAlign w:val="center"/>
                </w:tcPr>
                <w:p>
                  <w:pPr>
                    <w:spacing w:line="280" w:lineRule="exact"/>
                    <w:jc w:val="center"/>
                    <w:rPr>
                      <w:color w:val="auto"/>
                      <w:szCs w:val="21"/>
                    </w:rPr>
                  </w:pPr>
                  <w:r>
                    <w:rPr>
                      <w:color w:val="auto"/>
                      <w:szCs w:val="21"/>
                    </w:rPr>
                    <w:t>69</w:t>
                  </w:r>
                </w:p>
              </w:tc>
              <w:tc>
                <w:tcPr>
                  <w:tcW w:w="974" w:type="dxa"/>
                  <w:tcMar>
                    <w:left w:w="17" w:type="dxa"/>
                    <w:right w:w="17" w:type="dxa"/>
                  </w:tcMar>
                  <w:vAlign w:val="center"/>
                </w:tcPr>
                <w:p>
                  <w:pPr>
                    <w:spacing w:line="280" w:lineRule="exact"/>
                    <w:jc w:val="center"/>
                    <w:rPr>
                      <w:color w:val="auto"/>
                      <w:szCs w:val="21"/>
                    </w:rPr>
                  </w:pPr>
                  <w:r>
                    <w:rPr>
                      <w:color w:val="auto"/>
                      <w:szCs w:val="21"/>
                    </w:rPr>
                    <w:t>61</w:t>
                  </w:r>
                </w:p>
              </w:tc>
              <w:tc>
                <w:tcPr>
                  <w:tcW w:w="974" w:type="dxa"/>
                  <w:tcMar>
                    <w:left w:w="17" w:type="dxa"/>
                    <w:right w:w="17" w:type="dxa"/>
                  </w:tcMar>
                  <w:vAlign w:val="center"/>
                </w:tcPr>
                <w:p>
                  <w:pPr>
                    <w:spacing w:line="280" w:lineRule="exact"/>
                    <w:jc w:val="center"/>
                    <w:rPr>
                      <w:color w:val="auto"/>
                      <w:szCs w:val="21"/>
                    </w:rPr>
                  </w:pPr>
                  <w:r>
                    <w:rPr>
                      <w:color w:val="auto"/>
                      <w:szCs w:val="21"/>
                    </w:rPr>
                    <w:t>55.9</w:t>
                  </w:r>
                </w:p>
              </w:tc>
              <w:tc>
                <w:tcPr>
                  <w:tcW w:w="974" w:type="dxa"/>
                  <w:tcMar>
                    <w:left w:w="17" w:type="dxa"/>
                    <w:right w:w="17" w:type="dxa"/>
                  </w:tcMar>
                  <w:vAlign w:val="center"/>
                </w:tcPr>
                <w:p>
                  <w:pPr>
                    <w:spacing w:line="280" w:lineRule="exact"/>
                    <w:jc w:val="center"/>
                    <w:rPr>
                      <w:color w:val="auto"/>
                      <w:szCs w:val="21"/>
                    </w:rPr>
                  </w:pPr>
                  <w:r>
                    <w:rPr>
                      <w:color w:val="auto"/>
                      <w:szCs w:val="21"/>
                    </w:rPr>
                    <w:t>55</w:t>
                  </w:r>
                </w:p>
              </w:tc>
              <w:tc>
                <w:tcPr>
                  <w:tcW w:w="974" w:type="dxa"/>
                  <w:tcMar>
                    <w:left w:w="17" w:type="dxa"/>
                    <w:right w:w="17" w:type="dxa"/>
                  </w:tcMar>
                  <w:vAlign w:val="center"/>
                </w:tcPr>
                <w:p>
                  <w:pPr>
                    <w:spacing w:line="280" w:lineRule="exact"/>
                    <w:jc w:val="center"/>
                    <w:rPr>
                      <w:color w:val="auto"/>
                      <w:szCs w:val="21"/>
                    </w:rPr>
                  </w:pPr>
                  <w:r>
                    <w:rPr>
                      <w:color w:val="auto"/>
                      <w:szCs w:val="21"/>
                    </w:rPr>
                    <w:t>51.5</w:t>
                  </w:r>
                </w:p>
              </w:tc>
              <w:tc>
                <w:tcPr>
                  <w:tcW w:w="974" w:type="dxa"/>
                  <w:tcMar>
                    <w:left w:w="17" w:type="dxa"/>
                    <w:right w:w="17" w:type="dxa"/>
                  </w:tcMar>
                  <w:vAlign w:val="center"/>
                </w:tcPr>
                <w:p>
                  <w:pPr>
                    <w:spacing w:line="280" w:lineRule="exact"/>
                    <w:jc w:val="center"/>
                    <w:rPr>
                      <w:color w:val="auto"/>
                      <w:szCs w:val="21"/>
                    </w:rPr>
                  </w:pPr>
                  <w:r>
                    <w:rPr>
                      <w:color w:val="auto"/>
                      <w:szCs w:val="21"/>
                    </w:rPr>
                    <w:t>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切割机</w:t>
                  </w:r>
                </w:p>
              </w:tc>
              <w:tc>
                <w:tcPr>
                  <w:tcW w:w="974" w:type="dxa"/>
                  <w:tcMar>
                    <w:left w:w="17" w:type="dxa"/>
                    <w:right w:w="17" w:type="dxa"/>
                  </w:tcMar>
                  <w:vAlign w:val="center"/>
                </w:tcPr>
                <w:p>
                  <w:pPr>
                    <w:spacing w:line="280" w:lineRule="exact"/>
                    <w:jc w:val="center"/>
                    <w:rPr>
                      <w:color w:val="auto"/>
                      <w:szCs w:val="21"/>
                    </w:rPr>
                  </w:pPr>
                  <w:r>
                    <w:rPr>
                      <w:color w:val="auto"/>
                      <w:szCs w:val="21"/>
                    </w:rPr>
                    <w:t>89</w:t>
                  </w:r>
                </w:p>
              </w:tc>
              <w:tc>
                <w:tcPr>
                  <w:tcW w:w="974" w:type="dxa"/>
                  <w:tcMar>
                    <w:left w:w="17" w:type="dxa"/>
                    <w:right w:w="17" w:type="dxa"/>
                  </w:tcMar>
                  <w:vAlign w:val="center"/>
                </w:tcPr>
                <w:p>
                  <w:pPr>
                    <w:spacing w:line="280" w:lineRule="exact"/>
                    <w:jc w:val="center"/>
                    <w:rPr>
                      <w:color w:val="auto"/>
                      <w:szCs w:val="21"/>
                    </w:rPr>
                  </w:pPr>
                  <w:r>
                    <w:rPr>
                      <w:color w:val="auto"/>
                      <w:szCs w:val="21"/>
                    </w:rPr>
                    <w:t>83</w:t>
                  </w:r>
                </w:p>
              </w:tc>
              <w:tc>
                <w:tcPr>
                  <w:tcW w:w="974" w:type="dxa"/>
                  <w:tcMar>
                    <w:left w:w="17" w:type="dxa"/>
                    <w:right w:w="17" w:type="dxa"/>
                  </w:tcMar>
                  <w:vAlign w:val="center"/>
                </w:tcPr>
                <w:p>
                  <w:pPr>
                    <w:spacing w:line="280" w:lineRule="exact"/>
                    <w:jc w:val="center"/>
                    <w:rPr>
                      <w:color w:val="auto"/>
                      <w:szCs w:val="21"/>
                    </w:rPr>
                  </w:pPr>
                  <w:r>
                    <w:rPr>
                      <w:color w:val="auto"/>
                      <w:szCs w:val="21"/>
                    </w:rPr>
                    <w:t>75</w:t>
                  </w:r>
                </w:p>
              </w:tc>
              <w:tc>
                <w:tcPr>
                  <w:tcW w:w="974" w:type="dxa"/>
                  <w:tcMar>
                    <w:left w:w="17" w:type="dxa"/>
                    <w:right w:w="17" w:type="dxa"/>
                  </w:tcMar>
                  <w:vAlign w:val="center"/>
                </w:tcPr>
                <w:p>
                  <w:pPr>
                    <w:spacing w:line="280" w:lineRule="exact"/>
                    <w:jc w:val="center"/>
                    <w:rPr>
                      <w:color w:val="auto"/>
                      <w:szCs w:val="21"/>
                    </w:rPr>
                  </w:pPr>
                  <w:r>
                    <w:rPr>
                      <w:color w:val="auto"/>
                      <w:szCs w:val="21"/>
                    </w:rPr>
                    <w:t>71</w:t>
                  </w:r>
                </w:p>
              </w:tc>
              <w:tc>
                <w:tcPr>
                  <w:tcW w:w="974" w:type="dxa"/>
                  <w:tcMar>
                    <w:left w:w="17" w:type="dxa"/>
                    <w:right w:w="17" w:type="dxa"/>
                  </w:tcMar>
                  <w:vAlign w:val="center"/>
                </w:tcPr>
                <w:p>
                  <w:pPr>
                    <w:spacing w:line="280" w:lineRule="exact"/>
                    <w:jc w:val="center"/>
                    <w:rPr>
                      <w:color w:val="auto"/>
                      <w:szCs w:val="21"/>
                    </w:rPr>
                  </w:pPr>
                  <w:r>
                    <w:rPr>
                      <w:color w:val="auto"/>
                      <w:szCs w:val="21"/>
                    </w:rPr>
                    <w:t>69</w:t>
                  </w:r>
                </w:p>
              </w:tc>
              <w:tc>
                <w:tcPr>
                  <w:tcW w:w="974" w:type="dxa"/>
                  <w:tcMar>
                    <w:left w:w="17" w:type="dxa"/>
                    <w:right w:w="17" w:type="dxa"/>
                  </w:tcMar>
                  <w:vAlign w:val="center"/>
                </w:tcPr>
                <w:p>
                  <w:pPr>
                    <w:spacing w:line="280" w:lineRule="exact"/>
                    <w:jc w:val="center"/>
                    <w:rPr>
                      <w:color w:val="auto"/>
                      <w:szCs w:val="21"/>
                    </w:rPr>
                  </w:pPr>
                  <w:r>
                    <w:rPr>
                      <w:color w:val="auto"/>
                      <w:szCs w:val="21"/>
                    </w:rPr>
                    <w:t>65.5</w:t>
                  </w:r>
                </w:p>
              </w:tc>
              <w:tc>
                <w:tcPr>
                  <w:tcW w:w="974" w:type="dxa"/>
                  <w:tcMar>
                    <w:left w:w="17" w:type="dxa"/>
                    <w:right w:w="17" w:type="dxa"/>
                  </w:tcMar>
                  <w:vAlign w:val="center"/>
                </w:tcPr>
                <w:p>
                  <w:pPr>
                    <w:spacing w:line="280" w:lineRule="exact"/>
                    <w:jc w:val="center"/>
                    <w:rPr>
                      <w:color w:val="auto"/>
                      <w:szCs w:val="21"/>
                    </w:rPr>
                  </w:pPr>
                  <w:r>
                    <w:rPr>
                      <w:color w:val="auto"/>
                      <w:szCs w:val="21"/>
                    </w:rPr>
                    <w:t>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64" w:type="dxa"/>
                  <w:tcMar>
                    <w:left w:w="17" w:type="dxa"/>
                    <w:right w:w="17" w:type="dxa"/>
                  </w:tcMar>
                  <w:vAlign w:val="center"/>
                </w:tcPr>
                <w:p>
                  <w:pPr>
                    <w:spacing w:line="280" w:lineRule="exact"/>
                    <w:jc w:val="center"/>
                    <w:rPr>
                      <w:color w:val="auto"/>
                      <w:szCs w:val="21"/>
                    </w:rPr>
                  </w:pPr>
                  <w:r>
                    <w:rPr>
                      <w:color w:val="auto"/>
                      <w:szCs w:val="21"/>
                    </w:rPr>
                    <w:t>定向钻机</w:t>
                  </w:r>
                </w:p>
              </w:tc>
              <w:tc>
                <w:tcPr>
                  <w:tcW w:w="974" w:type="dxa"/>
                  <w:tcMar>
                    <w:left w:w="17" w:type="dxa"/>
                    <w:right w:w="17" w:type="dxa"/>
                  </w:tcMar>
                  <w:vAlign w:val="center"/>
                </w:tcPr>
                <w:p>
                  <w:pPr>
                    <w:spacing w:line="280" w:lineRule="exact"/>
                    <w:jc w:val="center"/>
                    <w:rPr>
                      <w:color w:val="auto"/>
                      <w:szCs w:val="21"/>
                    </w:rPr>
                  </w:pPr>
                  <w:r>
                    <w:rPr>
                      <w:color w:val="auto"/>
                      <w:szCs w:val="21"/>
                    </w:rPr>
                    <w:t>83</w:t>
                  </w:r>
                </w:p>
              </w:tc>
              <w:tc>
                <w:tcPr>
                  <w:tcW w:w="974" w:type="dxa"/>
                  <w:tcMar>
                    <w:left w:w="17" w:type="dxa"/>
                    <w:right w:w="17" w:type="dxa"/>
                  </w:tcMar>
                  <w:vAlign w:val="center"/>
                </w:tcPr>
                <w:p>
                  <w:pPr>
                    <w:spacing w:line="280" w:lineRule="exact"/>
                    <w:jc w:val="center"/>
                    <w:rPr>
                      <w:color w:val="auto"/>
                      <w:szCs w:val="21"/>
                    </w:rPr>
                  </w:pPr>
                  <w:r>
                    <w:rPr>
                      <w:color w:val="auto"/>
                      <w:szCs w:val="21"/>
                    </w:rPr>
                    <w:t>77</w:t>
                  </w:r>
                </w:p>
              </w:tc>
              <w:tc>
                <w:tcPr>
                  <w:tcW w:w="974" w:type="dxa"/>
                  <w:tcMar>
                    <w:left w:w="17" w:type="dxa"/>
                    <w:right w:w="17" w:type="dxa"/>
                  </w:tcMar>
                  <w:vAlign w:val="center"/>
                </w:tcPr>
                <w:p>
                  <w:pPr>
                    <w:spacing w:line="280" w:lineRule="exact"/>
                    <w:jc w:val="center"/>
                    <w:rPr>
                      <w:color w:val="auto"/>
                      <w:szCs w:val="21"/>
                    </w:rPr>
                  </w:pPr>
                  <w:r>
                    <w:rPr>
                      <w:color w:val="auto"/>
                      <w:szCs w:val="21"/>
                    </w:rPr>
                    <w:t>69</w:t>
                  </w:r>
                </w:p>
              </w:tc>
              <w:tc>
                <w:tcPr>
                  <w:tcW w:w="974" w:type="dxa"/>
                  <w:tcMar>
                    <w:left w:w="17" w:type="dxa"/>
                    <w:right w:w="17" w:type="dxa"/>
                  </w:tcMar>
                  <w:vAlign w:val="center"/>
                </w:tcPr>
                <w:p>
                  <w:pPr>
                    <w:spacing w:line="280" w:lineRule="exact"/>
                    <w:jc w:val="center"/>
                    <w:rPr>
                      <w:color w:val="auto"/>
                      <w:szCs w:val="21"/>
                    </w:rPr>
                  </w:pPr>
                  <w:r>
                    <w:rPr>
                      <w:color w:val="auto"/>
                      <w:szCs w:val="21"/>
                    </w:rPr>
                    <w:t>65</w:t>
                  </w:r>
                </w:p>
              </w:tc>
              <w:tc>
                <w:tcPr>
                  <w:tcW w:w="974" w:type="dxa"/>
                  <w:tcMar>
                    <w:left w:w="17" w:type="dxa"/>
                    <w:right w:w="17" w:type="dxa"/>
                  </w:tcMar>
                  <w:vAlign w:val="center"/>
                </w:tcPr>
                <w:p>
                  <w:pPr>
                    <w:spacing w:line="280" w:lineRule="exact"/>
                    <w:jc w:val="center"/>
                    <w:rPr>
                      <w:color w:val="auto"/>
                      <w:szCs w:val="21"/>
                    </w:rPr>
                  </w:pPr>
                  <w:r>
                    <w:rPr>
                      <w:color w:val="auto"/>
                      <w:szCs w:val="21"/>
                    </w:rPr>
                    <w:t>63</w:t>
                  </w:r>
                </w:p>
              </w:tc>
              <w:tc>
                <w:tcPr>
                  <w:tcW w:w="974" w:type="dxa"/>
                  <w:tcMar>
                    <w:left w:w="17" w:type="dxa"/>
                    <w:right w:w="17" w:type="dxa"/>
                  </w:tcMar>
                  <w:vAlign w:val="center"/>
                </w:tcPr>
                <w:p>
                  <w:pPr>
                    <w:spacing w:line="280" w:lineRule="exact"/>
                    <w:jc w:val="center"/>
                    <w:rPr>
                      <w:color w:val="auto"/>
                      <w:szCs w:val="21"/>
                    </w:rPr>
                  </w:pPr>
                  <w:r>
                    <w:rPr>
                      <w:color w:val="auto"/>
                      <w:szCs w:val="21"/>
                    </w:rPr>
                    <w:t>59.5</w:t>
                  </w:r>
                </w:p>
              </w:tc>
              <w:tc>
                <w:tcPr>
                  <w:tcW w:w="974" w:type="dxa"/>
                  <w:tcMar>
                    <w:left w:w="17" w:type="dxa"/>
                    <w:right w:w="17" w:type="dxa"/>
                  </w:tcMar>
                  <w:vAlign w:val="center"/>
                </w:tcPr>
                <w:p>
                  <w:pPr>
                    <w:spacing w:line="280" w:lineRule="exact"/>
                    <w:jc w:val="center"/>
                    <w:rPr>
                      <w:color w:val="auto"/>
                      <w:szCs w:val="21"/>
                    </w:rPr>
                  </w:pPr>
                  <w:r>
                    <w:rPr>
                      <w:color w:val="auto"/>
                      <w:szCs w:val="21"/>
                    </w:rPr>
                    <w:t>57</w:t>
                  </w:r>
                </w:p>
              </w:tc>
            </w:tr>
          </w:tbl>
          <w:p>
            <w:pPr>
              <w:tabs>
                <w:tab w:val="left" w:pos="0"/>
              </w:tabs>
              <w:spacing w:line="360" w:lineRule="auto"/>
              <w:ind w:firstLine="480" w:firstLineChars="200"/>
              <w:rPr>
                <w:rFonts w:hint="eastAsia" w:ascii="宋体" w:hAnsi="宋体"/>
                <w:color w:val="auto"/>
                <w:sz w:val="24"/>
              </w:rPr>
            </w:pPr>
            <w:r>
              <w:rPr>
                <w:rFonts w:hAnsi="宋体"/>
                <w:color w:val="auto"/>
                <w:sz w:val="24"/>
              </w:rPr>
              <w:t>根据表</w:t>
            </w:r>
            <w:r>
              <w:rPr>
                <w:rFonts w:hint="eastAsia" w:hAnsi="宋体"/>
                <w:color w:val="auto"/>
                <w:sz w:val="24"/>
              </w:rPr>
              <w:t>7-1</w:t>
            </w:r>
            <w:r>
              <w:rPr>
                <w:rFonts w:hAnsi="宋体"/>
                <w:color w:val="auto"/>
                <w:sz w:val="24"/>
              </w:rPr>
              <w:t>可知，</w:t>
            </w:r>
            <w:r>
              <w:rPr>
                <w:rFonts w:hint="eastAsia" w:ascii="宋体" w:hAnsi="宋体"/>
                <w:color w:val="auto"/>
                <w:sz w:val="24"/>
              </w:rPr>
              <w:t>昼间施工设备噪声的超标范围为距声源</w:t>
            </w:r>
            <w:r>
              <w:rPr>
                <w:rFonts w:hint="eastAsia"/>
                <w:color w:val="auto"/>
                <w:sz w:val="24"/>
              </w:rPr>
              <w:t>80m</w:t>
            </w:r>
            <w:r>
              <w:rPr>
                <w:rFonts w:hint="eastAsia" w:ascii="宋体" w:hAnsi="宋体"/>
                <w:color w:val="auto"/>
                <w:sz w:val="24"/>
              </w:rPr>
              <w:t>内，夜间噪声超标的范围大于</w:t>
            </w:r>
            <w:r>
              <w:rPr>
                <w:rFonts w:hint="eastAsia"/>
                <w:color w:val="auto"/>
                <w:sz w:val="24"/>
              </w:rPr>
              <w:t>200m</w:t>
            </w:r>
            <w:r>
              <w:rPr>
                <w:rFonts w:hint="eastAsia" w:ascii="宋体" w:hAnsi="宋体"/>
                <w:color w:val="auto"/>
                <w:sz w:val="24"/>
              </w:rPr>
              <w:t>。在实际施工过程中，由于多种施工机械同时作业，各种噪声源产生的噪声相互叠加噪声级将有所提高（一般噪声增值约</w:t>
            </w:r>
            <w:r>
              <w:rPr>
                <w:rFonts w:hint="eastAsia"/>
                <w:color w:val="auto"/>
                <w:sz w:val="24"/>
              </w:rPr>
              <w:t>3~8dB</w:t>
            </w:r>
            <w:r>
              <w:rPr>
                <w:rFonts w:hint="eastAsia" w:ascii="宋体" w:hAnsi="宋体"/>
                <w:color w:val="auto"/>
                <w:sz w:val="24"/>
              </w:rPr>
              <w:t>，一般不会超过</w:t>
            </w:r>
            <w:r>
              <w:rPr>
                <w:rFonts w:hint="eastAsia"/>
                <w:color w:val="auto"/>
                <w:sz w:val="24"/>
              </w:rPr>
              <w:t>10dB</w:t>
            </w:r>
            <w:r>
              <w:rPr>
                <w:rFonts w:hint="eastAsia" w:ascii="宋体" w:hAnsi="宋体"/>
                <w:color w:val="auto"/>
                <w:sz w:val="24"/>
              </w:rPr>
              <w:t>)，超标范围进一步扩大。</w:t>
            </w:r>
          </w:p>
          <w:p>
            <w:pPr>
              <w:tabs>
                <w:tab w:val="left" w:pos="0"/>
              </w:tabs>
              <w:spacing w:line="360" w:lineRule="auto"/>
              <w:ind w:firstLine="480" w:firstLineChars="200"/>
              <w:rPr>
                <w:rFonts w:hint="eastAsia" w:hAnsi="宋体"/>
                <w:color w:val="auto"/>
                <w:sz w:val="24"/>
              </w:rPr>
            </w:pPr>
            <w:r>
              <w:rPr>
                <w:rFonts w:hint="eastAsia" w:ascii="宋体" w:hAnsi="宋体"/>
                <w:color w:val="auto"/>
                <w:sz w:val="24"/>
              </w:rPr>
              <w:t>本项目管道工程沿线居民点较多，工程施工将会对沿线敏感点产生一定的负面影响。因而，为进一步降低施工噪声的影响，项目须采取以下必要措施：</w:t>
            </w:r>
          </w:p>
          <w:p>
            <w:pPr>
              <w:tabs>
                <w:tab w:val="left" w:pos="0"/>
              </w:tabs>
              <w:spacing w:line="360" w:lineRule="auto"/>
              <w:ind w:firstLine="480" w:firstLineChars="200"/>
              <w:rPr>
                <w:color w:val="auto"/>
                <w:sz w:val="24"/>
              </w:rPr>
            </w:pPr>
            <w:r>
              <w:rPr>
                <w:color w:val="auto"/>
                <w:sz w:val="24"/>
              </w:rPr>
              <w:t>1）合理选择施工机械、施工方法、施工场地、施工时间，尽量选用低噪声设备，在施工过程中，应经常对施工设备进行维修、保养，减少机械设备由于松动部件的振动等而增加其工作时的声级；对闲置不用的设备及时关闭；运输车辆进入施工现场严禁鸣笛。</w:t>
            </w:r>
          </w:p>
          <w:p>
            <w:pPr>
              <w:tabs>
                <w:tab w:val="left" w:pos="0"/>
              </w:tabs>
              <w:spacing w:line="360" w:lineRule="auto"/>
              <w:ind w:firstLine="480" w:firstLineChars="200"/>
              <w:rPr>
                <w:color w:val="auto"/>
                <w:sz w:val="24"/>
              </w:rPr>
            </w:pPr>
            <w:r>
              <w:rPr>
                <w:color w:val="auto"/>
                <w:sz w:val="24"/>
              </w:rPr>
              <w:t>2）按规定操作机械设备，在支架拆卸等过程中减少碰撞噪声，减轻人为噪声对声环境的影响，装卸材料应做到轻拿轻放，做到文明施工。</w:t>
            </w:r>
          </w:p>
          <w:p>
            <w:pPr>
              <w:tabs>
                <w:tab w:val="left" w:pos="0"/>
              </w:tabs>
              <w:spacing w:line="360" w:lineRule="auto"/>
              <w:ind w:firstLine="480" w:firstLineChars="200"/>
              <w:rPr>
                <w:color w:val="auto"/>
                <w:sz w:val="24"/>
              </w:rPr>
            </w:pPr>
            <w:r>
              <w:rPr>
                <w:color w:val="auto"/>
                <w:sz w:val="24"/>
              </w:rPr>
              <w:t>3）合理安排施工时间，施工应尽量避免夜间（22:00至6:00）和中午（12:00至14:00）居民休息时段施工；尽量减少多机械同步施工时间；噪声源强大的作业应放在昼间（06:00~22:00）进行或对各种施工机械操作时间作适当调整；为减少施工期间的材料运输、敲击、人的喊叫等施工活动声源，要求承包商通过文明施工、加强有效管理加以缓解。</w:t>
            </w:r>
          </w:p>
          <w:p>
            <w:pPr>
              <w:tabs>
                <w:tab w:val="left" w:pos="0"/>
              </w:tabs>
              <w:spacing w:line="360" w:lineRule="auto"/>
              <w:ind w:firstLine="480" w:firstLineChars="200"/>
              <w:rPr>
                <w:color w:val="auto"/>
                <w:sz w:val="24"/>
              </w:rPr>
            </w:pPr>
            <w:r>
              <w:rPr>
                <w:color w:val="auto"/>
                <w:sz w:val="24"/>
              </w:rPr>
              <w:t>4）</w:t>
            </w:r>
            <w:r>
              <w:rPr>
                <w:rFonts w:hAnsi="宋体"/>
                <w:color w:val="auto"/>
                <w:sz w:val="24"/>
              </w:rPr>
              <w:t>必须连续施工作业的工点，施工单位应视具体情况及时与当地环保部门取得联系，按规定申领夜间施工证，同时发布公告最大限度地争取民众支持。在施工便</w:t>
            </w:r>
            <w:r>
              <w:rPr>
                <w:color w:val="auto"/>
                <w:sz w:val="24"/>
              </w:rPr>
              <w:t>道50m</w:t>
            </w:r>
            <w:r>
              <w:rPr>
                <w:rFonts w:hAnsi="宋体"/>
                <w:color w:val="auto"/>
                <w:sz w:val="24"/>
              </w:rPr>
              <w:t>内有成片居民时，夜间应禁止在该便道上运输建筑材料。</w:t>
            </w:r>
          </w:p>
          <w:p>
            <w:pPr>
              <w:tabs>
                <w:tab w:val="left" w:pos="0"/>
              </w:tabs>
              <w:spacing w:line="360" w:lineRule="auto"/>
              <w:ind w:firstLine="480" w:firstLineChars="200"/>
              <w:rPr>
                <w:color w:val="auto"/>
                <w:sz w:val="24"/>
              </w:rPr>
            </w:pPr>
            <w:r>
              <w:rPr>
                <w:color w:val="auto"/>
                <w:sz w:val="24"/>
              </w:rPr>
              <w:t>5</w:t>
            </w:r>
            <w:r>
              <w:rPr>
                <w:rFonts w:hAnsi="宋体"/>
                <w:color w:val="auto"/>
                <w:sz w:val="24"/>
              </w:rPr>
              <w:t>）经过敏感区域的路段在施工过程中，沿施工道路两侧一定距离须设置隔声屏障，降低噪声对敏感点的影响；施工车辆应绕开环境敏感点。</w:t>
            </w:r>
          </w:p>
          <w:p>
            <w:pPr>
              <w:tabs>
                <w:tab w:val="left" w:pos="0"/>
              </w:tabs>
              <w:spacing w:line="360" w:lineRule="auto"/>
              <w:ind w:firstLine="480" w:firstLineChars="200"/>
              <w:rPr>
                <w:color w:val="auto"/>
                <w:sz w:val="24"/>
              </w:rPr>
            </w:pPr>
            <w:r>
              <w:rPr>
                <w:color w:val="auto"/>
                <w:sz w:val="24"/>
              </w:rPr>
              <w:t>6）将有固定工作地点的施工机械尽量设置在距居民区较远的位置，并采取适当的封闭和隔声措施。</w:t>
            </w:r>
          </w:p>
          <w:p>
            <w:pPr>
              <w:tabs>
                <w:tab w:val="left" w:pos="0"/>
              </w:tabs>
              <w:spacing w:line="360" w:lineRule="auto"/>
              <w:ind w:firstLine="480" w:firstLineChars="200"/>
              <w:rPr>
                <w:rFonts w:hint="eastAsia" w:hAnsi="宋体"/>
                <w:color w:val="auto"/>
                <w:sz w:val="24"/>
              </w:rPr>
            </w:pPr>
            <w:r>
              <w:rPr>
                <w:rFonts w:hint="eastAsia" w:ascii="宋体" w:hAnsi="宋体"/>
                <w:color w:val="auto"/>
                <w:sz w:val="24"/>
              </w:rPr>
              <w:t>通过采取以上措施，可降低工程施工噪声的影响。施工期噪声影响是暂时的，随着施工的结束影响也随之消失。</w:t>
            </w:r>
          </w:p>
          <w:p>
            <w:pPr>
              <w:numPr>
                <w:ilvl w:val="0"/>
                <w:numId w:val="0"/>
              </w:numPr>
              <w:spacing w:line="360" w:lineRule="auto"/>
              <w:ind w:leftChars="0"/>
              <w:rPr>
                <w:rFonts w:hint="eastAsia"/>
                <w:b/>
                <w:color w:val="auto"/>
                <w:sz w:val="24"/>
              </w:rPr>
            </w:pPr>
            <w:r>
              <w:rPr>
                <w:rFonts w:hint="eastAsia"/>
                <w:b/>
                <w:color w:val="auto"/>
                <w:sz w:val="24"/>
                <w:lang w:val="en-US" w:eastAsia="zh-CN"/>
              </w:rPr>
              <w:t>2.4</w:t>
            </w:r>
            <w:r>
              <w:rPr>
                <w:rFonts w:hint="eastAsia"/>
                <w:b/>
                <w:color w:val="auto"/>
                <w:sz w:val="24"/>
              </w:rPr>
              <w:t>固体废物</w:t>
            </w:r>
          </w:p>
          <w:p>
            <w:pPr>
              <w:tabs>
                <w:tab w:val="left" w:pos="0"/>
              </w:tabs>
              <w:spacing w:line="360" w:lineRule="auto"/>
              <w:ind w:firstLine="480" w:firstLineChars="200"/>
              <w:rPr>
                <w:rFonts w:hint="eastAsia"/>
                <w:color w:val="auto"/>
                <w:sz w:val="24"/>
              </w:rPr>
            </w:pPr>
            <w:r>
              <w:rPr>
                <w:rFonts w:hint="eastAsia"/>
                <w:color w:val="auto"/>
                <w:sz w:val="24"/>
              </w:rPr>
              <w:t>本项目施工期产生的固体废物主要是工程施工过程产生的弃渣土，其次是施工过程废弃的建筑材料产生的少量建筑垃圾。</w:t>
            </w:r>
          </w:p>
          <w:p>
            <w:pPr>
              <w:tabs>
                <w:tab w:val="left" w:pos="0"/>
              </w:tabs>
              <w:spacing w:line="360" w:lineRule="auto"/>
              <w:ind w:firstLine="480" w:firstLineChars="200"/>
              <w:rPr>
                <w:rFonts w:hint="eastAsia"/>
                <w:color w:val="auto"/>
                <w:sz w:val="24"/>
              </w:rPr>
            </w:pPr>
            <w:r>
              <w:rPr>
                <w:rFonts w:hint="eastAsia"/>
                <w:color w:val="auto"/>
                <w:sz w:val="24"/>
              </w:rPr>
              <w:t>弃渣土虽不含有毒有害物质，如不及时处置将会对周围环境产生较大影响，同时可能造成二次扬尘污染。弃渣土应委托渣土运输单位按渣土消纳许可证上指定的运输路线全部运至按平江县渣土办指定的渣土消纳场进行消纳。</w:t>
            </w:r>
          </w:p>
          <w:p>
            <w:pPr>
              <w:tabs>
                <w:tab w:val="left" w:pos="0"/>
              </w:tabs>
              <w:spacing w:line="360" w:lineRule="auto"/>
              <w:ind w:firstLine="480" w:firstLineChars="200"/>
              <w:rPr>
                <w:rFonts w:hint="eastAsia"/>
                <w:color w:val="auto"/>
                <w:sz w:val="24"/>
              </w:rPr>
            </w:pPr>
            <w:r>
              <w:rPr>
                <w:rFonts w:hint="eastAsia"/>
                <w:color w:val="auto"/>
                <w:sz w:val="24"/>
              </w:rPr>
              <w:t>建筑垃圾主要来源于施工过程废弃的建筑材料如管材、混凝土等，虽然这些废物不含有毒有害成份，但粉状废料会随风飘入大气成为扬尘而污染环境空气；同时施工垃圾乱堆乱放，也会给景观环境带来负面影响。建设方拟将可回收的废弃建筑材料（如管材等）可由施工单位进行回收利用，不能回收利用的废弃建筑垃圾运至建筑垃圾消纳场进行消纳。</w:t>
            </w:r>
          </w:p>
          <w:p>
            <w:pPr>
              <w:tabs>
                <w:tab w:val="left" w:pos="0"/>
              </w:tabs>
              <w:spacing w:line="360" w:lineRule="auto"/>
              <w:ind w:firstLine="480" w:firstLineChars="200"/>
              <w:rPr>
                <w:rFonts w:hint="eastAsia"/>
                <w:color w:val="auto"/>
                <w:sz w:val="24"/>
              </w:rPr>
            </w:pPr>
            <w:r>
              <w:rPr>
                <w:rFonts w:hint="eastAsia"/>
                <w:color w:val="auto"/>
                <w:sz w:val="24"/>
              </w:rPr>
              <w:t>综上所述，本项目施工期采取上述各种有效的污染防治措施后，对当地的环境影响较小。</w:t>
            </w:r>
          </w:p>
          <w:p>
            <w:pPr>
              <w:numPr>
                <w:ilvl w:val="0"/>
                <w:numId w:val="0"/>
              </w:numPr>
              <w:spacing w:line="360" w:lineRule="auto"/>
              <w:ind w:leftChars="0"/>
              <w:rPr>
                <w:b/>
                <w:color w:val="auto"/>
                <w:sz w:val="24"/>
              </w:rPr>
            </w:pPr>
            <w:r>
              <w:rPr>
                <w:rFonts w:hint="eastAsia"/>
                <w:b/>
                <w:color w:val="auto"/>
                <w:sz w:val="24"/>
                <w:lang w:val="en-US" w:eastAsia="zh-CN"/>
              </w:rPr>
              <w:t>2.5</w:t>
            </w:r>
            <w:r>
              <w:rPr>
                <w:b/>
                <w:color w:val="auto"/>
                <w:sz w:val="24"/>
              </w:rPr>
              <w:t>生态环境影响分析</w:t>
            </w:r>
          </w:p>
          <w:p>
            <w:pPr>
              <w:widowControl/>
              <w:spacing w:line="360" w:lineRule="auto"/>
              <w:ind w:firstLine="480" w:firstLineChars="200"/>
              <w:rPr>
                <w:rFonts w:hint="eastAsia"/>
                <w:color w:val="auto"/>
                <w:sz w:val="24"/>
              </w:rPr>
            </w:pPr>
            <w:r>
              <w:rPr>
                <w:rFonts w:hint="eastAsia"/>
                <w:color w:val="auto"/>
                <w:sz w:val="24"/>
              </w:rPr>
              <w:t>本项目临时占地主要为管道施工作业带用地，由于本项目施工区域为道路沿线，施工临时占地为已建成的区域（如路面、人行道等），施工开挖区内的植物被清除或破坏，管线开挖可能会影响行道树的根系，对行道树的生长带来不利影响，此外开挖施工会影响硬化地面下土壤的局部环境，但总体而言，项目的施工对区域生态系统的影响相对较小；同时在工程结束后，建设方将对临时占地（含施工作业带和施工便道等）恢复到其原有土地利用方式，本项目的建设不改变工程用地的土地利用现状。</w:t>
            </w:r>
          </w:p>
          <w:p>
            <w:pPr>
              <w:widowControl/>
              <w:spacing w:line="360" w:lineRule="auto"/>
              <w:ind w:firstLine="480" w:firstLineChars="200"/>
              <w:rPr>
                <w:rFonts w:hint="eastAsia"/>
                <w:color w:val="auto"/>
                <w:sz w:val="24"/>
              </w:rPr>
            </w:pPr>
            <w:r>
              <w:rPr>
                <w:rFonts w:hint="eastAsia"/>
                <w:color w:val="auto"/>
                <w:sz w:val="24"/>
              </w:rPr>
              <w:t>在输水管道施工过程中，由于管沟开挖以及开挖土方的临时堆置，会使得施工区域显得较为凌乱，此外在土石方外运过程中的遗撒，也会给周围景观产生不良影响。但该影响是是短暂的，且是可以恢复的，同时在建设方做好施工场地清洁工作可将该影响降至最低程度，不会对区域环境造成严重的不利影响。</w:t>
            </w:r>
          </w:p>
          <w:p>
            <w:pPr>
              <w:widowControl/>
              <w:spacing w:line="360" w:lineRule="auto"/>
              <w:ind w:firstLine="480" w:firstLineChars="200"/>
              <w:rPr>
                <w:rFonts w:hint="eastAsia"/>
                <w:color w:val="auto"/>
                <w:sz w:val="24"/>
              </w:rPr>
            </w:pPr>
            <w:r>
              <w:rPr>
                <w:rFonts w:hint="eastAsia"/>
                <w:color w:val="auto"/>
                <w:sz w:val="24"/>
              </w:rPr>
              <w:t>在管线施工开挖的过程中，由于施工作业面裸露，会产生一定程度的水土流失。为减缓水土流失，施工中应采取以下措施：</w:t>
            </w:r>
          </w:p>
          <w:p>
            <w:pPr>
              <w:widowControl/>
              <w:spacing w:line="360" w:lineRule="auto"/>
              <w:ind w:firstLine="480" w:firstLineChars="200"/>
              <w:rPr>
                <w:rFonts w:hint="eastAsia"/>
                <w:color w:val="auto"/>
                <w:sz w:val="24"/>
              </w:rPr>
            </w:pPr>
            <w:r>
              <w:rPr>
                <w:rFonts w:hint="eastAsia"/>
                <w:color w:val="auto"/>
                <w:sz w:val="24"/>
              </w:rPr>
              <w:t>（1）科学规划，合理安排施工期，尽量避免雨季施工，防止暴雨径流对开挖面的冲刷，从根本上减少水土流失量。</w:t>
            </w:r>
          </w:p>
          <w:p>
            <w:pPr>
              <w:widowControl/>
              <w:spacing w:line="360" w:lineRule="auto"/>
              <w:ind w:firstLine="480" w:firstLineChars="200"/>
              <w:rPr>
                <w:rFonts w:hint="eastAsia"/>
                <w:color w:val="auto"/>
                <w:sz w:val="24"/>
              </w:rPr>
            </w:pPr>
            <w:r>
              <w:rPr>
                <w:rFonts w:hint="eastAsia"/>
                <w:color w:val="auto"/>
                <w:sz w:val="24"/>
              </w:rPr>
              <w:t>（2）施工中采取临时防护措施，如在挖、填施工场地周围设临时排洪沟，在排水沟出口设沉淀池，使雨水经沉淀池沉清后再外排，确保暴雨时不出现大量水土流失。</w:t>
            </w:r>
          </w:p>
          <w:p>
            <w:pPr>
              <w:widowControl/>
              <w:spacing w:line="360" w:lineRule="auto"/>
              <w:ind w:firstLine="480" w:firstLineChars="200"/>
              <w:rPr>
                <w:rFonts w:hint="eastAsia"/>
                <w:color w:val="auto"/>
                <w:sz w:val="24"/>
              </w:rPr>
            </w:pPr>
            <w:r>
              <w:rPr>
                <w:rFonts w:hint="eastAsia"/>
                <w:color w:val="auto"/>
                <w:sz w:val="24"/>
              </w:rPr>
              <w:t>（3）施工前在项目周边建临时围墙，设备堆放场、材料堆放场的防径流冲刷措施应加强，废土、弃渣应及时运出填埋，不得随意堆放，防止出现废土、渣处置不妥而导致的水土流失。</w:t>
            </w:r>
          </w:p>
          <w:p>
            <w:pPr>
              <w:widowControl/>
              <w:spacing w:line="360" w:lineRule="auto"/>
              <w:ind w:firstLine="480" w:firstLineChars="200"/>
              <w:rPr>
                <w:rFonts w:hint="eastAsia"/>
                <w:color w:val="auto"/>
                <w:sz w:val="24"/>
              </w:rPr>
            </w:pPr>
            <w:r>
              <w:rPr>
                <w:rFonts w:hint="eastAsia"/>
                <w:color w:val="auto"/>
                <w:sz w:val="24"/>
              </w:rPr>
              <w:t>（4）应尽可能缩短施工工期，项目建设过程中，应尽快实施地面硬化和绿化、美化工程。</w:t>
            </w:r>
          </w:p>
          <w:p>
            <w:pPr>
              <w:widowControl/>
              <w:spacing w:line="360" w:lineRule="auto"/>
              <w:ind w:firstLine="480" w:firstLineChars="200"/>
              <w:rPr>
                <w:rFonts w:hint="eastAsia"/>
                <w:color w:val="auto"/>
                <w:sz w:val="24"/>
              </w:rPr>
            </w:pPr>
            <w:r>
              <w:rPr>
                <w:rFonts w:hint="eastAsia"/>
                <w:color w:val="auto"/>
                <w:sz w:val="24"/>
              </w:rPr>
              <w:t>（5）管沟开挖实行分段作业，并严格采取分层开挖、分层堆放、分层回填的作业方式。开挖管沟时，将表层土壤与深层土壤分别堆放，回填时先回填深层土，然后回填表层土，利于生态恢复。同时做到分层回填前清理留在土壤中的固体废物，回填时还应留足适宜的堆积层，防止因降水、径流造成地表下陷和水土流失。</w:t>
            </w:r>
          </w:p>
          <w:p>
            <w:pPr>
              <w:widowControl/>
              <w:spacing w:line="360" w:lineRule="auto"/>
              <w:ind w:firstLine="480" w:firstLineChars="200"/>
              <w:rPr>
                <w:rFonts w:hint="eastAsia"/>
                <w:color w:val="auto"/>
                <w:sz w:val="24"/>
              </w:rPr>
            </w:pPr>
            <w:r>
              <w:rPr>
                <w:rFonts w:hint="eastAsia"/>
                <w:color w:val="auto"/>
                <w:sz w:val="24"/>
              </w:rPr>
              <w:t>（6）管道施工完成后，应根据施工地段的原有利用方式（农用地、绿化带或人行道、机动车道等），采取复垦、绿化、敷设人行道砖或混凝土硬化等措施，将其恢复到施工前的地表形态。</w:t>
            </w:r>
          </w:p>
          <w:p>
            <w:pPr>
              <w:widowControl/>
              <w:spacing w:line="360" w:lineRule="auto"/>
              <w:ind w:firstLine="480" w:firstLineChars="200"/>
              <w:rPr>
                <w:rFonts w:hint="eastAsia"/>
                <w:color w:val="auto"/>
                <w:sz w:val="24"/>
              </w:rPr>
            </w:pPr>
            <w:r>
              <w:rPr>
                <w:rFonts w:hint="eastAsia"/>
                <w:color w:val="auto"/>
                <w:sz w:val="24"/>
              </w:rPr>
              <w:t>总体而言，由于施工过程的诸多不确定性和短期性，施工过程仍将对周围环境产生一定的影响，但施工期影响是短期的、局部的，影响范围和程度有限，可采取多种措施降低施工对区域生态环境的影响程度，同时待工程完成后，所有的影响也将不复存在，区域生态环境将恢复到施工前的状态。</w:t>
            </w:r>
          </w:p>
          <w:p>
            <w:pPr>
              <w:numPr>
                <w:ilvl w:val="0"/>
                <w:numId w:val="0"/>
              </w:numPr>
              <w:spacing w:line="360" w:lineRule="auto"/>
              <w:ind w:leftChars="0"/>
              <w:rPr>
                <w:b/>
                <w:color w:val="auto"/>
                <w:sz w:val="24"/>
              </w:rPr>
            </w:pPr>
            <w:r>
              <w:rPr>
                <w:rFonts w:hint="eastAsia"/>
                <w:b/>
                <w:color w:val="auto"/>
                <w:sz w:val="24"/>
                <w:lang w:val="en-US" w:eastAsia="zh-CN"/>
              </w:rPr>
              <w:t>2.6</w:t>
            </w:r>
            <w:r>
              <w:rPr>
                <w:rFonts w:hint="eastAsia"/>
                <w:b/>
                <w:color w:val="auto"/>
                <w:sz w:val="24"/>
              </w:rPr>
              <w:t>社会</w:t>
            </w:r>
            <w:r>
              <w:rPr>
                <w:b/>
                <w:color w:val="auto"/>
                <w:sz w:val="24"/>
              </w:rPr>
              <w:t>环境影响分析</w:t>
            </w:r>
          </w:p>
          <w:p>
            <w:pPr>
              <w:widowControl/>
              <w:spacing w:line="360" w:lineRule="auto"/>
              <w:ind w:firstLine="480" w:firstLineChars="200"/>
              <w:rPr>
                <w:rFonts w:hint="eastAsia"/>
                <w:color w:val="auto"/>
                <w:sz w:val="24"/>
              </w:rPr>
            </w:pPr>
            <w:r>
              <w:rPr>
                <w:rFonts w:hint="eastAsia"/>
                <w:color w:val="auto"/>
                <w:sz w:val="24"/>
              </w:rPr>
              <w:t>由于本项目穿越低等级公路采用开挖加盖板的方式，施工期将不可避免地影响现有公路的使用功能，特别是有居住密集村镇路段施工时，更是会造成现有公路运行能力的丧失，进而影响沿线居民的生活和通行。</w:t>
            </w:r>
          </w:p>
          <w:p>
            <w:pPr>
              <w:widowControl/>
              <w:spacing w:line="360" w:lineRule="auto"/>
              <w:ind w:firstLine="480" w:firstLineChars="200"/>
              <w:rPr>
                <w:rFonts w:hint="eastAsia"/>
                <w:color w:val="auto"/>
                <w:sz w:val="24"/>
              </w:rPr>
            </w:pPr>
            <w:r>
              <w:rPr>
                <w:rFonts w:hint="eastAsia"/>
                <w:color w:val="auto"/>
                <w:sz w:val="24"/>
              </w:rPr>
              <w:t>因此，在施工时施工单位应与当地交通、公安部门充分协商，进行专门的施工期交通指挥疏导，尽量减少项目施工对现有交通的干扰，缓解因公路分隔而阻碍居民的正常出行和生活问题。同时建设方应做到以下几个方面：</w:t>
            </w:r>
          </w:p>
          <w:p>
            <w:pPr>
              <w:tabs>
                <w:tab w:val="left" w:pos="0"/>
              </w:tabs>
              <w:spacing w:line="360" w:lineRule="auto"/>
              <w:ind w:firstLine="480" w:firstLineChars="200"/>
              <w:rPr>
                <w:rFonts w:hint="eastAsia" w:hAnsi="宋体"/>
                <w:color w:val="auto"/>
                <w:sz w:val="24"/>
              </w:rPr>
            </w:pPr>
            <w:r>
              <w:rPr>
                <w:rFonts w:hint="eastAsia" w:hAnsi="宋体"/>
                <w:color w:val="auto"/>
                <w:sz w:val="24"/>
              </w:rPr>
              <w:t>（1）在施工前，充分做好各种准备工作，对施工范围内所涉及的道路和各种地下管线，如供电、通信、给排水管线等进行详细调查，并提前协同有关部门确定拆迁、改移方案，做好各项应急准备工作，确保施工时切断各种管线时，不致影响沿线地区水、电、气、通讯等设施的正常供应和运行，保证社会生活的正常状态。</w:t>
            </w:r>
          </w:p>
          <w:p>
            <w:pPr>
              <w:tabs>
                <w:tab w:val="left" w:pos="0"/>
              </w:tabs>
              <w:spacing w:line="360" w:lineRule="auto"/>
              <w:ind w:firstLine="480" w:firstLineChars="200"/>
              <w:rPr>
                <w:rFonts w:hint="eastAsia" w:hAnsi="宋体"/>
                <w:color w:val="auto"/>
                <w:sz w:val="24"/>
              </w:rPr>
            </w:pPr>
            <w:r>
              <w:rPr>
                <w:rFonts w:hint="eastAsia" w:hAnsi="宋体"/>
                <w:color w:val="auto"/>
                <w:sz w:val="24"/>
              </w:rPr>
              <w:t>（2）在地面开挖等施工时，要注意对地下现有管线的保护。可采取的措施包括：采用人工开挖探坑（开挖时采用铁锨薄层轻挖）或管线探测仪探测，根据现场情况推断地下管线的走向、埋深，并与搜集的管线图纸对照复核，获取管线的准确信息；对于埋设浅、受重压有危险的管线，采用设置警戒线的方式禁止一切重型机械通过，同时提示施工人员注意保护地下管线安全；在机械开挖沟槽作业时，应有专人指挥，管道位置采用人工薄层轻挖，管道暴露后采用临时保护和加固措施，并随时检查是否存在安全隐患；对于开槽中发现的没有标明的地下管线，或管线走向、位置与图纸不符时，应及时会同有关单位制定专门的保护方案；施工机械行进路线应避让已查明的地下管线位置。</w:t>
            </w:r>
          </w:p>
          <w:p>
            <w:pPr>
              <w:tabs>
                <w:tab w:val="left" w:pos="0"/>
              </w:tabs>
              <w:spacing w:line="360" w:lineRule="auto"/>
              <w:ind w:firstLine="480" w:firstLineChars="200"/>
              <w:rPr>
                <w:rFonts w:hint="eastAsia" w:hAnsi="宋体"/>
                <w:color w:val="auto"/>
                <w:sz w:val="24"/>
              </w:rPr>
            </w:pPr>
            <w:r>
              <w:rPr>
                <w:rFonts w:hint="eastAsia" w:hAnsi="宋体"/>
                <w:color w:val="auto"/>
                <w:sz w:val="24"/>
              </w:rPr>
              <w:t>（3）为确保有序施工，并使对工程所在地区居民生活和城市交通的影响程度降至最低，一方面在确保施工质量的前提下尽量缩短工期；另一方面与交通管理部门协商，采取暂时性的交通车辆走行分流规划，对施工机械及运输车辆走行路线进行统一安排，减少施工道路上的交通流量，以防止交通堵塞。</w:t>
            </w:r>
          </w:p>
          <w:p>
            <w:pPr>
              <w:tabs>
                <w:tab w:val="left" w:pos="0"/>
              </w:tabs>
              <w:spacing w:line="360" w:lineRule="auto"/>
              <w:ind w:firstLine="480" w:firstLineChars="200"/>
              <w:rPr>
                <w:rFonts w:hint="eastAsia" w:hAnsi="宋体"/>
                <w:color w:val="auto"/>
                <w:sz w:val="24"/>
              </w:rPr>
            </w:pPr>
            <w:r>
              <w:rPr>
                <w:rFonts w:hint="eastAsia" w:hAnsi="宋体"/>
                <w:color w:val="auto"/>
                <w:sz w:val="24"/>
              </w:rPr>
              <w:t>（4）做到文明施工，并切实美化、亮化工地。应采用封闭式施工方法，在施工场所四侧设置硬质围挡，以减少施工期对城市景观的影响。</w:t>
            </w:r>
          </w:p>
          <w:p>
            <w:pPr>
              <w:tabs>
                <w:tab w:val="left" w:pos="0"/>
              </w:tabs>
              <w:spacing w:line="360" w:lineRule="auto"/>
              <w:ind w:firstLine="480" w:firstLineChars="200"/>
              <w:rPr>
                <w:rFonts w:hint="eastAsia" w:hAnsi="宋体"/>
                <w:color w:val="auto"/>
                <w:sz w:val="24"/>
              </w:rPr>
            </w:pPr>
            <w:r>
              <w:rPr>
                <w:rFonts w:hint="eastAsia" w:hAnsi="宋体"/>
                <w:color w:val="auto"/>
                <w:sz w:val="24"/>
              </w:rPr>
              <w:t>（5）施工期应严格按《中华人民共和国环境噪声污染防治法》和《建筑施工场界噪声排放标准》（GB12523-2011）的要求安排施工方式和施工时间，防止施工噪声对沿线环境造成严重影响。</w:t>
            </w:r>
          </w:p>
          <w:p>
            <w:pPr>
              <w:tabs>
                <w:tab w:val="left" w:pos="0"/>
              </w:tabs>
              <w:spacing w:line="360" w:lineRule="auto"/>
              <w:ind w:firstLine="480" w:firstLineChars="200"/>
              <w:rPr>
                <w:rFonts w:hint="eastAsia" w:hAnsi="宋体"/>
                <w:color w:val="auto"/>
                <w:sz w:val="24"/>
              </w:rPr>
            </w:pPr>
            <w:r>
              <w:rPr>
                <w:rFonts w:hint="eastAsia" w:hAnsi="宋体"/>
                <w:color w:val="auto"/>
                <w:sz w:val="24"/>
              </w:rPr>
              <w:t>（6）施工场地灯光在夜间应避免直射居民集中居住方向，尽量减少灯光对居民正常休息的影响。</w:t>
            </w:r>
          </w:p>
          <w:p>
            <w:pPr>
              <w:spacing w:line="360" w:lineRule="auto"/>
              <w:ind w:firstLine="480" w:firstLineChars="200"/>
              <w:rPr>
                <w:rFonts w:hint="eastAsia"/>
                <w:color w:val="auto"/>
                <w:sz w:val="24"/>
              </w:rPr>
            </w:pPr>
            <w:r>
              <w:rPr>
                <w:rFonts w:hint="eastAsia" w:hAnsi="宋体"/>
                <w:color w:val="auto"/>
                <w:sz w:val="24"/>
              </w:rPr>
              <w:t>（7）施工现场悬挂施工标牌，标明工程名称、工程负责人、施工许可证和投诉电话等内容，接受社会各界和居民监督；施工单位应配备专职环保人员负责环境管理。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8528" w:type="dxa"/>
            <w:vAlign w:val="top"/>
          </w:tcPr>
          <w:p>
            <w:pPr>
              <w:spacing w:line="360" w:lineRule="auto"/>
              <w:rPr>
                <w:color w:val="auto"/>
                <w:sz w:val="28"/>
              </w:rPr>
            </w:pPr>
            <w:r>
              <w:rPr>
                <w:color w:val="auto"/>
                <w:sz w:val="28"/>
              </w:rPr>
              <w:t>营运期环境影响分析：</w:t>
            </w:r>
          </w:p>
          <w:p>
            <w:pPr>
              <w:pStyle w:val="3"/>
              <w:spacing w:before="0" w:after="0" w:line="360" w:lineRule="auto"/>
              <w:rPr>
                <w:rFonts w:hint="eastAsia" w:ascii="Times New Roman" w:hAnsi="Times New Roman" w:eastAsia="宋体"/>
                <w:color w:val="auto"/>
                <w:sz w:val="28"/>
                <w:szCs w:val="28"/>
                <w:lang w:val="en-US" w:eastAsia="zh-CN"/>
              </w:rPr>
            </w:pPr>
            <w:r>
              <w:rPr>
                <w:rFonts w:hint="eastAsia" w:ascii="Times New Roman" w:hAnsi="Times New Roman" w:eastAsia="宋体"/>
                <w:color w:val="auto"/>
                <w:sz w:val="28"/>
                <w:szCs w:val="28"/>
                <w:lang w:val="en-US" w:eastAsia="zh-CN"/>
              </w:rPr>
              <w:t>1、净水厂</w:t>
            </w:r>
          </w:p>
          <w:p>
            <w:pPr>
              <w:pStyle w:val="3"/>
              <w:spacing w:before="0" w:after="0" w:line="360" w:lineRule="auto"/>
              <w:rPr>
                <w:rFonts w:hint="eastAsia" w:ascii="Times New Roman" w:hAnsi="Times New Roman" w:eastAsia="宋体"/>
                <w:color w:val="auto"/>
                <w:sz w:val="28"/>
                <w:szCs w:val="28"/>
              </w:rPr>
            </w:pPr>
            <w:bookmarkStart w:id="0" w:name="_Toc404192821"/>
            <w:r>
              <w:rPr>
                <w:rFonts w:hint="eastAsia" w:ascii="Times New Roman" w:hAnsi="Times New Roman" w:eastAsia="宋体"/>
                <w:color w:val="auto"/>
                <w:sz w:val="28"/>
                <w:szCs w:val="28"/>
                <w:lang w:val="en-US" w:eastAsia="zh-CN"/>
              </w:rPr>
              <w:t>1.1</w:t>
            </w:r>
            <w:r>
              <w:rPr>
                <w:rFonts w:hint="eastAsia" w:ascii="Times New Roman" w:hAnsi="Times New Roman" w:eastAsia="宋体"/>
                <w:color w:val="auto"/>
                <w:sz w:val="28"/>
                <w:szCs w:val="28"/>
              </w:rPr>
              <w:t>大气环境影响</w:t>
            </w:r>
            <w:bookmarkEnd w:id="0"/>
            <w:r>
              <w:rPr>
                <w:rFonts w:hint="eastAsia" w:ascii="Times New Roman" w:hAnsi="Times New Roman" w:eastAsia="宋体"/>
                <w:color w:val="auto"/>
                <w:sz w:val="28"/>
                <w:szCs w:val="28"/>
                <w:lang w:eastAsia="zh-CN"/>
              </w:rPr>
              <w:t>分析</w:t>
            </w:r>
          </w:p>
          <w:p>
            <w:pPr>
              <w:spacing w:line="360" w:lineRule="auto"/>
              <w:ind w:firstLine="480" w:firstLineChars="200"/>
              <w:rPr>
                <w:rFonts w:hint="eastAsia"/>
                <w:color w:val="auto"/>
                <w:sz w:val="24"/>
              </w:rPr>
            </w:pPr>
            <w:r>
              <w:rPr>
                <w:rFonts w:hint="eastAsia"/>
                <w:color w:val="auto"/>
                <w:sz w:val="24"/>
              </w:rPr>
              <w:t>本项目在运行过程中是使用能源为电能，在运行过程中不会产生废气污染。营运期正常生产时无工艺废气产生，生活废气主要是食堂油烟和备用发电机尾气。</w:t>
            </w:r>
          </w:p>
          <w:p>
            <w:pPr>
              <w:spacing w:line="360" w:lineRule="auto"/>
              <w:ind w:firstLine="480" w:firstLineChars="200"/>
              <w:rPr>
                <w:rFonts w:hint="eastAsia"/>
                <w:color w:val="auto"/>
                <w:sz w:val="24"/>
              </w:rPr>
            </w:pPr>
            <w:r>
              <w:rPr>
                <w:color w:val="auto"/>
                <w:sz w:val="24"/>
              </w:rPr>
              <w:t>（1）油烟废气</w:t>
            </w:r>
          </w:p>
          <w:p>
            <w:pPr>
              <w:spacing w:line="360" w:lineRule="auto"/>
              <w:ind w:firstLine="480" w:firstLineChars="200"/>
              <w:rPr>
                <w:rFonts w:hint="eastAsia"/>
                <w:color w:val="auto"/>
                <w:sz w:val="24"/>
              </w:rPr>
            </w:pPr>
            <w:r>
              <w:rPr>
                <w:color w:val="auto"/>
                <w:sz w:val="24"/>
              </w:rPr>
              <w:t>本</w:t>
            </w:r>
            <w:r>
              <w:rPr>
                <w:rFonts w:hint="eastAsia"/>
                <w:color w:val="auto"/>
                <w:sz w:val="24"/>
              </w:rPr>
              <w:t>工程</w:t>
            </w:r>
            <w:r>
              <w:rPr>
                <w:color w:val="auto"/>
                <w:sz w:val="24"/>
              </w:rPr>
              <w:t>食堂规模不大，在食品烹饪加工过程中产生的油烟</w:t>
            </w:r>
            <w:r>
              <w:rPr>
                <w:rFonts w:hint="eastAsia"/>
                <w:color w:val="auto"/>
                <w:sz w:val="24"/>
              </w:rPr>
              <w:t>浓度小于</w:t>
            </w:r>
            <w:r>
              <w:rPr>
                <w:color w:val="auto"/>
                <w:sz w:val="24"/>
              </w:rPr>
              <w:t>2mg/m</w:t>
            </w:r>
            <w:r>
              <w:rPr>
                <w:color w:val="auto"/>
                <w:sz w:val="24"/>
                <w:vertAlign w:val="superscript"/>
              </w:rPr>
              <w:t>3</w:t>
            </w:r>
            <w:r>
              <w:rPr>
                <w:color w:val="auto"/>
                <w:sz w:val="24"/>
              </w:rPr>
              <w:t>，</w:t>
            </w:r>
            <w:r>
              <w:rPr>
                <w:rFonts w:hint="eastAsia"/>
                <w:color w:val="auto"/>
                <w:sz w:val="24"/>
              </w:rPr>
              <w:t>可</w:t>
            </w:r>
            <w:r>
              <w:rPr>
                <w:color w:val="auto"/>
                <w:sz w:val="24"/>
              </w:rPr>
              <w:t>达到《饮食业油烟排放标准》（GB 18483-2001）的要求。经过排风扇排入周边大气中，对周边环境影响较小</w:t>
            </w:r>
            <w:r>
              <w:rPr>
                <w:rFonts w:hint="eastAsia"/>
                <w:color w:val="auto"/>
                <w:sz w:val="24"/>
              </w:rPr>
              <w:t>。</w:t>
            </w:r>
          </w:p>
          <w:p>
            <w:pPr>
              <w:spacing w:line="360" w:lineRule="auto"/>
              <w:ind w:firstLine="480" w:firstLineChars="200"/>
              <w:rPr>
                <w:color w:val="auto"/>
                <w:sz w:val="24"/>
              </w:rPr>
            </w:pPr>
            <w:r>
              <w:rPr>
                <w:color w:val="auto"/>
                <w:sz w:val="24"/>
              </w:rPr>
              <w:t>（</w:t>
            </w:r>
            <w:r>
              <w:rPr>
                <w:rFonts w:hint="eastAsia"/>
                <w:color w:val="auto"/>
                <w:sz w:val="24"/>
              </w:rPr>
              <w:t>2</w:t>
            </w:r>
            <w:r>
              <w:rPr>
                <w:color w:val="auto"/>
                <w:sz w:val="24"/>
              </w:rPr>
              <w:t>）发电机废气</w:t>
            </w:r>
          </w:p>
          <w:p>
            <w:pPr>
              <w:spacing w:line="360" w:lineRule="auto"/>
              <w:ind w:firstLine="482"/>
              <w:rPr>
                <w:rFonts w:hint="eastAsia"/>
                <w:color w:val="auto"/>
                <w:kern w:val="0"/>
                <w:sz w:val="24"/>
              </w:rPr>
            </w:pPr>
            <w:r>
              <w:rPr>
                <w:color w:val="auto"/>
                <w:sz w:val="24"/>
              </w:rPr>
              <w:t>发电机尾气由内置专用烟道引至发电机房所在构筑物楼顶排放</w:t>
            </w:r>
            <w:r>
              <w:rPr>
                <w:rFonts w:hint="eastAsia"/>
                <w:color w:val="auto"/>
                <w:sz w:val="24"/>
              </w:rPr>
              <w:t>,能够满足</w:t>
            </w:r>
            <w:r>
              <w:rPr>
                <w:color w:val="auto"/>
                <w:sz w:val="24"/>
              </w:rPr>
              <w:t>《</w:t>
            </w:r>
            <w:r>
              <w:rPr>
                <w:rFonts w:ascii="Tahoma" w:hAnsi="Tahoma" w:cs="Tahoma"/>
                <w:color w:val="auto"/>
                <w:sz w:val="24"/>
              </w:rPr>
              <w:t>非道路移动机械用柴油机排气污染物排放限值及测量方法(中国第三、四阶段）</w:t>
            </w:r>
            <w:r>
              <w:rPr>
                <w:color w:val="auto"/>
                <w:sz w:val="24"/>
              </w:rPr>
              <w:t>》(GB 20891—2014)中</w:t>
            </w:r>
            <w:r>
              <w:rPr>
                <w:rFonts w:hint="eastAsia"/>
                <w:color w:val="auto"/>
                <w:sz w:val="24"/>
              </w:rPr>
              <w:t>第三阶段标准要求，</w:t>
            </w:r>
            <w:r>
              <w:rPr>
                <w:color w:val="auto"/>
                <w:kern w:val="0"/>
                <w:sz w:val="24"/>
              </w:rPr>
              <w:t>对周围环境空气影响较小。</w:t>
            </w:r>
          </w:p>
          <w:p>
            <w:pPr>
              <w:spacing w:line="360" w:lineRule="auto"/>
              <w:ind w:firstLine="482"/>
              <w:rPr>
                <w:rFonts w:hint="eastAsia"/>
                <w:color w:val="auto"/>
                <w:sz w:val="24"/>
              </w:rPr>
            </w:pPr>
            <w:r>
              <w:rPr>
                <w:rFonts w:hint="eastAsia"/>
                <w:color w:val="auto"/>
                <w:sz w:val="24"/>
              </w:rPr>
              <w:t>（3）无组织废气周围环境的影响</w:t>
            </w:r>
          </w:p>
          <w:p>
            <w:pPr>
              <w:spacing w:line="360" w:lineRule="auto"/>
              <w:ind w:firstLine="480" w:firstLineChars="200"/>
              <w:rPr>
                <w:color w:val="auto"/>
                <w:sz w:val="24"/>
              </w:rPr>
            </w:pPr>
            <w:r>
              <w:rPr>
                <w:color w:val="auto"/>
                <w:sz w:val="24"/>
              </w:rPr>
              <w:t>项目</w:t>
            </w:r>
            <w:r>
              <w:rPr>
                <w:rFonts w:hint="eastAsia"/>
                <w:color w:val="auto"/>
                <w:sz w:val="24"/>
              </w:rPr>
              <w:t>无组织废气</w:t>
            </w:r>
            <w:r>
              <w:rPr>
                <w:color w:val="auto"/>
                <w:sz w:val="24"/>
              </w:rPr>
              <w:t>主要来源于</w:t>
            </w:r>
            <w:r>
              <w:rPr>
                <w:rFonts w:hint="eastAsia"/>
                <w:color w:val="auto"/>
                <w:sz w:val="24"/>
              </w:rPr>
              <w:t>生产过程中盐酸的使用、存储等环节所产生的无组织排放盐酸雾。</w:t>
            </w:r>
            <w:r>
              <w:rPr>
                <w:color w:val="auto"/>
                <w:sz w:val="24"/>
              </w:rPr>
              <w:t>项目加药设备在电脑控制下自动加药，</w:t>
            </w:r>
            <w:r>
              <w:rPr>
                <w:rFonts w:hint="eastAsia"/>
                <w:color w:val="auto"/>
                <w:sz w:val="24"/>
              </w:rPr>
              <w:t>整个过程处于密闭状态，废气排放较少，</w:t>
            </w:r>
            <w:r>
              <w:rPr>
                <w:color w:val="auto"/>
                <w:sz w:val="24"/>
              </w:rPr>
              <w:t>环评建议加药间安装排风扇，</w:t>
            </w:r>
            <w:r>
              <w:rPr>
                <w:rFonts w:hint="eastAsia"/>
                <w:color w:val="auto"/>
                <w:sz w:val="24"/>
              </w:rPr>
              <w:t>通过</w:t>
            </w:r>
            <w:r>
              <w:rPr>
                <w:color w:val="auto"/>
                <w:sz w:val="24"/>
              </w:rPr>
              <w:t>加强车间通风，预计</w:t>
            </w:r>
            <w:r>
              <w:rPr>
                <w:rFonts w:hint="eastAsia"/>
                <w:color w:val="auto"/>
                <w:sz w:val="24"/>
              </w:rPr>
              <w:t>HCl废气</w:t>
            </w:r>
            <w:r>
              <w:rPr>
                <w:color w:val="auto"/>
                <w:sz w:val="24"/>
              </w:rPr>
              <w:t>放浓度</w:t>
            </w:r>
            <w:r>
              <w:rPr>
                <w:rFonts w:hint="eastAsia"/>
                <w:color w:val="auto"/>
                <w:sz w:val="24"/>
              </w:rPr>
              <w:t>均</w:t>
            </w:r>
            <w:r>
              <w:rPr>
                <w:color w:val="auto"/>
                <w:sz w:val="24"/>
              </w:rPr>
              <w:t>可达到《大气污染物综合排放标准》（GB16297-96）中无组织标准，对周围环境影响</w:t>
            </w:r>
            <w:r>
              <w:rPr>
                <w:rFonts w:hint="eastAsia"/>
                <w:color w:val="auto"/>
                <w:sz w:val="24"/>
              </w:rPr>
              <w:t>较小</w:t>
            </w:r>
            <w:r>
              <w:rPr>
                <w:color w:val="auto"/>
                <w:sz w:val="24"/>
              </w:rPr>
              <w:t>。</w:t>
            </w:r>
          </w:p>
          <w:p>
            <w:pPr>
              <w:pStyle w:val="3"/>
              <w:spacing w:before="0" w:after="0" w:line="360" w:lineRule="auto"/>
              <w:rPr>
                <w:rFonts w:hint="eastAsia" w:ascii="Times New Roman" w:hAnsi="Times New Roman" w:eastAsia="宋体"/>
                <w:color w:val="auto"/>
                <w:sz w:val="28"/>
                <w:szCs w:val="28"/>
              </w:rPr>
            </w:pPr>
            <w:bookmarkStart w:id="1" w:name="_Toc301529805"/>
            <w:bookmarkStart w:id="2" w:name="_Toc328731420"/>
            <w:bookmarkStart w:id="3" w:name="_Toc357772232"/>
            <w:bookmarkStart w:id="4" w:name="_Toc404192822"/>
            <w:r>
              <w:rPr>
                <w:rFonts w:hint="eastAsia" w:ascii="Times New Roman" w:hAnsi="Times New Roman" w:eastAsia="宋体"/>
                <w:color w:val="auto"/>
                <w:sz w:val="28"/>
                <w:szCs w:val="28"/>
                <w:lang w:val="en-US" w:eastAsia="zh-CN"/>
              </w:rPr>
              <w:t>1.2</w:t>
            </w:r>
            <w:r>
              <w:rPr>
                <w:rFonts w:ascii="Times New Roman" w:hAnsi="Times New Roman" w:eastAsia="宋体"/>
                <w:color w:val="auto"/>
                <w:sz w:val="28"/>
                <w:szCs w:val="28"/>
              </w:rPr>
              <w:t xml:space="preserve"> </w:t>
            </w:r>
            <w:r>
              <w:rPr>
                <w:rFonts w:hint="eastAsia" w:ascii="Times New Roman" w:hAnsi="Times New Roman" w:eastAsia="宋体"/>
                <w:color w:val="auto"/>
                <w:sz w:val="28"/>
                <w:szCs w:val="28"/>
              </w:rPr>
              <w:t>地表</w:t>
            </w:r>
            <w:r>
              <w:rPr>
                <w:rFonts w:ascii="Times New Roman" w:hAnsi="Times New Roman" w:eastAsia="宋体"/>
                <w:color w:val="auto"/>
                <w:sz w:val="28"/>
                <w:szCs w:val="28"/>
              </w:rPr>
              <w:t>水环境影响分析</w:t>
            </w:r>
            <w:bookmarkEnd w:id="1"/>
            <w:bookmarkEnd w:id="2"/>
            <w:bookmarkEnd w:id="3"/>
            <w:bookmarkEnd w:id="4"/>
          </w:p>
          <w:p>
            <w:pPr>
              <w:spacing w:line="360" w:lineRule="auto"/>
              <w:ind w:firstLine="480" w:firstLineChars="200"/>
              <w:rPr>
                <w:rFonts w:hint="eastAsia"/>
                <w:color w:val="auto"/>
                <w:sz w:val="24"/>
              </w:rPr>
            </w:pPr>
            <w:r>
              <w:rPr>
                <w:rFonts w:hint="eastAsia"/>
                <w:color w:val="auto"/>
                <w:sz w:val="24"/>
              </w:rPr>
              <w:t>项目净水厂营运期外排废水主要为生产废水和生活污水。</w:t>
            </w:r>
          </w:p>
          <w:p>
            <w:pPr>
              <w:spacing w:line="360" w:lineRule="auto"/>
              <w:ind w:firstLine="480" w:firstLineChars="200"/>
              <w:rPr>
                <w:rFonts w:hint="eastAsia"/>
                <w:color w:val="auto"/>
                <w:sz w:val="24"/>
              </w:rPr>
            </w:pPr>
            <w:r>
              <w:rPr>
                <w:rFonts w:hint="eastAsia"/>
                <w:color w:val="auto"/>
                <w:sz w:val="24"/>
              </w:rPr>
              <w:t>生活污水中的食堂含油污水经隔油处理再与其他生活污水经化粪池处理后用于农肥，对周边水环境影响较小。</w:t>
            </w:r>
          </w:p>
          <w:p>
            <w:pPr>
              <w:spacing w:line="360" w:lineRule="auto"/>
              <w:ind w:firstLine="540" w:firstLineChars="225"/>
              <w:rPr>
                <w:rFonts w:hint="eastAsia"/>
                <w:color w:val="auto"/>
                <w:sz w:val="24"/>
              </w:rPr>
            </w:pPr>
            <w:r>
              <w:rPr>
                <w:rFonts w:hint="eastAsia"/>
                <w:color w:val="auto"/>
                <w:sz w:val="24"/>
              </w:rPr>
              <w:t>生产废水：项目生产排水主要来自反冲洗排水和沉淀池排泥水，该部分水中主要污染物浓度SS，如不处理直接排入黄金河，对其水环境会产生不利影响。</w:t>
            </w:r>
            <w:r>
              <w:rPr>
                <w:rFonts w:hint="eastAsia"/>
                <w:color w:val="auto"/>
                <w:sz w:val="24"/>
                <w:lang w:eastAsia="zh-CN"/>
              </w:rPr>
              <w:t>正常情况下</w:t>
            </w:r>
            <w:r>
              <w:rPr>
                <w:rFonts w:hint="eastAsia"/>
                <w:b/>
                <w:color w:val="auto"/>
                <w:sz w:val="24"/>
                <w:lang w:eastAsia="zh-CN"/>
              </w:rPr>
              <w:t>，</w:t>
            </w:r>
            <w:r>
              <w:rPr>
                <w:rFonts w:hint="eastAsia"/>
                <w:color w:val="auto"/>
                <w:sz w:val="24"/>
                <w:lang w:eastAsia="zh-CN"/>
              </w:rPr>
              <w:t>生产废水</w:t>
            </w:r>
            <w:r>
              <w:rPr>
                <w:rFonts w:hint="eastAsia"/>
                <w:color w:val="auto"/>
                <w:sz w:val="24"/>
              </w:rPr>
              <w:t>能</w:t>
            </w:r>
            <w:r>
              <w:rPr>
                <w:rFonts w:hAnsi="宋体"/>
                <w:color w:val="auto"/>
                <w:sz w:val="24"/>
              </w:rPr>
              <w:t>达到《地表水环境质量标准》（</w:t>
            </w:r>
            <w:r>
              <w:rPr>
                <w:color w:val="auto"/>
                <w:sz w:val="24"/>
              </w:rPr>
              <w:t>GB3838-2002</w:t>
            </w:r>
            <w:r>
              <w:rPr>
                <w:rFonts w:hAnsi="宋体"/>
                <w:color w:val="auto"/>
                <w:sz w:val="24"/>
              </w:rPr>
              <w:t>）中的</w:t>
            </w:r>
            <w:r>
              <w:rPr>
                <w:rFonts w:ascii="宋体" w:hAnsi="宋体"/>
                <w:color w:val="auto"/>
                <w:sz w:val="24"/>
              </w:rPr>
              <w:t>Ⅲ</w:t>
            </w:r>
            <w:r>
              <w:rPr>
                <w:rFonts w:hAnsi="宋体"/>
                <w:color w:val="auto"/>
                <w:sz w:val="24"/>
              </w:rPr>
              <w:t>类标准。因此，在</w:t>
            </w:r>
            <w:r>
              <w:rPr>
                <w:rFonts w:hint="eastAsia" w:hAnsi="宋体"/>
                <w:color w:val="auto"/>
                <w:sz w:val="24"/>
              </w:rPr>
              <w:t>废水</w:t>
            </w:r>
            <w:r>
              <w:rPr>
                <w:rFonts w:hAnsi="宋体"/>
                <w:color w:val="auto"/>
                <w:sz w:val="24"/>
              </w:rPr>
              <w:t>达标排放情况下，对水环境的影响较小。</w:t>
            </w:r>
            <w:r>
              <w:rPr>
                <w:rFonts w:hint="eastAsia"/>
                <w:color w:val="auto"/>
                <w:sz w:val="24"/>
              </w:rPr>
              <w:t xml:space="preserve"> </w:t>
            </w:r>
          </w:p>
          <w:p>
            <w:pPr>
              <w:pStyle w:val="3"/>
              <w:spacing w:before="0" w:after="0" w:line="360" w:lineRule="auto"/>
              <w:rPr>
                <w:rFonts w:hint="eastAsia" w:ascii="Times New Roman" w:hAnsi="Times New Roman" w:eastAsia="宋体"/>
                <w:color w:val="auto"/>
                <w:sz w:val="28"/>
                <w:szCs w:val="28"/>
              </w:rPr>
            </w:pPr>
            <w:bookmarkStart w:id="5" w:name="_Toc404192824"/>
            <w:bookmarkStart w:id="6" w:name="_Toc301529806"/>
            <w:bookmarkStart w:id="7" w:name="_Toc357772234"/>
            <w:bookmarkStart w:id="8" w:name="_Toc328731421"/>
            <w:r>
              <w:rPr>
                <w:rFonts w:hint="eastAsia" w:ascii="Times New Roman" w:hAnsi="Times New Roman" w:eastAsia="宋体"/>
                <w:color w:val="auto"/>
                <w:sz w:val="28"/>
                <w:szCs w:val="28"/>
                <w:lang w:val="en-US" w:eastAsia="zh-CN"/>
              </w:rPr>
              <w:t>1.3</w:t>
            </w:r>
            <w:r>
              <w:rPr>
                <w:rFonts w:ascii="Times New Roman" w:hAnsi="Times New Roman" w:eastAsia="宋体"/>
                <w:color w:val="auto"/>
                <w:sz w:val="28"/>
                <w:szCs w:val="28"/>
              </w:rPr>
              <w:t>声环境影响预测与评价</w:t>
            </w:r>
            <w:bookmarkEnd w:id="5"/>
            <w:bookmarkEnd w:id="6"/>
            <w:bookmarkEnd w:id="7"/>
            <w:bookmarkEnd w:id="8"/>
          </w:p>
          <w:p>
            <w:pPr>
              <w:spacing w:line="360" w:lineRule="auto"/>
              <w:ind w:firstLine="480" w:firstLineChars="200"/>
              <w:rPr>
                <w:color w:val="auto"/>
                <w:sz w:val="24"/>
              </w:rPr>
            </w:pPr>
            <w:r>
              <w:rPr>
                <w:color w:val="auto"/>
                <w:sz w:val="24"/>
              </w:rPr>
              <w:t>（1）噪声源强</w:t>
            </w:r>
          </w:p>
          <w:p>
            <w:pPr>
              <w:spacing w:line="360" w:lineRule="auto"/>
              <w:ind w:firstLine="480" w:firstLineChars="200"/>
              <w:rPr>
                <w:color w:val="auto"/>
                <w:sz w:val="24"/>
              </w:rPr>
            </w:pPr>
            <w:r>
              <w:rPr>
                <w:rFonts w:hint="eastAsia"/>
                <w:color w:val="auto"/>
                <w:sz w:val="24"/>
              </w:rPr>
              <w:t>本项目营运期产生的噪声主要为设备噪声，产生噪声的设备主要有轴流风机、压滤机及各类水泵，声源强度在75～95dB(A)之间</w:t>
            </w:r>
            <w:r>
              <w:rPr>
                <w:rFonts w:hint="eastAsia"/>
                <w:color w:val="auto"/>
                <w:sz w:val="24"/>
                <w:lang w:eastAsia="zh-CN"/>
              </w:rPr>
              <w:t>。</w:t>
            </w:r>
            <w:r>
              <w:rPr>
                <w:rFonts w:hint="eastAsia"/>
                <w:color w:val="auto"/>
                <w:sz w:val="24"/>
              </w:rPr>
              <w:t>根据项目净水厂总平面布置可知，主要设备噪声源距离厂界东、南、西、北的距离分别为15m、35m 、18m、15m。</w:t>
            </w:r>
            <w:r>
              <w:rPr>
                <w:color w:val="auto"/>
                <w:sz w:val="24"/>
              </w:rPr>
              <w:t>利用上述模式可以预测分析该项目主要声源同时排放噪声的最为严重影响状况下，这些声源对边界声环境质量叠加影响，现状监测结果取最大值，输入《环境影响评价技术导则  声环境》（HJ2.4-2009）计算软件，各厂界噪声的预测结果见表</w:t>
            </w:r>
            <w:r>
              <w:rPr>
                <w:rFonts w:hint="eastAsia"/>
                <w:color w:val="auto"/>
                <w:sz w:val="24"/>
                <w:lang w:val="en-US" w:eastAsia="zh-CN"/>
              </w:rPr>
              <w:t>38</w:t>
            </w:r>
            <w:r>
              <w:rPr>
                <w:color w:val="auto"/>
                <w:sz w:val="24"/>
              </w:rPr>
              <w:t>。</w:t>
            </w:r>
          </w:p>
          <w:p>
            <w:pPr>
              <w:ind w:firstLine="482" w:firstLineChars="200"/>
              <w:jc w:val="center"/>
              <w:rPr>
                <w:b/>
                <w:color w:val="auto"/>
                <w:sz w:val="24"/>
              </w:rPr>
            </w:pPr>
            <w:r>
              <w:rPr>
                <w:b/>
                <w:color w:val="auto"/>
                <w:sz w:val="24"/>
              </w:rPr>
              <w:t>表</w:t>
            </w:r>
            <w:r>
              <w:rPr>
                <w:rFonts w:hint="eastAsia"/>
                <w:b/>
                <w:color w:val="auto"/>
                <w:sz w:val="24"/>
                <w:lang w:val="en-US" w:eastAsia="zh-CN"/>
              </w:rPr>
              <w:t>38</w:t>
            </w:r>
            <w:r>
              <w:rPr>
                <w:b/>
                <w:color w:val="auto"/>
                <w:sz w:val="24"/>
              </w:rPr>
              <w:t xml:space="preserve">  拟建项目厂界噪声预测结果</w:t>
            </w:r>
          </w:p>
          <w:tbl>
            <w:tblPr>
              <w:tblStyle w:val="14"/>
              <w:tblW w:w="834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1"/>
              <w:gridCol w:w="1134"/>
              <w:gridCol w:w="1276"/>
              <w:gridCol w:w="2128"/>
              <w:gridCol w:w="1461"/>
              <w:gridCol w:w="11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6" w:hRule="atLeast"/>
                <w:tblHeader/>
                <w:jc w:val="center"/>
              </w:trPr>
              <w:tc>
                <w:tcPr>
                  <w:tcW w:w="1151" w:type="dxa"/>
                  <w:vAlign w:val="center"/>
                </w:tcPr>
                <w:p>
                  <w:pPr>
                    <w:adjustRightInd w:val="0"/>
                    <w:snapToGrid w:val="0"/>
                    <w:spacing w:line="240" w:lineRule="atLeast"/>
                    <w:jc w:val="center"/>
                    <w:rPr>
                      <w:color w:val="auto"/>
                      <w:sz w:val="21"/>
                      <w:szCs w:val="21"/>
                    </w:rPr>
                  </w:pPr>
                  <w:r>
                    <w:rPr>
                      <w:color w:val="auto"/>
                      <w:sz w:val="21"/>
                      <w:szCs w:val="21"/>
                    </w:rPr>
                    <w:t>厂界方位</w:t>
                  </w:r>
                </w:p>
              </w:tc>
              <w:tc>
                <w:tcPr>
                  <w:tcW w:w="2410" w:type="dxa"/>
                  <w:gridSpan w:val="2"/>
                  <w:vAlign w:val="center"/>
                </w:tcPr>
                <w:p>
                  <w:pPr>
                    <w:adjustRightInd w:val="0"/>
                    <w:snapToGrid w:val="0"/>
                    <w:spacing w:line="240" w:lineRule="atLeast"/>
                    <w:jc w:val="center"/>
                    <w:rPr>
                      <w:color w:val="auto"/>
                      <w:sz w:val="21"/>
                      <w:szCs w:val="21"/>
                    </w:rPr>
                  </w:pPr>
                  <w:r>
                    <w:rPr>
                      <w:color w:val="auto"/>
                      <w:sz w:val="21"/>
                      <w:szCs w:val="21"/>
                    </w:rPr>
                    <w:t>现状监测结果</w:t>
                  </w:r>
                </w:p>
                <w:p>
                  <w:pPr>
                    <w:adjustRightInd w:val="0"/>
                    <w:snapToGrid w:val="0"/>
                    <w:spacing w:line="240" w:lineRule="atLeast"/>
                    <w:jc w:val="center"/>
                    <w:rPr>
                      <w:color w:val="auto"/>
                      <w:sz w:val="21"/>
                      <w:szCs w:val="21"/>
                    </w:rPr>
                  </w:pPr>
                  <w:r>
                    <w:rPr>
                      <w:color w:val="auto"/>
                      <w:sz w:val="21"/>
                      <w:szCs w:val="21"/>
                      <w:lang w:val="en-GB"/>
                    </w:rPr>
                    <w:t>（</w:t>
                  </w:r>
                  <w:r>
                    <w:rPr>
                      <w:color w:val="auto"/>
                      <w:sz w:val="21"/>
                      <w:szCs w:val="21"/>
                    </w:rPr>
                    <w:t>dB(A)</w:t>
                  </w:r>
                  <w:r>
                    <w:rPr>
                      <w:color w:val="auto"/>
                      <w:sz w:val="21"/>
                      <w:szCs w:val="21"/>
                      <w:lang w:val="en-GB"/>
                    </w:rPr>
                    <w:t>）</w:t>
                  </w:r>
                </w:p>
              </w:tc>
              <w:tc>
                <w:tcPr>
                  <w:tcW w:w="2128" w:type="dxa"/>
                  <w:vAlign w:val="center"/>
                </w:tcPr>
                <w:p>
                  <w:pPr>
                    <w:adjustRightInd w:val="0"/>
                    <w:snapToGrid w:val="0"/>
                    <w:spacing w:line="240" w:lineRule="atLeast"/>
                    <w:jc w:val="center"/>
                    <w:rPr>
                      <w:color w:val="auto"/>
                      <w:sz w:val="21"/>
                      <w:szCs w:val="21"/>
                    </w:rPr>
                  </w:pPr>
                  <w:r>
                    <w:rPr>
                      <w:color w:val="auto"/>
                      <w:sz w:val="21"/>
                      <w:szCs w:val="21"/>
                    </w:rPr>
                    <w:t>预测值</w:t>
                  </w:r>
                  <w:r>
                    <w:rPr>
                      <w:color w:val="auto"/>
                      <w:sz w:val="21"/>
                      <w:szCs w:val="21"/>
                      <w:lang w:val="en-GB"/>
                    </w:rPr>
                    <w:t>（</w:t>
                  </w:r>
                  <w:r>
                    <w:rPr>
                      <w:color w:val="auto"/>
                      <w:sz w:val="21"/>
                      <w:szCs w:val="21"/>
                    </w:rPr>
                    <w:t>dB(A)</w:t>
                  </w:r>
                  <w:r>
                    <w:rPr>
                      <w:color w:val="auto"/>
                      <w:sz w:val="21"/>
                      <w:szCs w:val="21"/>
                      <w:lang w:val="en-GB"/>
                    </w:rPr>
                    <w:t>）</w:t>
                  </w:r>
                </w:p>
              </w:tc>
              <w:tc>
                <w:tcPr>
                  <w:tcW w:w="1461" w:type="dxa"/>
                  <w:vAlign w:val="center"/>
                </w:tcPr>
                <w:p>
                  <w:pPr>
                    <w:adjustRightInd w:val="0"/>
                    <w:snapToGrid w:val="0"/>
                    <w:spacing w:line="240" w:lineRule="atLeast"/>
                    <w:jc w:val="center"/>
                    <w:rPr>
                      <w:color w:val="auto"/>
                      <w:sz w:val="21"/>
                      <w:szCs w:val="21"/>
                    </w:rPr>
                  </w:pPr>
                  <w:r>
                    <w:rPr>
                      <w:color w:val="auto"/>
                      <w:sz w:val="21"/>
                      <w:szCs w:val="21"/>
                    </w:rPr>
                    <w:t>标准值</w:t>
                  </w:r>
                </w:p>
                <w:p>
                  <w:pPr>
                    <w:adjustRightInd w:val="0"/>
                    <w:snapToGrid w:val="0"/>
                    <w:spacing w:line="240" w:lineRule="atLeast"/>
                    <w:jc w:val="center"/>
                    <w:rPr>
                      <w:color w:val="auto"/>
                      <w:sz w:val="21"/>
                      <w:szCs w:val="21"/>
                    </w:rPr>
                  </w:pPr>
                  <w:r>
                    <w:rPr>
                      <w:color w:val="auto"/>
                      <w:sz w:val="21"/>
                      <w:szCs w:val="21"/>
                    </w:rPr>
                    <w:t>〔dB</w:t>
                  </w:r>
                  <w:r>
                    <w:rPr>
                      <w:color w:val="auto"/>
                      <w:sz w:val="21"/>
                      <w:szCs w:val="21"/>
                      <w:lang w:val="en-GB"/>
                    </w:rPr>
                    <w:t>（</w:t>
                  </w:r>
                  <w:r>
                    <w:rPr>
                      <w:color w:val="auto"/>
                      <w:sz w:val="21"/>
                      <w:szCs w:val="21"/>
                    </w:rPr>
                    <w:t>A</w:t>
                  </w:r>
                  <w:r>
                    <w:rPr>
                      <w:color w:val="auto"/>
                      <w:sz w:val="21"/>
                      <w:szCs w:val="21"/>
                      <w:lang w:val="en-GB"/>
                    </w:rPr>
                    <w:t>）</w:t>
                  </w:r>
                  <w:r>
                    <w:rPr>
                      <w:color w:val="auto"/>
                      <w:sz w:val="21"/>
                      <w:szCs w:val="21"/>
                    </w:rPr>
                    <w:t>〕</w:t>
                  </w:r>
                </w:p>
              </w:tc>
              <w:tc>
                <w:tcPr>
                  <w:tcW w:w="1196" w:type="dxa"/>
                  <w:vAlign w:val="center"/>
                </w:tcPr>
                <w:p>
                  <w:pPr>
                    <w:adjustRightInd w:val="0"/>
                    <w:snapToGrid w:val="0"/>
                    <w:spacing w:line="240" w:lineRule="atLeast"/>
                    <w:jc w:val="center"/>
                    <w:rPr>
                      <w:color w:val="auto"/>
                      <w:sz w:val="21"/>
                      <w:szCs w:val="21"/>
                    </w:rPr>
                  </w:pPr>
                  <w:r>
                    <w:rPr>
                      <w:color w:val="auto"/>
                      <w:sz w:val="21"/>
                      <w:szCs w:val="21"/>
                    </w:rPr>
                    <w:t>达标情况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restart"/>
                  <w:vAlign w:val="center"/>
                </w:tcPr>
                <w:p>
                  <w:pPr>
                    <w:adjustRightInd w:val="0"/>
                    <w:snapToGrid w:val="0"/>
                    <w:spacing w:line="240" w:lineRule="atLeast"/>
                    <w:jc w:val="center"/>
                    <w:rPr>
                      <w:color w:val="auto"/>
                      <w:sz w:val="21"/>
                      <w:szCs w:val="21"/>
                    </w:rPr>
                  </w:pPr>
                  <w:r>
                    <w:rPr>
                      <w:color w:val="auto"/>
                      <w:sz w:val="21"/>
                      <w:szCs w:val="21"/>
                    </w:rPr>
                    <w:t>东厂界</w:t>
                  </w:r>
                </w:p>
              </w:tc>
              <w:tc>
                <w:tcPr>
                  <w:tcW w:w="1134" w:type="dxa"/>
                  <w:vAlign w:val="center"/>
                </w:tcPr>
                <w:p>
                  <w:pPr>
                    <w:adjustRightInd w:val="0"/>
                    <w:snapToGrid w:val="0"/>
                    <w:spacing w:line="240" w:lineRule="atLeast"/>
                    <w:jc w:val="center"/>
                    <w:rPr>
                      <w:color w:val="auto"/>
                      <w:sz w:val="21"/>
                      <w:szCs w:val="21"/>
                    </w:rPr>
                  </w:pPr>
                  <w:r>
                    <w:rPr>
                      <w:color w:val="auto"/>
                      <w:sz w:val="21"/>
                      <w:szCs w:val="21"/>
                    </w:rPr>
                    <w:t>昼间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51.0</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51.5</w:t>
                  </w:r>
                </w:p>
              </w:tc>
              <w:tc>
                <w:tcPr>
                  <w:tcW w:w="1461" w:type="dxa"/>
                  <w:vMerge w:val="restart"/>
                  <w:vAlign w:val="center"/>
                </w:tcPr>
                <w:p>
                  <w:pPr>
                    <w:adjustRightInd w:val="0"/>
                    <w:snapToGrid w:val="0"/>
                    <w:spacing w:line="240" w:lineRule="atLeast"/>
                    <w:jc w:val="center"/>
                    <w:rPr>
                      <w:color w:val="auto"/>
                      <w:sz w:val="21"/>
                      <w:szCs w:val="21"/>
                    </w:rPr>
                  </w:pPr>
                  <w:r>
                    <w:rPr>
                      <w:color w:val="auto"/>
                      <w:sz w:val="21"/>
                      <w:szCs w:val="21"/>
                    </w:rPr>
                    <w:t>昼间：</w:t>
                  </w:r>
                  <w:r>
                    <w:rPr>
                      <w:rFonts w:hint="eastAsia"/>
                      <w:color w:val="auto"/>
                      <w:sz w:val="21"/>
                      <w:szCs w:val="21"/>
                    </w:rPr>
                    <w:t>55</w:t>
                  </w:r>
                </w:p>
                <w:p>
                  <w:pPr>
                    <w:adjustRightInd w:val="0"/>
                    <w:snapToGrid w:val="0"/>
                    <w:spacing w:line="240" w:lineRule="atLeast"/>
                    <w:jc w:val="center"/>
                    <w:rPr>
                      <w:color w:val="auto"/>
                      <w:sz w:val="21"/>
                      <w:szCs w:val="21"/>
                    </w:rPr>
                  </w:pPr>
                  <w:r>
                    <w:rPr>
                      <w:color w:val="auto"/>
                      <w:sz w:val="21"/>
                      <w:szCs w:val="21"/>
                    </w:rPr>
                    <w:t>夜间：</w:t>
                  </w:r>
                  <w:r>
                    <w:rPr>
                      <w:rFonts w:hint="eastAsia"/>
                      <w:color w:val="auto"/>
                      <w:sz w:val="21"/>
                      <w:szCs w:val="21"/>
                    </w:rPr>
                    <w:t>45</w:t>
                  </w: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continue"/>
                  <w:vAlign w:val="center"/>
                </w:tcPr>
                <w:p>
                  <w:pPr>
                    <w:adjustRightInd w:val="0"/>
                    <w:snapToGrid w:val="0"/>
                    <w:spacing w:line="240" w:lineRule="atLeast"/>
                    <w:jc w:val="center"/>
                    <w:rPr>
                      <w:color w:val="auto"/>
                      <w:sz w:val="21"/>
                      <w:szCs w:val="21"/>
                    </w:rPr>
                  </w:pPr>
                </w:p>
              </w:tc>
              <w:tc>
                <w:tcPr>
                  <w:tcW w:w="1134" w:type="dxa"/>
                  <w:vAlign w:val="center"/>
                </w:tcPr>
                <w:p>
                  <w:pPr>
                    <w:adjustRightInd w:val="0"/>
                    <w:snapToGrid w:val="0"/>
                    <w:spacing w:line="240" w:lineRule="atLeast"/>
                    <w:jc w:val="center"/>
                    <w:rPr>
                      <w:color w:val="auto"/>
                      <w:sz w:val="21"/>
                      <w:szCs w:val="21"/>
                    </w:rPr>
                  </w:pPr>
                  <w:r>
                    <w:rPr>
                      <w:color w:val="auto"/>
                      <w:sz w:val="21"/>
                      <w:szCs w:val="21"/>
                    </w:rPr>
                    <w:t>夜间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40.5</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44.1</w:t>
                  </w:r>
                </w:p>
              </w:tc>
              <w:tc>
                <w:tcPr>
                  <w:tcW w:w="1461" w:type="dxa"/>
                  <w:vMerge w:val="continue"/>
                  <w:vAlign w:val="center"/>
                </w:tcPr>
                <w:p>
                  <w:pPr>
                    <w:adjustRightInd w:val="0"/>
                    <w:snapToGrid w:val="0"/>
                    <w:spacing w:line="240" w:lineRule="atLeast"/>
                    <w:jc w:val="center"/>
                    <w:rPr>
                      <w:color w:val="auto"/>
                      <w:sz w:val="21"/>
                      <w:szCs w:val="21"/>
                    </w:rPr>
                  </w:pP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restart"/>
                  <w:vAlign w:val="center"/>
                </w:tcPr>
                <w:p>
                  <w:pPr>
                    <w:adjustRightInd w:val="0"/>
                    <w:snapToGrid w:val="0"/>
                    <w:spacing w:line="240" w:lineRule="atLeast"/>
                    <w:jc w:val="center"/>
                    <w:rPr>
                      <w:color w:val="auto"/>
                      <w:sz w:val="21"/>
                      <w:szCs w:val="21"/>
                    </w:rPr>
                  </w:pPr>
                  <w:r>
                    <w:rPr>
                      <w:color w:val="auto"/>
                      <w:sz w:val="21"/>
                      <w:szCs w:val="21"/>
                    </w:rPr>
                    <w:t>南厂界</w:t>
                  </w:r>
                </w:p>
              </w:tc>
              <w:tc>
                <w:tcPr>
                  <w:tcW w:w="1134" w:type="dxa"/>
                  <w:vAlign w:val="center"/>
                </w:tcPr>
                <w:p>
                  <w:pPr>
                    <w:adjustRightInd w:val="0"/>
                    <w:snapToGrid w:val="0"/>
                    <w:spacing w:line="240" w:lineRule="atLeast"/>
                    <w:jc w:val="center"/>
                    <w:rPr>
                      <w:color w:val="auto"/>
                      <w:sz w:val="21"/>
                      <w:szCs w:val="21"/>
                    </w:rPr>
                  </w:pPr>
                  <w:r>
                    <w:rPr>
                      <w:color w:val="auto"/>
                      <w:sz w:val="21"/>
                      <w:szCs w:val="21"/>
                    </w:rPr>
                    <w:t>昼间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50.0</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50.4</w:t>
                  </w:r>
                </w:p>
              </w:tc>
              <w:tc>
                <w:tcPr>
                  <w:tcW w:w="1461" w:type="dxa"/>
                  <w:vMerge w:val="continue"/>
                  <w:vAlign w:val="center"/>
                </w:tcPr>
                <w:p>
                  <w:pPr>
                    <w:adjustRightInd w:val="0"/>
                    <w:snapToGrid w:val="0"/>
                    <w:spacing w:line="240" w:lineRule="atLeast"/>
                    <w:jc w:val="center"/>
                    <w:rPr>
                      <w:b/>
                      <w:bCs/>
                      <w:color w:val="auto"/>
                      <w:sz w:val="21"/>
                      <w:szCs w:val="21"/>
                    </w:rPr>
                  </w:pPr>
                </w:p>
              </w:tc>
              <w:tc>
                <w:tcPr>
                  <w:tcW w:w="1196" w:type="dxa"/>
                  <w:vAlign w:val="center"/>
                </w:tcPr>
                <w:p>
                  <w:pPr>
                    <w:adjustRightInd w:val="0"/>
                    <w:snapToGrid w:val="0"/>
                    <w:spacing w:line="240" w:lineRule="atLeast"/>
                    <w:jc w:val="center"/>
                    <w:rPr>
                      <w:b/>
                      <w:bCs/>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continue"/>
                  <w:vAlign w:val="center"/>
                </w:tcPr>
                <w:p>
                  <w:pPr>
                    <w:adjustRightInd w:val="0"/>
                    <w:snapToGrid w:val="0"/>
                    <w:spacing w:line="240" w:lineRule="atLeast"/>
                    <w:jc w:val="center"/>
                    <w:rPr>
                      <w:color w:val="auto"/>
                      <w:sz w:val="21"/>
                      <w:szCs w:val="21"/>
                    </w:rPr>
                  </w:pPr>
                </w:p>
              </w:tc>
              <w:tc>
                <w:tcPr>
                  <w:tcW w:w="1134" w:type="dxa"/>
                  <w:vAlign w:val="center"/>
                </w:tcPr>
                <w:p>
                  <w:pPr>
                    <w:adjustRightInd w:val="0"/>
                    <w:snapToGrid w:val="0"/>
                    <w:spacing w:line="240" w:lineRule="atLeast"/>
                    <w:jc w:val="center"/>
                    <w:rPr>
                      <w:color w:val="auto"/>
                      <w:sz w:val="21"/>
                      <w:szCs w:val="21"/>
                    </w:rPr>
                  </w:pPr>
                  <w:r>
                    <w:rPr>
                      <w:color w:val="auto"/>
                      <w:sz w:val="21"/>
                      <w:szCs w:val="21"/>
                    </w:rPr>
                    <w:t>夜间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39.9</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42.9</w:t>
                  </w:r>
                </w:p>
              </w:tc>
              <w:tc>
                <w:tcPr>
                  <w:tcW w:w="1461" w:type="dxa"/>
                  <w:vMerge w:val="continue"/>
                  <w:vAlign w:val="center"/>
                </w:tcPr>
                <w:p>
                  <w:pPr>
                    <w:adjustRightInd w:val="0"/>
                    <w:snapToGrid w:val="0"/>
                    <w:spacing w:line="240" w:lineRule="atLeast"/>
                    <w:jc w:val="center"/>
                    <w:rPr>
                      <w:b/>
                      <w:bCs/>
                      <w:color w:val="auto"/>
                      <w:sz w:val="21"/>
                      <w:szCs w:val="21"/>
                    </w:rPr>
                  </w:pPr>
                </w:p>
              </w:tc>
              <w:tc>
                <w:tcPr>
                  <w:tcW w:w="1196" w:type="dxa"/>
                  <w:vAlign w:val="center"/>
                </w:tcPr>
                <w:p>
                  <w:pPr>
                    <w:adjustRightInd w:val="0"/>
                    <w:snapToGrid w:val="0"/>
                    <w:spacing w:line="240" w:lineRule="atLeast"/>
                    <w:jc w:val="center"/>
                    <w:rPr>
                      <w:b/>
                      <w:bCs/>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restart"/>
                  <w:vAlign w:val="center"/>
                </w:tcPr>
                <w:p>
                  <w:pPr>
                    <w:adjustRightInd w:val="0"/>
                    <w:snapToGrid w:val="0"/>
                    <w:spacing w:line="240" w:lineRule="atLeast"/>
                    <w:jc w:val="center"/>
                    <w:rPr>
                      <w:color w:val="auto"/>
                      <w:sz w:val="21"/>
                      <w:szCs w:val="21"/>
                    </w:rPr>
                  </w:pPr>
                  <w:r>
                    <w:rPr>
                      <w:color w:val="auto"/>
                      <w:sz w:val="21"/>
                      <w:szCs w:val="21"/>
                    </w:rPr>
                    <w:t>西厂界</w:t>
                  </w:r>
                </w:p>
              </w:tc>
              <w:tc>
                <w:tcPr>
                  <w:tcW w:w="1134" w:type="dxa"/>
                  <w:vAlign w:val="center"/>
                </w:tcPr>
                <w:p>
                  <w:pPr>
                    <w:adjustRightInd w:val="0"/>
                    <w:snapToGrid w:val="0"/>
                    <w:spacing w:line="240" w:lineRule="atLeast"/>
                    <w:jc w:val="center"/>
                    <w:rPr>
                      <w:color w:val="auto"/>
                      <w:sz w:val="21"/>
                      <w:szCs w:val="21"/>
                    </w:rPr>
                  </w:pPr>
                  <w:r>
                    <w:rPr>
                      <w:color w:val="auto"/>
                      <w:sz w:val="21"/>
                      <w:szCs w:val="21"/>
                    </w:rPr>
                    <w:t>昼间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50.6</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50.7</w:t>
                  </w:r>
                </w:p>
              </w:tc>
              <w:tc>
                <w:tcPr>
                  <w:tcW w:w="1461" w:type="dxa"/>
                  <w:vMerge w:val="continue"/>
                  <w:vAlign w:val="center"/>
                </w:tcPr>
                <w:p>
                  <w:pPr>
                    <w:adjustRightInd w:val="0"/>
                    <w:snapToGrid w:val="0"/>
                    <w:spacing w:line="240" w:lineRule="atLeast"/>
                    <w:jc w:val="center"/>
                    <w:rPr>
                      <w:color w:val="auto"/>
                      <w:sz w:val="21"/>
                      <w:szCs w:val="21"/>
                    </w:rPr>
                  </w:pP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continue"/>
                  <w:vAlign w:val="center"/>
                </w:tcPr>
                <w:p>
                  <w:pPr>
                    <w:adjustRightInd w:val="0"/>
                    <w:snapToGrid w:val="0"/>
                    <w:spacing w:line="240" w:lineRule="atLeast"/>
                    <w:jc w:val="center"/>
                    <w:rPr>
                      <w:color w:val="auto"/>
                      <w:sz w:val="21"/>
                      <w:szCs w:val="21"/>
                    </w:rPr>
                  </w:pPr>
                </w:p>
              </w:tc>
              <w:tc>
                <w:tcPr>
                  <w:tcW w:w="1134" w:type="dxa"/>
                  <w:vAlign w:val="center"/>
                </w:tcPr>
                <w:p>
                  <w:pPr>
                    <w:adjustRightInd w:val="0"/>
                    <w:snapToGrid w:val="0"/>
                    <w:spacing w:line="240" w:lineRule="atLeast"/>
                    <w:jc w:val="center"/>
                    <w:rPr>
                      <w:color w:val="auto"/>
                      <w:sz w:val="21"/>
                      <w:szCs w:val="21"/>
                    </w:rPr>
                  </w:pPr>
                  <w:r>
                    <w:rPr>
                      <w:color w:val="auto"/>
                      <w:sz w:val="21"/>
                      <w:szCs w:val="21"/>
                    </w:rPr>
                    <w:t>夜间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39.6</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40.7</w:t>
                  </w:r>
                </w:p>
              </w:tc>
              <w:tc>
                <w:tcPr>
                  <w:tcW w:w="1461" w:type="dxa"/>
                  <w:vMerge w:val="continue"/>
                  <w:vAlign w:val="center"/>
                </w:tcPr>
                <w:p>
                  <w:pPr>
                    <w:adjustRightInd w:val="0"/>
                    <w:snapToGrid w:val="0"/>
                    <w:spacing w:line="240" w:lineRule="atLeast"/>
                    <w:jc w:val="center"/>
                    <w:rPr>
                      <w:color w:val="auto"/>
                      <w:sz w:val="21"/>
                      <w:szCs w:val="21"/>
                    </w:rPr>
                  </w:pP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restart"/>
                  <w:vAlign w:val="center"/>
                </w:tcPr>
                <w:p>
                  <w:pPr>
                    <w:adjustRightInd w:val="0"/>
                    <w:snapToGrid w:val="0"/>
                    <w:spacing w:line="240" w:lineRule="atLeast"/>
                    <w:jc w:val="center"/>
                    <w:rPr>
                      <w:color w:val="auto"/>
                      <w:sz w:val="21"/>
                      <w:szCs w:val="21"/>
                    </w:rPr>
                  </w:pPr>
                  <w:r>
                    <w:rPr>
                      <w:color w:val="auto"/>
                      <w:sz w:val="21"/>
                      <w:szCs w:val="21"/>
                    </w:rPr>
                    <w:t>北厂界</w:t>
                  </w:r>
                </w:p>
              </w:tc>
              <w:tc>
                <w:tcPr>
                  <w:tcW w:w="1134" w:type="dxa"/>
                  <w:vAlign w:val="center"/>
                </w:tcPr>
                <w:p>
                  <w:pPr>
                    <w:adjustRightInd w:val="0"/>
                    <w:snapToGrid w:val="0"/>
                    <w:spacing w:line="240" w:lineRule="atLeast"/>
                    <w:jc w:val="center"/>
                    <w:rPr>
                      <w:color w:val="auto"/>
                      <w:sz w:val="21"/>
                      <w:szCs w:val="21"/>
                    </w:rPr>
                  </w:pPr>
                  <w:r>
                    <w:rPr>
                      <w:color w:val="auto"/>
                      <w:sz w:val="21"/>
                      <w:szCs w:val="21"/>
                    </w:rPr>
                    <w:t>昼间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51.2</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51.6</w:t>
                  </w:r>
                </w:p>
              </w:tc>
              <w:tc>
                <w:tcPr>
                  <w:tcW w:w="1461" w:type="dxa"/>
                  <w:vMerge w:val="continue"/>
                  <w:vAlign w:val="center"/>
                </w:tcPr>
                <w:p>
                  <w:pPr>
                    <w:adjustRightInd w:val="0"/>
                    <w:snapToGrid w:val="0"/>
                    <w:spacing w:line="240" w:lineRule="atLeast"/>
                    <w:jc w:val="center"/>
                    <w:rPr>
                      <w:color w:val="auto"/>
                      <w:sz w:val="21"/>
                      <w:szCs w:val="21"/>
                    </w:rPr>
                  </w:pP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83" w:hRule="atLeast"/>
                <w:tblHeader/>
                <w:jc w:val="center"/>
              </w:trPr>
              <w:tc>
                <w:tcPr>
                  <w:tcW w:w="1151" w:type="dxa"/>
                  <w:vMerge w:val="continue"/>
                  <w:vAlign w:val="center"/>
                </w:tcPr>
                <w:p>
                  <w:pPr>
                    <w:adjustRightInd w:val="0"/>
                    <w:snapToGrid w:val="0"/>
                    <w:spacing w:line="240" w:lineRule="atLeast"/>
                    <w:jc w:val="center"/>
                    <w:rPr>
                      <w:color w:val="auto"/>
                      <w:sz w:val="21"/>
                      <w:szCs w:val="21"/>
                    </w:rPr>
                  </w:pPr>
                </w:p>
              </w:tc>
              <w:tc>
                <w:tcPr>
                  <w:tcW w:w="1134" w:type="dxa"/>
                  <w:vAlign w:val="center"/>
                </w:tcPr>
                <w:p>
                  <w:pPr>
                    <w:adjustRightInd w:val="0"/>
                    <w:snapToGrid w:val="0"/>
                    <w:spacing w:line="240" w:lineRule="atLeast"/>
                    <w:jc w:val="center"/>
                    <w:rPr>
                      <w:color w:val="auto"/>
                      <w:sz w:val="21"/>
                      <w:szCs w:val="21"/>
                    </w:rPr>
                  </w:pPr>
                  <w:r>
                    <w:rPr>
                      <w:color w:val="auto"/>
                      <w:sz w:val="21"/>
                      <w:szCs w:val="21"/>
                    </w:rPr>
                    <w:t>夜间</w:t>
                  </w:r>
                </w:p>
              </w:tc>
              <w:tc>
                <w:tcPr>
                  <w:tcW w:w="1276"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40.9</w:t>
                  </w:r>
                </w:p>
              </w:tc>
              <w:tc>
                <w:tcPr>
                  <w:tcW w:w="2128" w:type="dxa"/>
                  <w:vAlign w:val="center"/>
                </w:tcPr>
                <w:p>
                  <w:pPr>
                    <w:adjustRightInd w:val="0"/>
                    <w:snapToGrid w:val="0"/>
                    <w:spacing w:line="240" w:lineRule="atLeast"/>
                    <w:jc w:val="center"/>
                    <w:rPr>
                      <w:rFonts w:hint="eastAsia"/>
                      <w:color w:val="auto"/>
                      <w:sz w:val="21"/>
                      <w:szCs w:val="21"/>
                    </w:rPr>
                  </w:pPr>
                  <w:r>
                    <w:rPr>
                      <w:rFonts w:hint="eastAsia"/>
                      <w:color w:val="auto"/>
                      <w:sz w:val="21"/>
                      <w:szCs w:val="21"/>
                    </w:rPr>
                    <w:t>44.2</w:t>
                  </w:r>
                </w:p>
              </w:tc>
              <w:tc>
                <w:tcPr>
                  <w:tcW w:w="1461" w:type="dxa"/>
                  <w:vMerge w:val="continue"/>
                  <w:vAlign w:val="center"/>
                </w:tcPr>
                <w:p>
                  <w:pPr>
                    <w:adjustRightInd w:val="0"/>
                    <w:snapToGrid w:val="0"/>
                    <w:spacing w:line="240" w:lineRule="atLeast"/>
                    <w:jc w:val="center"/>
                    <w:rPr>
                      <w:color w:val="auto"/>
                      <w:sz w:val="21"/>
                      <w:szCs w:val="21"/>
                    </w:rPr>
                  </w:pPr>
                </w:p>
              </w:tc>
              <w:tc>
                <w:tcPr>
                  <w:tcW w:w="1196" w:type="dxa"/>
                  <w:vAlign w:val="center"/>
                </w:tcPr>
                <w:p>
                  <w:pPr>
                    <w:adjustRightInd w:val="0"/>
                    <w:snapToGrid w:val="0"/>
                    <w:spacing w:line="240" w:lineRule="atLeast"/>
                    <w:jc w:val="center"/>
                    <w:rPr>
                      <w:color w:val="auto"/>
                      <w:sz w:val="21"/>
                      <w:szCs w:val="21"/>
                    </w:rPr>
                  </w:pPr>
                  <w:r>
                    <w:rPr>
                      <w:color w:val="auto"/>
                      <w:sz w:val="21"/>
                      <w:szCs w:val="21"/>
                    </w:rPr>
                    <w:t>达标</w:t>
                  </w:r>
                </w:p>
              </w:tc>
            </w:tr>
          </w:tbl>
          <w:p>
            <w:pPr>
              <w:spacing w:line="360" w:lineRule="auto"/>
              <w:ind w:firstLine="480" w:firstLineChars="200"/>
              <w:rPr>
                <w:color w:val="auto"/>
                <w:sz w:val="24"/>
              </w:rPr>
            </w:pPr>
            <w:r>
              <w:rPr>
                <w:color w:val="auto"/>
                <w:sz w:val="24"/>
              </w:rPr>
              <w:t>从表</w:t>
            </w:r>
            <w:r>
              <w:rPr>
                <w:rFonts w:hint="eastAsia"/>
                <w:color w:val="auto"/>
                <w:sz w:val="24"/>
                <w:lang w:val="en-US" w:eastAsia="zh-CN"/>
              </w:rPr>
              <w:t>38</w:t>
            </w:r>
            <w:r>
              <w:rPr>
                <w:color w:val="auto"/>
                <w:sz w:val="24"/>
              </w:rPr>
              <w:t>可知，</w:t>
            </w:r>
            <w:r>
              <w:rPr>
                <w:rFonts w:hint="eastAsia"/>
                <w:color w:val="auto"/>
                <w:sz w:val="24"/>
              </w:rPr>
              <w:t>净水厂</w:t>
            </w:r>
            <w:r>
              <w:rPr>
                <w:color w:val="auto"/>
                <w:sz w:val="24"/>
              </w:rPr>
              <w:t>厂界昼夜噪声值均可达到《工业企业厂界环境噪声排放标准》中</w:t>
            </w:r>
            <w:r>
              <w:rPr>
                <w:rFonts w:hint="eastAsia"/>
                <w:color w:val="auto"/>
                <w:sz w:val="24"/>
              </w:rPr>
              <w:t>1</w:t>
            </w:r>
            <w:r>
              <w:rPr>
                <w:color w:val="auto"/>
                <w:sz w:val="24"/>
              </w:rPr>
              <w:t>类标准的要求。因此，</w:t>
            </w:r>
            <w:r>
              <w:rPr>
                <w:rFonts w:hint="eastAsia"/>
                <w:color w:val="auto"/>
                <w:sz w:val="24"/>
              </w:rPr>
              <w:t>净水厂营运期</w:t>
            </w:r>
            <w:r>
              <w:rPr>
                <w:color w:val="auto"/>
                <w:sz w:val="24"/>
              </w:rPr>
              <w:t>对周围声环境影响较小。</w:t>
            </w:r>
          </w:p>
          <w:p>
            <w:pPr>
              <w:pStyle w:val="3"/>
              <w:spacing w:before="0" w:after="0" w:line="360" w:lineRule="auto"/>
              <w:rPr>
                <w:rFonts w:hint="eastAsia" w:ascii="Times New Roman" w:hAnsi="Times New Roman" w:eastAsia="宋体"/>
                <w:color w:val="auto"/>
                <w:sz w:val="28"/>
                <w:szCs w:val="28"/>
              </w:rPr>
            </w:pPr>
            <w:bookmarkStart w:id="9" w:name="_Toc301529807"/>
            <w:bookmarkStart w:id="10" w:name="_Toc328731422"/>
            <w:bookmarkStart w:id="11" w:name="_Toc357772235"/>
            <w:bookmarkStart w:id="12" w:name="_Toc404192825"/>
            <w:r>
              <w:rPr>
                <w:rFonts w:hint="eastAsia" w:ascii="Times New Roman" w:hAnsi="Times New Roman" w:eastAsia="宋体"/>
                <w:color w:val="auto"/>
                <w:sz w:val="28"/>
                <w:szCs w:val="28"/>
                <w:lang w:val="en-US" w:eastAsia="zh-CN"/>
              </w:rPr>
              <w:t>1.4</w:t>
            </w:r>
            <w:r>
              <w:rPr>
                <w:rFonts w:ascii="Times New Roman" w:hAnsi="Times New Roman" w:eastAsia="宋体"/>
                <w:color w:val="auto"/>
                <w:sz w:val="28"/>
                <w:szCs w:val="28"/>
              </w:rPr>
              <w:t>固废环境影响评价</w:t>
            </w:r>
            <w:bookmarkEnd w:id="9"/>
            <w:bookmarkEnd w:id="10"/>
            <w:bookmarkEnd w:id="11"/>
            <w:bookmarkEnd w:id="12"/>
          </w:p>
          <w:p>
            <w:pPr>
              <w:tabs>
                <w:tab w:val="left" w:pos="0"/>
              </w:tabs>
              <w:spacing w:line="360" w:lineRule="auto"/>
              <w:ind w:firstLine="480" w:firstLineChars="200"/>
              <w:rPr>
                <w:rFonts w:hint="eastAsia"/>
                <w:color w:val="auto"/>
                <w:sz w:val="24"/>
              </w:rPr>
            </w:pPr>
            <w:r>
              <w:rPr>
                <w:color w:val="auto"/>
                <w:sz w:val="24"/>
              </w:rPr>
              <w:t>本项目有</w:t>
            </w:r>
            <w:r>
              <w:rPr>
                <w:rFonts w:hint="eastAsia"/>
                <w:color w:val="auto"/>
                <w:sz w:val="24"/>
              </w:rPr>
              <w:t>一般固废、</w:t>
            </w:r>
            <w:r>
              <w:rPr>
                <w:color w:val="auto"/>
                <w:sz w:val="24"/>
              </w:rPr>
              <w:t>危险废物和生活垃圾，固体废物总量</w:t>
            </w:r>
            <w:r>
              <w:rPr>
                <w:rFonts w:hint="eastAsia"/>
                <w:color w:val="auto"/>
                <w:sz w:val="24"/>
                <w:lang w:val="en-US" w:eastAsia="zh-CN"/>
              </w:rPr>
              <w:t>2578.55</w:t>
            </w:r>
            <w:r>
              <w:rPr>
                <w:rFonts w:hint="eastAsia"/>
                <w:color w:val="auto"/>
                <w:sz w:val="24"/>
              </w:rPr>
              <w:t>t/a</w:t>
            </w:r>
            <w:r>
              <w:rPr>
                <w:color w:val="auto"/>
                <w:sz w:val="24"/>
              </w:rPr>
              <w:t>。其中</w:t>
            </w:r>
            <w:r>
              <w:rPr>
                <w:rFonts w:hint="eastAsia"/>
                <w:color w:val="auto"/>
                <w:sz w:val="24"/>
              </w:rPr>
              <w:t>废弃试剂、药品和检验废液</w:t>
            </w:r>
            <w:r>
              <w:rPr>
                <w:color w:val="auto"/>
                <w:sz w:val="24"/>
              </w:rPr>
              <w:t>等危险废物经有资质单位处置，生活垃圾</w:t>
            </w:r>
            <w:r>
              <w:rPr>
                <w:rFonts w:hint="eastAsia"/>
                <w:color w:val="auto"/>
                <w:sz w:val="24"/>
              </w:rPr>
              <w:t>由环卫部门定期清运至填埋场，干化污泥交由填埋场安全填埋。</w:t>
            </w:r>
          </w:p>
          <w:p>
            <w:pPr>
              <w:spacing w:line="360" w:lineRule="auto"/>
              <w:ind w:firstLine="470" w:firstLineChars="196"/>
              <w:rPr>
                <w:rFonts w:hint="eastAsia"/>
                <w:color w:val="auto"/>
                <w:sz w:val="24"/>
              </w:rPr>
            </w:pPr>
            <w:r>
              <w:rPr>
                <w:color w:val="auto"/>
                <w:sz w:val="24"/>
              </w:rPr>
              <w:t>根据《国家危险废物名录》，本项目</w:t>
            </w:r>
            <w:r>
              <w:rPr>
                <w:rFonts w:hint="eastAsia"/>
                <w:color w:val="auto"/>
                <w:sz w:val="24"/>
              </w:rPr>
              <w:t>净水厂营运过程中产生的水质化验室及生产辅助用房中废弃试剂、药品及药品的包装瓶等</w:t>
            </w:r>
            <w:r>
              <w:rPr>
                <w:color w:val="auto"/>
                <w:sz w:val="24"/>
              </w:rPr>
              <w:t>属危险废物，</w:t>
            </w:r>
            <w:r>
              <w:rPr>
                <w:rFonts w:hint="eastAsia"/>
                <w:color w:val="auto"/>
                <w:sz w:val="24"/>
              </w:rPr>
              <w:t>应集中收集交由有资质的单位处理。在净水厂内</w:t>
            </w:r>
            <w:r>
              <w:rPr>
                <w:color w:val="auto"/>
                <w:sz w:val="24"/>
              </w:rPr>
              <w:t>贮存按《危险废物贮存污染控制标准》</w:t>
            </w:r>
            <w:r>
              <w:rPr>
                <w:rFonts w:hint="eastAsia"/>
                <w:color w:val="auto"/>
                <w:sz w:val="24"/>
              </w:rPr>
              <w:t>（</w:t>
            </w:r>
            <w:r>
              <w:rPr>
                <w:color w:val="auto"/>
                <w:sz w:val="24"/>
              </w:rPr>
              <w:t>GB18597-2001</w:t>
            </w:r>
            <w:r>
              <w:rPr>
                <w:rFonts w:hint="eastAsia"/>
                <w:color w:val="auto"/>
                <w:sz w:val="24"/>
              </w:rPr>
              <w:t>）</w:t>
            </w:r>
            <w:r>
              <w:rPr>
                <w:color w:val="auto"/>
                <w:sz w:val="24"/>
              </w:rPr>
              <w:t>要求建立暂存场，对暂存场进行防雨、防风、防渗处理后</w:t>
            </w:r>
            <w:r>
              <w:rPr>
                <w:rFonts w:ascii="宋体" w:hAnsi="宋体"/>
                <w:color w:val="auto"/>
                <w:sz w:val="24"/>
              </w:rPr>
              <w:t>。贮存场所内采用安全照明设施，并设置观察窗口；废物贮存设施周围应设置围墙或其它防护栅栏，并配备通讯设备、照明设施、安全防护服装及工具，并设有应急防护设施；废物贮存设施内清理出来的泄漏物，一律按危险废物处理。</w:t>
            </w:r>
            <w:r>
              <w:rPr>
                <w:bCs/>
                <w:color w:val="auto"/>
                <w:sz w:val="24"/>
              </w:rPr>
              <w:t>危险废物实行“五联单”管理制度，运输车辆应设置明显的标志并经常维护保养，必须由专业运输车辆和专业人员承运。</w:t>
            </w:r>
            <w:r>
              <w:rPr>
                <w:color w:val="auto"/>
                <w:sz w:val="24"/>
              </w:rPr>
              <w:t>废包装材料由</w:t>
            </w:r>
            <w:r>
              <w:rPr>
                <w:rFonts w:hint="eastAsia"/>
                <w:color w:val="auto"/>
                <w:sz w:val="24"/>
              </w:rPr>
              <w:t>原有厂家</w:t>
            </w:r>
            <w:r>
              <w:rPr>
                <w:color w:val="auto"/>
                <w:sz w:val="24"/>
              </w:rPr>
              <w:t>回收</w:t>
            </w:r>
            <w:r>
              <w:rPr>
                <w:rFonts w:hint="eastAsia"/>
                <w:color w:val="auto"/>
                <w:sz w:val="24"/>
              </w:rPr>
              <w:t>再</w:t>
            </w:r>
            <w:r>
              <w:rPr>
                <w:color w:val="auto"/>
                <w:sz w:val="24"/>
              </w:rPr>
              <w:t>利用。</w:t>
            </w:r>
          </w:p>
          <w:p>
            <w:pPr>
              <w:spacing w:line="360" w:lineRule="auto"/>
              <w:ind w:firstLine="470" w:firstLineChars="196"/>
              <w:rPr>
                <w:rFonts w:hint="eastAsia"/>
                <w:color w:val="auto"/>
                <w:sz w:val="24"/>
              </w:rPr>
            </w:pPr>
            <w:r>
              <w:rPr>
                <w:rFonts w:hint="eastAsia"/>
                <w:color w:val="auto"/>
                <w:sz w:val="24"/>
              </w:rPr>
              <w:t>根据垃圾填埋场污泥填埋要求，污泥的含水率须在60%以下，因此，本工程水厂污泥需要进一步干化处置，以达到垃圾填埋场的覆土要求。</w:t>
            </w:r>
          </w:p>
          <w:p>
            <w:pPr>
              <w:spacing w:line="360" w:lineRule="auto"/>
              <w:ind w:firstLine="470" w:firstLineChars="196"/>
              <w:rPr>
                <w:rFonts w:hint="eastAsia"/>
                <w:color w:val="auto"/>
                <w:sz w:val="24"/>
              </w:rPr>
            </w:pPr>
            <w:r>
              <w:rPr>
                <w:rFonts w:hint="eastAsia"/>
                <w:color w:val="auto"/>
                <w:sz w:val="24"/>
              </w:rPr>
              <w:t>由于净水厂生产过程中产生的污泥主要来自原水中悬浮物，主要为水源流域地表土壤颗粒及溶胶，还有一些净水剂成分和有机质（主要为浮游生物体或残渣）。根据本项目水源地黄金洞水库的水质监测结果，水源地水质中重金属含量均较低，均低于地表水</w:t>
            </w:r>
            <w:r>
              <w:rPr>
                <w:rFonts w:hint="eastAsia" w:ascii="宋体" w:hAnsi="宋体"/>
                <w:color w:val="auto"/>
                <w:sz w:val="24"/>
              </w:rPr>
              <w:t>Ⅰ</w:t>
            </w:r>
            <w:r>
              <w:rPr>
                <w:rFonts w:hint="eastAsia"/>
                <w:color w:val="auto"/>
                <w:sz w:val="24"/>
              </w:rPr>
              <w:t>类水质浓度要求。因此本项目净水厂经脱水干化后的污泥进行填埋处置，在做好污泥厂内暂存、运输过程管理工作的前提下，经卫生填埋处理后对周边环境影响不大。</w:t>
            </w:r>
          </w:p>
          <w:p>
            <w:pPr>
              <w:spacing w:line="360" w:lineRule="auto"/>
              <w:ind w:firstLine="470" w:firstLineChars="196"/>
              <w:rPr>
                <w:rFonts w:hint="eastAsia"/>
                <w:color w:val="auto"/>
                <w:sz w:val="24"/>
              </w:rPr>
            </w:pPr>
            <w:r>
              <w:rPr>
                <w:rFonts w:hint="eastAsia"/>
                <w:color w:val="auto"/>
                <w:sz w:val="24"/>
              </w:rPr>
              <w:t>此外，由于水厂制水污水含水少，为提高污泥资源化利用水平，国内及省内已经开发出了许多中污泥处置的新方法，如污泥制砖、污泥制混凝土轻质骨料等。本项目净水厂污泥在进行卫生填埋的同时，可根据水厂污泥的成分积极开展污泥建材综合利用等途径，逐步实现污泥资源化。</w:t>
            </w:r>
          </w:p>
          <w:p>
            <w:pPr>
              <w:spacing w:line="360" w:lineRule="auto"/>
              <w:ind w:firstLine="470" w:firstLineChars="196"/>
              <w:rPr>
                <w:rFonts w:hint="eastAsia"/>
                <w:bCs/>
                <w:color w:val="auto"/>
                <w:sz w:val="24"/>
              </w:rPr>
            </w:pPr>
            <w:r>
              <w:rPr>
                <w:bCs/>
                <w:color w:val="auto"/>
                <w:sz w:val="24"/>
              </w:rPr>
              <w:t>本项目工艺过程产生的固体废物全部回收利用及资源化，生活垃圾妥善处置，均不向外环境排放，</w:t>
            </w:r>
            <w:r>
              <w:rPr>
                <w:rFonts w:hint="eastAsia"/>
                <w:bCs/>
                <w:color w:val="auto"/>
                <w:sz w:val="24"/>
              </w:rPr>
              <w:t>因此</w:t>
            </w:r>
            <w:r>
              <w:rPr>
                <w:bCs/>
                <w:color w:val="auto"/>
                <w:sz w:val="24"/>
              </w:rPr>
              <w:t>，项目产生的固体废物不会造成环境污染。</w:t>
            </w:r>
          </w:p>
          <w:p>
            <w:pPr>
              <w:spacing w:line="360" w:lineRule="auto"/>
              <w:ind w:firstLine="470" w:firstLineChars="196"/>
              <w:rPr>
                <w:rFonts w:hint="eastAsia"/>
                <w:color w:val="auto"/>
                <w:sz w:val="24"/>
              </w:rPr>
            </w:pPr>
            <w:r>
              <w:rPr>
                <w:color w:val="auto"/>
                <w:sz w:val="24"/>
              </w:rPr>
              <w:t>生活垃圾由环卫部门统一收集处理，运至当地环卫部门指定的垃圾场处置，不得乱堆乱放。</w:t>
            </w:r>
          </w:p>
          <w:p>
            <w:pPr>
              <w:spacing w:line="360" w:lineRule="auto"/>
              <w:ind w:firstLine="470" w:firstLineChars="196"/>
              <w:rPr>
                <w:rFonts w:hint="eastAsia"/>
                <w:color w:val="auto"/>
                <w:sz w:val="24"/>
              </w:rPr>
            </w:pPr>
            <w:r>
              <w:rPr>
                <w:rFonts w:hint="eastAsia"/>
                <w:color w:val="auto"/>
                <w:sz w:val="24"/>
              </w:rPr>
              <w:t>在采取以上措施后，本项目固体废物对周围环境影响较小。</w:t>
            </w:r>
          </w:p>
          <w:p>
            <w:pPr>
              <w:pStyle w:val="3"/>
              <w:spacing w:before="0" w:after="0" w:line="360" w:lineRule="auto"/>
              <w:rPr>
                <w:rFonts w:hint="eastAsia" w:ascii="Times New Roman" w:hAnsi="Times New Roman" w:eastAsia="宋体"/>
                <w:color w:val="auto"/>
                <w:sz w:val="28"/>
                <w:szCs w:val="28"/>
              </w:rPr>
            </w:pPr>
            <w:bookmarkStart w:id="13" w:name="_Toc386116011"/>
            <w:bookmarkStart w:id="14" w:name="_Toc404192826"/>
            <w:bookmarkStart w:id="15" w:name="_Toc374357970"/>
            <w:r>
              <w:rPr>
                <w:rFonts w:hint="eastAsia" w:ascii="Times New Roman" w:hAnsi="Times New Roman" w:eastAsia="宋体"/>
                <w:color w:val="auto"/>
                <w:sz w:val="28"/>
                <w:szCs w:val="28"/>
                <w:lang w:val="en-US" w:eastAsia="zh-CN"/>
              </w:rPr>
              <w:t>1.5</w:t>
            </w:r>
            <w:r>
              <w:rPr>
                <w:rFonts w:hint="eastAsia" w:ascii="Times New Roman" w:hAnsi="Times New Roman" w:eastAsia="宋体"/>
                <w:color w:val="auto"/>
                <w:sz w:val="28"/>
                <w:szCs w:val="28"/>
              </w:rPr>
              <w:t>生态</w:t>
            </w:r>
            <w:r>
              <w:rPr>
                <w:rFonts w:ascii="Times New Roman" w:hAnsi="Times New Roman" w:eastAsia="宋体"/>
                <w:color w:val="auto"/>
                <w:sz w:val="28"/>
                <w:szCs w:val="28"/>
              </w:rPr>
              <w:t>环境影响分析</w:t>
            </w:r>
            <w:bookmarkEnd w:id="13"/>
            <w:bookmarkEnd w:id="14"/>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 xml:space="preserve">对动物的影响分析 </w:t>
            </w:r>
          </w:p>
          <w:p>
            <w:pPr>
              <w:spacing w:line="360" w:lineRule="auto"/>
              <w:ind w:firstLine="480" w:firstLineChars="200"/>
              <w:rPr>
                <w:rFonts w:hint="eastAsia"/>
                <w:color w:val="auto"/>
                <w:sz w:val="24"/>
              </w:rPr>
            </w:pPr>
            <w:r>
              <w:rPr>
                <w:rFonts w:hint="eastAsia"/>
                <w:color w:val="auto"/>
                <w:sz w:val="24"/>
              </w:rPr>
              <w:t xml:space="preserve">①对鱼类资源的影响 </w:t>
            </w:r>
          </w:p>
          <w:p>
            <w:pPr>
              <w:spacing w:line="360" w:lineRule="auto"/>
              <w:ind w:firstLine="480" w:firstLineChars="200"/>
              <w:rPr>
                <w:rFonts w:hint="eastAsia"/>
                <w:color w:val="auto"/>
                <w:sz w:val="24"/>
              </w:rPr>
            </w:pPr>
            <w:r>
              <w:rPr>
                <w:rFonts w:hint="eastAsia"/>
                <w:color w:val="auto"/>
                <w:sz w:val="24"/>
              </w:rPr>
              <w:t xml:space="preserve">根据工程分析，取水头部产生水流声将对工程占用水库的水生动物活动产生一定的不利影响；取水头部有可能黄金洞水库的水生动物给倒吸进去，本环评建议在取水头部外加网格较小的罩，拦住鱼虾类及漂浮物等。 </w:t>
            </w:r>
          </w:p>
          <w:p>
            <w:pPr>
              <w:spacing w:line="360" w:lineRule="auto"/>
              <w:ind w:firstLine="480" w:firstLineChars="200"/>
              <w:rPr>
                <w:rFonts w:hint="eastAsia"/>
                <w:color w:val="auto"/>
                <w:sz w:val="24"/>
              </w:rPr>
            </w:pPr>
            <w:r>
              <w:rPr>
                <w:rFonts w:hint="eastAsia"/>
                <w:color w:val="auto"/>
                <w:sz w:val="24"/>
              </w:rPr>
              <w:t xml:space="preserve">②对鱼类繁殖的影响 </w:t>
            </w:r>
          </w:p>
          <w:p>
            <w:pPr>
              <w:spacing w:line="360" w:lineRule="auto"/>
              <w:ind w:firstLine="480" w:firstLineChars="200"/>
              <w:rPr>
                <w:rFonts w:hint="eastAsia"/>
                <w:color w:val="auto"/>
                <w:sz w:val="24"/>
              </w:rPr>
            </w:pPr>
            <w:r>
              <w:rPr>
                <w:rFonts w:hint="eastAsia"/>
                <w:color w:val="auto"/>
                <w:sz w:val="24"/>
              </w:rPr>
              <w:t xml:space="preserve">因项目取水口位于黄金洞水库下游，根据现场生态现状调查和咨询，工程影响段无鱼类产卵场、索饵场、越冬场，因此，工程对鱼类的繁殖影响较小。 </w:t>
            </w:r>
          </w:p>
          <w:p>
            <w:pPr>
              <w:spacing w:line="360" w:lineRule="auto"/>
              <w:ind w:firstLine="480" w:firstLineChars="200"/>
              <w:rPr>
                <w:rFonts w:hint="eastAsia"/>
                <w:color w:val="auto"/>
                <w:sz w:val="24"/>
              </w:rPr>
            </w:pPr>
            <w:r>
              <w:rPr>
                <w:rFonts w:hint="eastAsia"/>
                <w:color w:val="auto"/>
                <w:sz w:val="24"/>
              </w:rPr>
              <w:t xml:space="preserve">工程直接影响段尚未发现珍稀濒危动物，同时，工程实施所在水面较宽，取水头部产生噪声其影响不大，因此，本工程对区域珍稀濒危动物影响很小。 </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 xml:space="preserve">对水生植物的影响分析 </w:t>
            </w:r>
          </w:p>
          <w:p>
            <w:pPr>
              <w:spacing w:line="360" w:lineRule="auto"/>
              <w:ind w:firstLine="480" w:firstLineChars="200"/>
              <w:rPr>
                <w:rFonts w:hint="eastAsia"/>
                <w:color w:val="auto"/>
                <w:sz w:val="24"/>
              </w:rPr>
            </w:pPr>
            <w:r>
              <w:rPr>
                <w:rFonts w:hint="eastAsia"/>
                <w:color w:val="auto"/>
                <w:sz w:val="24"/>
              </w:rPr>
              <w:t xml:space="preserve">根据项目取水口附近生态现状调查，黄金洞水库具有丰富的沉水、浮水和挺水植物，常见的沉水植物包括苔草、黑藻、浮水植物有莲、芡和浮萍；挺水植物有水烛和芦苇等。本工程周围区域无国家规定保护的水生植物。工程运营过程中要尽量保护好现有的水生植物。环评建议在取水头部外加细网格，减少由于取水口的吸力而吸入的水生生物。 </w:t>
            </w:r>
          </w:p>
          <w:p>
            <w:pPr>
              <w:pStyle w:val="3"/>
              <w:spacing w:before="0" w:after="0" w:line="360" w:lineRule="auto"/>
              <w:rPr>
                <w:rFonts w:hint="eastAsia" w:ascii="Times New Roman" w:hAnsi="Times New Roman" w:eastAsia="宋体"/>
                <w:color w:val="auto"/>
                <w:sz w:val="28"/>
                <w:szCs w:val="28"/>
              </w:rPr>
            </w:pPr>
            <w:bookmarkStart w:id="16" w:name="_Toc404192827"/>
            <w:r>
              <w:rPr>
                <w:rFonts w:hint="eastAsia" w:ascii="Times New Roman" w:hAnsi="Times New Roman" w:eastAsia="宋体"/>
                <w:color w:val="auto"/>
                <w:sz w:val="28"/>
                <w:szCs w:val="28"/>
                <w:lang w:val="en-US" w:eastAsia="zh-CN"/>
              </w:rPr>
              <w:t>1.6</w:t>
            </w:r>
            <w:r>
              <w:rPr>
                <w:rFonts w:hint="eastAsia" w:ascii="Times New Roman" w:hAnsi="Times New Roman" w:eastAsia="宋体"/>
                <w:color w:val="auto"/>
                <w:sz w:val="28"/>
                <w:szCs w:val="28"/>
              </w:rPr>
              <w:t>取水对区域水资源状况和其他用户的影响</w:t>
            </w:r>
            <w:bookmarkEnd w:id="16"/>
          </w:p>
          <w:p>
            <w:pPr>
              <w:spacing w:line="360" w:lineRule="auto"/>
              <w:ind w:firstLine="480" w:firstLineChars="200"/>
              <w:rPr>
                <w:color w:val="auto"/>
                <w:sz w:val="24"/>
              </w:rPr>
            </w:pPr>
            <w:r>
              <w:rPr>
                <w:rFonts w:hint="eastAsia"/>
                <w:color w:val="auto"/>
                <w:sz w:val="24"/>
              </w:rPr>
              <w:t>黄金洞水库位于平江县黄金洞乡黄金洞村，枢纽工程位于黄金洞金矿上游。坝址以上控制集雨面积120km</w:t>
            </w:r>
            <w:r>
              <w:rPr>
                <w:rFonts w:hint="eastAsia"/>
                <w:color w:val="auto"/>
                <w:sz w:val="24"/>
                <w:vertAlign w:val="superscript"/>
              </w:rPr>
              <w:t>2</w:t>
            </w:r>
            <w:r>
              <w:rPr>
                <w:rFonts w:hint="eastAsia"/>
                <w:color w:val="auto"/>
                <w:sz w:val="24"/>
              </w:rPr>
              <w:t>。水库总库容9600万m</w:t>
            </w:r>
            <w:r>
              <w:rPr>
                <w:rFonts w:hint="eastAsia"/>
                <w:color w:val="auto"/>
                <w:sz w:val="24"/>
                <w:vertAlign w:val="superscript"/>
              </w:rPr>
              <w:t>3</w:t>
            </w:r>
            <w:r>
              <w:rPr>
                <w:rFonts w:hint="eastAsia"/>
                <w:color w:val="auto"/>
                <w:sz w:val="24"/>
              </w:rPr>
              <w:t>，正常库容7600万m</w:t>
            </w:r>
            <w:r>
              <w:rPr>
                <w:rFonts w:hint="eastAsia"/>
                <w:color w:val="auto"/>
                <w:sz w:val="24"/>
                <w:vertAlign w:val="superscript"/>
              </w:rPr>
              <w:t>3</w:t>
            </w:r>
            <w:r>
              <w:rPr>
                <w:rFonts w:hint="eastAsia"/>
                <w:color w:val="auto"/>
                <w:sz w:val="24"/>
              </w:rPr>
              <w:t>，正常蓄水位225.00m，可调节库容4850×10</w:t>
            </w:r>
            <w:r>
              <w:rPr>
                <w:rFonts w:hint="eastAsia"/>
                <w:color w:val="auto"/>
                <w:sz w:val="24"/>
                <w:vertAlign w:val="superscript"/>
              </w:rPr>
              <w:t>4</w:t>
            </w:r>
            <w:r>
              <w:rPr>
                <w:rFonts w:hint="eastAsia"/>
                <w:color w:val="auto"/>
                <w:sz w:val="24"/>
              </w:rPr>
              <w:t>m</w:t>
            </w:r>
            <w:r>
              <w:rPr>
                <w:rFonts w:hint="eastAsia"/>
                <w:color w:val="auto"/>
                <w:sz w:val="24"/>
                <w:vertAlign w:val="superscript"/>
              </w:rPr>
              <w:t>3</w:t>
            </w:r>
            <w:r>
              <w:rPr>
                <w:rFonts w:hint="eastAsia"/>
                <w:color w:val="auto"/>
                <w:sz w:val="24"/>
              </w:rPr>
              <w:t>。本项目取水口位于黄金洞水库内，取水用于平江县长寿镇、木金乡、加义镇、三市镇、安定镇、城关镇六个乡镇的74个行政村的居民生活饮用水，属耗水利用，日取水量</w:t>
            </w:r>
            <w:r>
              <w:rPr>
                <w:rFonts w:hint="eastAsia"/>
                <w:color w:val="auto"/>
                <w:sz w:val="24"/>
                <w:lang w:val="en-US" w:eastAsia="zh-CN"/>
              </w:rPr>
              <w:t>10</w:t>
            </w:r>
            <w:r>
              <w:rPr>
                <w:rFonts w:hint="eastAsia"/>
                <w:color w:val="auto"/>
                <w:sz w:val="24"/>
              </w:rPr>
              <w:t>万m</w:t>
            </w:r>
            <w:r>
              <w:rPr>
                <w:color w:val="auto"/>
                <w:sz w:val="24"/>
                <w:vertAlign w:val="superscript"/>
              </w:rPr>
              <w:t>3</w:t>
            </w:r>
            <w:r>
              <w:rPr>
                <w:rFonts w:hint="eastAsia"/>
                <w:color w:val="auto"/>
                <w:sz w:val="24"/>
              </w:rPr>
              <w:t>/d 。该工程实施后，从黄金洞水库库内年引水</w:t>
            </w:r>
            <w:r>
              <w:rPr>
                <w:rFonts w:hint="eastAsia"/>
                <w:color w:val="auto"/>
                <w:sz w:val="24"/>
                <w:lang w:val="en-US" w:eastAsia="zh-CN"/>
              </w:rPr>
              <w:t>3560</w:t>
            </w:r>
            <w:r>
              <w:rPr>
                <w:rFonts w:hint="eastAsia"/>
                <w:color w:val="auto"/>
                <w:sz w:val="24"/>
              </w:rPr>
              <w:t>万m</w:t>
            </w:r>
            <w:r>
              <w:rPr>
                <w:rFonts w:hint="eastAsia"/>
                <w:color w:val="auto"/>
                <w:sz w:val="24"/>
                <w:vertAlign w:val="superscript"/>
              </w:rPr>
              <w:t>3</w:t>
            </w:r>
            <w:r>
              <w:rPr>
                <w:rFonts w:hint="eastAsia"/>
                <w:color w:val="auto"/>
                <w:sz w:val="24"/>
              </w:rPr>
              <w:t>，坝址多年平均下泄流量将会减少，对水库及坝址下游河段的水资源状况和其他取用水户产生一定的影响，主要表现在以下几个方面：</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rFonts w:hint="eastAsia"/>
                <w:color w:val="auto"/>
                <w:sz w:val="24"/>
              </w:rPr>
              <w:t>对黄金洞水库灌区的影响。根据水源水量平衡论证可知在代表年的情况下，项目取水口水源的可供水量均能够满足平江县东部供水枢纽工程取水和周边农灌的的要求，供水工程实施后对灌区不会产生影响。</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rFonts w:hint="eastAsia"/>
                <w:color w:val="auto"/>
                <w:sz w:val="24"/>
              </w:rPr>
              <w:t>对黄金洞电站的影响。该供水工程建成后，满负荷年引水量为</w:t>
            </w:r>
            <w:r>
              <w:rPr>
                <w:rFonts w:hint="eastAsia"/>
                <w:color w:val="auto"/>
                <w:sz w:val="24"/>
                <w:lang w:val="en-US" w:eastAsia="zh-CN"/>
              </w:rPr>
              <w:t>3560</w:t>
            </w:r>
            <w:r>
              <w:rPr>
                <w:rFonts w:hint="eastAsia"/>
                <w:color w:val="auto"/>
                <w:sz w:val="24"/>
              </w:rPr>
              <w:t>万立方米，占水库多年平均来水量9398万立方米的</w:t>
            </w:r>
            <w:r>
              <w:rPr>
                <w:rFonts w:hint="eastAsia"/>
                <w:color w:val="auto"/>
                <w:sz w:val="24"/>
                <w:lang w:val="en-US" w:eastAsia="zh-CN"/>
              </w:rPr>
              <w:t>38.8</w:t>
            </w:r>
            <w:r>
              <w:rPr>
                <w:rFonts w:hint="eastAsia"/>
                <w:color w:val="auto"/>
                <w:sz w:val="24"/>
              </w:rPr>
              <w:t>%。按电站平均水头50m、电价0.3元/度计算，减少电站年发电量</w:t>
            </w:r>
            <w:r>
              <w:rPr>
                <w:rFonts w:hint="eastAsia"/>
                <w:color w:val="auto"/>
                <w:sz w:val="24"/>
                <w:lang w:val="en-US" w:eastAsia="zh-CN"/>
              </w:rPr>
              <w:t>319.76</w:t>
            </w:r>
            <w:r>
              <w:rPr>
                <w:rFonts w:hint="eastAsia"/>
                <w:color w:val="auto"/>
                <w:sz w:val="24"/>
              </w:rPr>
              <w:t>万度，减少电站发电收入</w:t>
            </w:r>
            <w:r>
              <w:rPr>
                <w:rFonts w:hint="eastAsia"/>
                <w:color w:val="auto"/>
                <w:sz w:val="24"/>
                <w:lang w:val="en-US" w:eastAsia="zh-CN"/>
              </w:rPr>
              <w:t>95.93</w:t>
            </w:r>
            <w:r>
              <w:rPr>
                <w:rFonts w:hint="eastAsia"/>
                <w:color w:val="auto"/>
                <w:sz w:val="24"/>
              </w:rPr>
              <w:t>万元。电站发电损失可从平江县供水</w:t>
            </w:r>
            <w:r>
              <w:rPr>
                <w:rFonts w:hint="eastAsia"/>
                <w:color w:val="auto"/>
                <w:sz w:val="24"/>
                <w:lang w:eastAsia="zh-CN"/>
              </w:rPr>
              <w:t>（黄金洞水库）</w:t>
            </w:r>
            <w:r>
              <w:rPr>
                <w:rFonts w:hint="eastAsia"/>
                <w:color w:val="auto"/>
                <w:sz w:val="24"/>
              </w:rPr>
              <w:t>枢纽工程效益中进行全额补偿。</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w:t>
            </w:r>
            <w:r>
              <w:rPr>
                <w:rFonts w:hint="eastAsia"/>
                <w:color w:val="auto"/>
                <w:sz w:val="24"/>
              </w:rPr>
              <w:t>对河道生态用水的影响。供水工程运营后，由于水库下泄水量总量会减少，下游黄金水河段径流总量相应减少，可通过合理调度黄金洞电站发电来保证下游生态流量，减免平江县东部供水枢纽工程调水对下游河段自然生态环境的不利影响。</w:t>
            </w:r>
          </w:p>
          <w:p>
            <w:pPr>
              <w:pStyle w:val="3"/>
              <w:spacing w:before="0" w:after="0" w:line="360" w:lineRule="auto"/>
              <w:rPr>
                <w:rFonts w:hint="eastAsia" w:ascii="Times New Roman" w:hAnsi="Times New Roman" w:eastAsia="宋体"/>
                <w:color w:val="auto"/>
                <w:sz w:val="28"/>
                <w:szCs w:val="28"/>
              </w:rPr>
            </w:pPr>
            <w:bookmarkStart w:id="17" w:name="_Toc404192828"/>
            <w:r>
              <w:rPr>
                <w:rFonts w:hint="eastAsia" w:ascii="Times New Roman" w:hAnsi="Times New Roman" w:eastAsia="宋体"/>
                <w:color w:val="auto"/>
                <w:sz w:val="28"/>
                <w:szCs w:val="28"/>
                <w:lang w:val="en-US" w:eastAsia="zh-CN"/>
              </w:rPr>
              <w:t>1.7</w:t>
            </w:r>
            <w:r>
              <w:rPr>
                <w:rFonts w:hint="eastAsia" w:ascii="Times New Roman" w:hAnsi="Times New Roman" w:eastAsia="宋体"/>
                <w:color w:val="auto"/>
                <w:sz w:val="28"/>
                <w:szCs w:val="28"/>
              </w:rPr>
              <w:t>外环境对净水厂的影响分析</w:t>
            </w:r>
            <w:bookmarkEnd w:id="17"/>
            <w:r>
              <w:rPr>
                <w:rFonts w:hint="eastAsia" w:ascii="Times New Roman" w:hAnsi="Times New Roman" w:eastAsia="宋体"/>
                <w:color w:val="auto"/>
                <w:sz w:val="28"/>
                <w:szCs w:val="28"/>
              </w:rPr>
              <w:t xml:space="preserve"> </w:t>
            </w:r>
          </w:p>
          <w:p>
            <w:pPr>
              <w:spacing w:line="360" w:lineRule="auto"/>
              <w:ind w:firstLine="480" w:firstLineChars="200"/>
              <w:rPr>
                <w:rFonts w:hint="eastAsia"/>
                <w:color w:val="auto"/>
                <w:sz w:val="24"/>
              </w:rPr>
            </w:pPr>
            <w:r>
              <w:rPr>
                <w:rFonts w:hint="eastAsia"/>
                <w:color w:val="auto"/>
                <w:sz w:val="24"/>
              </w:rPr>
              <w:t>本项目所在地位于长寿镇</w:t>
            </w:r>
            <w:r>
              <w:rPr>
                <w:rFonts w:hint="eastAsia"/>
                <w:color w:val="auto"/>
                <w:sz w:val="24"/>
                <w:lang w:eastAsia="zh-CN"/>
              </w:rPr>
              <w:t>长寿村</w:t>
            </w:r>
            <w:r>
              <w:rPr>
                <w:rFonts w:hint="eastAsia"/>
                <w:color w:val="auto"/>
                <w:sz w:val="24"/>
              </w:rPr>
              <w:t>，经现场调查，周边100m范围内无影响供水安全的工业及民营企业，本环评建议要加强对周边土地利用开发的规划，周边新建工业企业时将本项目作为其环境保护目标，论证其对本项目的影响，做好净水厂周边的卫生防护。同时，净水厂周边50m内的农田禁止施用农药化肥，周边100m范围内禁止建设可能影响供水安全的工业及民营项目，保障供水安全。</w:t>
            </w:r>
          </w:p>
          <w:bookmarkEnd w:id="15"/>
          <w:p>
            <w:pPr>
              <w:pStyle w:val="3"/>
              <w:spacing w:before="0" w:after="0" w:line="360" w:lineRule="auto"/>
              <w:rPr>
                <w:rFonts w:hint="eastAsia" w:ascii="Times New Roman" w:hAnsi="Times New Roman" w:eastAsia="宋体"/>
                <w:color w:val="auto"/>
                <w:sz w:val="28"/>
                <w:szCs w:val="28"/>
                <w:lang w:val="en-US" w:eastAsia="zh-CN"/>
              </w:rPr>
            </w:pPr>
            <w:r>
              <w:rPr>
                <w:rFonts w:hint="eastAsia" w:ascii="Times New Roman" w:hAnsi="Times New Roman" w:eastAsia="宋体"/>
                <w:color w:val="auto"/>
                <w:sz w:val="28"/>
                <w:szCs w:val="28"/>
                <w:lang w:val="en-US" w:eastAsia="zh-CN"/>
              </w:rPr>
              <w:t>2管网工程</w:t>
            </w:r>
          </w:p>
          <w:p>
            <w:pPr>
              <w:spacing w:line="360" w:lineRule="auto"/>
              <w:rPr>
                <w:rFonts w:hint="eastAsia"/>
                <w:b/>
                <w:color w:val="auto"/>
                <w:sz w:val="24"/>
              </w:rPr>
            </w:pPr>
            <w:r>
              <w:rPr>
                <w:rFonts w:hint="eastAsia"/>
                <w:b/>
                <w:color w:val="auto"/>
                <w:sz w:val="24"/>
                <w:lang w:val="en-US" w:eastAsia="zh-CN"/>
              </w:rPr>
              <w:t>2.1</w:t>
            </w:r>
            <w:r>
              <w:rPr>
                <w:rFonts w:hint="eastAsia"/>
                <w:b/>
                <w:color w:val="auto"/>
                <w:sz w:val="24"/>
              </w:rPr>
              <w:t>环境影响分析</w:t>
            </w:r>
          </w:p>
          <w:p>
            <w:pPr>
              <w:spacing w:line="360" w:lineRule="auto"/>
              <w:ind w:firstLine="480" w:firstLineChars="200"/>
              <w:rPr>
                <w:rFonts w:hint="eastAsia"/>
                <w:color w:val="auto"/>
                <w:sz w:val="24"/>
              </w:rPr>
            </w:pPr>
            <w:r>
              <w:rPr>
                <w:rFonts w:hint="eastAsia"/>
                <w:color w:val="auto"/>
                <w:sz w:val="24"/>
              </w:rPr>
              <w:t>本项目为自来水供水管道工程，项目在建成投入使用后，供水管道埋于地下，没有废水、废气、噪声的产生和排放，也无废渣产生，项目的正常运行不会对区域环境造成不利影响。</w:t>
            </w:r>
          </w:p>
          <w:p>
            <w:pPr>
              <w:spacing w:line="360" w:lineRule="auto"/>
              <w:rPr>
                <w:rFonts w:hint="eastAsia"/>
                <w:b/>
                <w:bCs/>
                <w:color w:val="auto"/>
                <w:sz w:val="24"/>
              </w:rPr>
            </w:pPr>
            <w:r>
              <w:rPr>
                <w:rFonts w:hint="eastAsia"/>
                <w:b/>
                <w:bCs/>
                <w:color w:val="auto"/>
                <w:sz w:val="24"/>
                <w:lang w:val="en-US" w:eastAsia="zh-CN"/>
              </w:rPr>
              <w:t>2.2</w:t>
            </w:r>
            <w:r>
              <w:rPr>
                <w:rFonts w:hint="eastAsia"/>
                <w:b/>
                <w:bCs/>
                <w:color w:val="auto"/>
                <w:sz w:val="24"/>
              </w:rPr>
              <w:t>受水区社会环境影响分析</w:t>
            </w:r>
          </w:p>
          <w:p>
            <w:pPr>
              <w:spacing w:line="360" w:lineRule="auto"/>
              <w:ind w:firstLine="480" w:firstLineChars="200"/>
              <w:rPr>
                <w:rFonts w:hint="eastAsia"/>
                <w:bCs/>
                <w:color w:val="auto"/>
                <w:sz w:val="24"/>
              </w:rPr>
            </w:pPr>
            <w:r>
              <w:rPr>
                <w:rFonts w:hint="eastAsia"/>
                <w:bCs/>
                <w:color w:val="auto"/>
                <w:sz w:val="24"/>
              </w:rPr>
              <w:t>本项目的实施可缓解城镇与农业、生态用水的矛盾，将受水区挤占的部分农业、生态用水归还于农业与生态，促进区域社会、经济和环境的可持续发展。随着经济的发展，人民生活水平将得到提高，这将大大提高全民环境保护意识；经济的发展，也将增强环境保护的经济实力；本项目供水水质优良，将大大提高生活用水水质，促进人群健康，保证受水区人民饮用水的安全和健康。这些都必将促进项目受水区域环境保护事业的发展。输水工程在改善生产、生活用水状况的基础上，还可对公共生态用水加以补充，改善环境卫生，保证人群健康，提高绿化覆盖率，美化城市环境。</w:t>
            </w:r>
          </w:p>
          <w:p>
            <w:pPr>
              <w:spacing w:line="360" w:lineRule="auto"/>
              <w:ind w:firstLine="480" w:firstLineChars="200"/>
              <w:rPr>
                <w:rFonts w:hint="eastAsia"/>
                <w:bCs/>
                <w:color w:val="auto"/>
                <w:sz w:val="24"/>
              </w:rPr>
            </w:pPr>
            <w:r>
              <w:rPr>
                <w:rFonts w:hint="eastAsia"/>
                <w:bCs/>
                <w:color w:val="auto"/>
                <w:sz w:val="24"/>
              </w:rPr>
              <w:t>因此，本项目的建设对平江县的社会、环境及经济效益将产生长期、有利的影响。</w:t>
            </w:r>
          </w:p>
          <w:p>
            <w:pPr>
              <w:spacing w:line="360" w:lineRule="auto"/>
              <w:rPr>
                <w:rFonts w:hint="eastAsia"/>
                <w:b/>
                <w:bCs/>
                <w:color w:val="auto"/>
                <w:sz w:val="24"/>
              </w:rPr>
            </w:pPr>
            <w:r>
              <w:rPr>
                <w:rFonts w:hint="eastAsia"/>
                <w:b/>
                <w:color w:val="auto"/>
                <w:sz w:val="24"/>
              </w:rPr>
              <w:t>3</w:t>
            </w:r>
            <w:r>
              <w:rPr>
                <w:b/>
                <w:color w:val="auto"/>
                <w:sz w:val="24"/>
              </w:rPr>
              <w:t>、</w:t>
            </w:r>
            <w:r>
              <w:rPr>
                <w:rFonts w:hint="eastAsia"/>
                <w:b/>
                <w:bCs/>
                <w:color w:val="auto"/>
                <w:sz w:val="24"/>
              </w:rPr>
              <w:t>与国家产业政策相符性分析</w:t>
            </w:r>
          </w:p>
          <w:p>
            <w:pPr>
              <w:spacing w:line="360" w:lineRule="auto"/>
              <w:ind w:firstLine="480" w:firstLineChars="200"/>
              <w:rPr>
                <w:rFonts w:hint="eastAsia"/>
                <w:color w:val="auto"/>
                <w:sz w:val="24"/>
              </w:rPr>
            </w:pPr>
            <w:r>
              <w:rPr>
                <w:rFonts w:hint="eastAsia"/>
                <w:color w:val="auto"/>
                <w:sz w:val="24"/>
              </w:rPr>
              <w:t>根据《产业结构调整指导目录（2011年本）》（国家发展和改革委员会2011第9号）及《</w:t>
            </w:r>
            <w:r>
              <w:rPr>
                <w:rFonts w:hint="eastAsia"/>
                <w:bCs/>
                <w:color w:val="auto"/>
                <w:sz w:val="24"/>
              </w:rPr>
              <w:t>国家发展改革委关于修改&lt;产业结构调整指导目录</w:t>
            </w:r>
            <w:r>
              <w:rPr>
                <w:rFonts w:hint="eastAsia"/>
                <w:color w:val="auto"/>
                <w:sz w:val="24"/>
              </w:rPr>
              <w:t>（2011年本）</w:t>
            </w:r>
            <w:r>
              <w:rPr>
                <w:rFonts w:hint="eastAsia"/>
                <w:bCs/>
                <w:color w:val="auto"/>
                <w:sz w:val="24"/>
              </w:rPr>
              <w:t>&gt;有关条款的决定</w:t>
            </w:r>
            <w:r>
              <w:rPr>
                <w:rFonts w:hint="eastAsia"/>
                <w:color w:val="auto"/>
                <w:sz w:val="24"/>
              </w:rPr>
              <w:t>》可知，本项目属于指导目录中规定的鼓励类中的二十二城市基础设施 “城镇供排水管网工程、供水水源及净水厂工程”，符合国家产业政策。</w:t>
            </w:r>
          </w:p>
          <w:p>
            <w:pPr>
              <w:spacing w:line="360" w:lineRule="auto"/>
              <w:rPr>
                <w:rFonts w:hint="eastAsia"/>
                <w:b/>
                <w:bCs/>
                <w:color w:val="auto"/>
                <w:sz w:val="24"/>
              </w:rPr>
            </w:pPr>
            <w:r>
              <w:rPr>
                <w:rFonts w:hint="eastAsia"/>
                <w:b/>
                <w:bCs/>
                <w:color w:val="auto"/>
                <w:sz w:val="24"/>
              </w:rPr>
              <w:t>4、选址</w:t>
            </w:r>
            <w:r>
              <w:rPr>
                <w:rFonts w:hint="eastAsia"/>
                <w:b/>
                <w:bCs/>
                <w:color w:val="auto"/>
                <w:sz w:val="24"/>
                <w:lang w:eastAsia="zh-CN"/>
              </w:rPr>
              <w:t>、选线</w:t>
            </w:r>
            <w:r>
              <w:rPr>
                <w:rFonts w:hint="eastAsia"/>
                <w:b/>
                <w:bCs/>
                <w:color w:val="auto"/>
                <w:sz w:val="24"/>
              </w:rPr>
              <w:t>合理性分析</w:t>
            </w:r>
          </w:p>
          <w:p>
            <w:pPr>
              <w:spacing w:line="360" w:lineRule="auto"/>
              <w:rPr>
                <w:rFonts w:hint="eastAsia"/>
                <w:b/>
                <w:bCs/>
                <w:color w:val="auto"/>
                <w:sz w:val="24"/>
                <w:lang w:eastAsia="zh-CN"/>
              </w:rPr>
            </w:pPr>
            <w:r>
              <w:rPr>
                <w:rFonts w:hint="eastAsia"/>
                <w:b/>
                <w:bCs/>
                <w:color w:val="auto"/>
                <w:sz w:val="24"/>
                <w:lang w:val="en-US" w:eastAsia="zh-CN"/>
              </w:rPr>
              <w:t>4.1</w:t>
            </w:r>
            <w:r>
              <w:rPr>
                <w:rFonts w:hint="eastAsia"/>
                <w:b/>
                <w:bCs/>
                <w:color w:val="auto"/>
                <w:sz w:val="24"/>
                <w:lang w:eastAsia="zh-CN"/>
              </w:rPr>
              <w:t>净水厂选址合理性分析</w:t>
            </w:r>
          </w:p>
          <w:p>
            <w:pPr>
              <w:spacing w:line="360" w:lineRule="auto"/>
              <w:ind w:firstLine="480" w:firstLineChars="200"/>
              <w:rPr>
                <w:rFonts w:hint="eastAsia"/>
                <w:color w:val="auto"/>
                <w:sz w:val="24"/>
                <w:u w:val="none"/>
              </w:rPr>
            </w:pPr>
            <w:r>
              <w:rPr>
                <w:rFonts w:hint="eastAsia"/>
                <w:color w:val="auto"/>
                <w:sz w:val="24"/>
                <w:u w:val="none"/>
                <w:lang w:eastAsia="zh-CN"/>
              </w:rPr>
              <w:t>（</w:t>
            </w:r>
            <w:r>
              <w:rPr>
                <w:rFonts w:hint="eastAsia"/>
                <w:color w:val="auto"/>
                <w:sz w:val="24"/>
                <w:u w:val="none"/>
                <w:lang w:val="en-US" w:eastAsia="zh-CN"/>
              </w:rPr>
              <w:t>1</w:t>
            </w:r>
            <w:r>
              <w:rPr>
                <w:rFonts w:hint="eastAsia"/>
                <w:color w:val="auto"/>
                <w:sz w:val="24"/>
                <w:u w:val="none"/>
                <w:lang w:eastAsia="zh-CN"/>
              </w:rPr>
              <w:t>）</w:t>
            </w:r>
            <w:r>
              <w:rPr>
                <w:color w:val="auto"/>
                <w:sz w:val="24"/>
                <w:u w:val="none"/>
              </w:rPr>
              <w:t>项目</w:t>
            </w:r>
            <w:r>
              <w:rPr>
                <w:rFonts w:hint="eastAsia"/>
                <w:color w:val="auto"/>
                <w:sz w:val="24"/>
                <w:u w:val="none"/>
              </w:rPr>
              <w:t>净水厂选址</w:t>
            </w:r>
            <w:r>
              <w:rPr>
                <w:color w:val="auto"/>
                <w:sz w:val="24"/>
                <w:u w:val="none"/>
              </w:rPr>
              <w:t>于</w:t>
            </w:r>
            <w:r>
              <w:rPr>
                <w:rFonts w:hint="eastAsia"/>
                <w:color w:val="auto"/>
                <w:sz w:val="24"/>
                <w:u w:val="none"/>
              </w:rPr>
              <w:t>长寿镇</w:t>
            </w:r>
            <w:r>
              <w:rPr>
                <w:rFonts w:hint="eastAsia"/>
                <w:color w:val="auto"/>
                <w:sz w:val="24"/>
                <w:u w:val="none"/>
                <w:lang w:eastAsia="zh-CN"/>
              </w:rPr>
              <w:t>长寿</w:t>
            </w:r>
            <w:r>
              <w:rPr>
                <w:rFonts w:hint="eastAsia"/>
                <w:color w:val="auto"/>
                <w:sz w:val="24"/>
                <w:u w:val="none"/>
              </w:rPr>
              <w:t>村，本项目的建设符合城乡规划要求，同时对照《禁止和限制用地目录》（2012年）可知，项目用地未在禁止和限制用地范围内，因此，本项目用地合法可行。</w:t>
            </w:r>
          </w:p>
          <w:p>
            <w:pPr>
              <w:spacing w:line="360" w:lineRule="auto"/>
              <w:ind w:firstLine="480" w:firstLineChars="200"/>
              <w:rPr>
                <w:rFonts w:hint="eastAsia"/>
                <w:color w:val="auto"/>
                <w:sz w:val="24"/>
                <w:u w:val="none"/>
              </w:rPr>
            </w:pPr>
            <w:r>
              <w:rPr>
                <w:rFonts w:hint="eastAsia"/>
                <w:color w:val="auto"/>
                <w:sz w:val="24"/>
                <w:u w:val="none"/>
                <w:lang w:eastAsia="zh-CN"/>
              </w:rPr>
              <w:t>（</w:t>
            </w:r>
            <w:r>
              <w:rPr>
                <w:rFonts w:hint="eastAsia"/>
                <w:color w:val="auto"/>
                <w:sz w:val="24"/>
                <w:u w:val="none"/>
                <w:lang w:val="en-US" w:eastAsia="zh-CN"/>
              </w:rPr>
              <w:t>2</w:t>
            </w:r>
            <w:r>
              <w:rPr>
                <w:rFonts w:hint="eastAsia"/>
                <w:color w:val="auto"/>
                <w:sz w:val="24"/>
                <w:u w:val="none"/>
                <w:lang w:eastAsia="zh-CN"/>
              </w:rPr>
              <w:t>）</w:t>
            </w:r>
            <w:r>
              <w:rPr>
                <w:rFonts w:hint="eastAsia"/>
                <w:color w:val="auto"/>
                <w:sz w:val="24"/>
                <w:u w:val="none"/>
              </w:rPr>
              <w:t>项目选址距离省道S30</w:t>
            </w:r>
            <w:r>
              <w:rPr>
                <w:rFonts w:hint="eastAsia"/>
                <w:color w:val="auto"/>
                <w:sz w:val="24"/>
                <w:u w:val="none"/>
                <w:lang w:val="en-US" w:eastAsia="zh-CN"/>
              </w:rPr>
              <w:t>6</w:t>
            </w:r>
            <w:r>
              <w:rPr>
                <w:rFonts w:hint="eastAsia"/>
                <w:color w:val="auto"/>
                <w:sz w:val="24"/>
                <w:u w:val="none"/>
              </w:rPr>
              <w:t>不足两千米，距离集镇用水点长寿镇近，场地紧邻现有的乡村道路，出入方便。</w:t>
            </w:r>
          </w:p>
          <w:p>
            <w:pPr>
              <w:spacing w:line="360" w:lineRule="auto"/>
              <w:ind w:firstLine="480" w:firstLineChars="200"/>
              <w:rPr>
                <w:rFonts w:hint="eastAsia"/>
                <w:color w:val="auto"/>
                <w:sz w:val="24"/>
                <w:u w:val="none"/>
              </w:rPr>
            </w:pPr>
            <w:r>
              <w:rPr>
                <w:rFonts w:hint="eastAsia"/>
                <w:color w:val="auto"/>
                <w:sz w:val="24"/>
                <w:u w:val="none"/>
                <w:lang w:eastAsia="zh-CN"/>
              </w:rPr>
              <w:t>（</w:t>
            </w:r>
            <w:r>
              <w:rPr>
                <w:rFonts w:hint="eastAsia"/>
                <w:color w:val="auto"/>
                <w:sz w:val="24"/>
                <w:u w:val="none"/>
                <w:lang w:val="en-US" w:eastAsia="zh-CN"/>
              </w:rPr>
              <w:t>3</w:t>
            </w:r>
            <w:r>
              <w:rPr>
                <w:rFonts w:hint="eastAsia"/>
                <w:color w:val="auto"/>
                <w:sz w:val="24"/>
                <w:u w:val="none"/>
                <w:lang w:eastAsia="zh-CN"/>
              </w:rPr>
              <w:t>）</w:t>
            </w:r>
            <w:r>
              <w:rPr>
                <w:rFonts w:hint="eastAsia"/>
                <w:color w:val="auto"/>
                <w:sz w:val="24"/>
                <w:u w:val="none"/>
              </w:rPr>
              <w:t>厂址顶面高程</w:t>
            </w:r>
            <w:r>
              <w:rPr>
                <w:rFonts w:hint="eastAsia"/>
                <w:color w:val="auto"/>
                <w:sz w:val="24"/>
                <w:u w:val="none"/>
                <w:lang w:val="en-US" w:eastAsia="zh-CN"/>
              </w:rPr>
              <w:t>191</w:t>
            </w:r>
            <w:r>
              <w:rPr>
                <w:rFonts w:hint="eastAsia"/>
                <w:color w:val="auto"/>
                <w:sz w:val="24"/>
                <w:u w:val="none"/>
              </w:rPr>
              <w:t xml:space="preserve">米左右，北面坡势相对较缓，地质条件良好，用地主要为荒地，面积不大，破坏植被少，对生态环境影响较小。 </w:t>
            </w:r>
          </w:p>
          <w:p>
            <w:pPr>
              <w:snapToGrid w:val="0"/>
              <w:spacing w:line="355" w:lineRule="auto"/>
              <w:ind w:firstLine="480" w:firstLineChars="200"/>
              <w:rPr>
                <w:rFonts w:hint="eastAsia" w:hAnsi="宋体"/>
                <w:color w:val="auto"/>
                <w:sz w:val="24"/>
                <w:u w:val="none"/>
              </w:rPr>
            </w:pPr>
            <w:r>
              <w:rPr>
                <w:rFonts w:hint="eastAsia"/>
                <w:color w:val="auto"/>
                <w:sz w:val="24"/>
                <w:u w:val="none"/>
                <w:lang w:eastAsia="zh-CN"/>
              </w:rPr>
              <w:t>（</w:t>
            </w:r>
            <w:r>
              <w:rPr>
                <w:rFonts w:hint="eastAsia"/>
                <w:color w:val="auto"/>
                <w:sz w:val="24"/>
                <w:u w:val="none"/>
                <w:lang w:val="en-US" w:eastAsia="zh-CN"/>
              </w:rPr>
              <w:t>4</w:t>
            </w:r>
            <w:r>
              <w:rPr>
                <w:rFonts w:hint="eastAsia"/>
                <w:color w:val="auto"/>
                <w:sz w:val="24"/>
                <w:u w:val="none"/>
                <w:lang w:eastAsia="zh-CN"/>
              </w:rPr>
              <w:t>）</w:t>
            </w:r>
            <w:r>
              <w:rPr>
                <w:rFonts w:hint="eastAsia" w:hAnsi="宋体"/>
                <w:color w:val="auto"/>
                <w:sz w:val="24"/>
                <w:u w:val="none"/>
              </w:rPr>
              <w:t>厂址</w:t>
            </w:r>
            <w:r>
              <w:rPr>
                <w:rFonts w:hAnsi="宋体"/>
                <w:color w:val="auto"/>
                <w:sz w:val="24"/>
                <w:u w:val="none"/>
              </w:rPr>
              <w:t>所在地水、电供应均有保证，满足生产及生活需求。</w:t>
            </w:r>
          </w:p>
          <w:p>
            <w:pPr>
              <w:spacing w:line="360" w:lineRule="auto"/>
              <w:ind w:firstLine="480" w:firstLineChars="200"/>
              <w:rPr>
                <w:rFonts w:hint="eastAsia" w:hAnsi="宋体"/>
                <w:color w:val="auto"/>
                <w:sz w:val="24"/>
                <w:u w:val="none"/>
              </w:rPr>
            </w:pPr>
            <w:r>
              <w:rPr>
                <w:rFonts w:hint="eastAsia" w:hAnsi="宋体"/>
                <w:color w:val="auto"/>
                <w:sz w:val="24"/>
                <w:u w:val="none"/>
                <w:lang w:eastAsia="zh-CN"/>
              </w:rPr>
              <w:t>（</w:t>
            </w:r>
            <w:r>
              <w:rPr>
                <w:rFonts w:hint="eastAsia" w:hAnsi="宋体"/>
                <w:color w:val="auto"/>
                <w:sz w:val="24"/>
                <w:u w:val="none"/>
                <w:lang w:val="en-US" w:eastAsia="zh-CN"/>
              </w:rPr>
              <w:t>5</w:t>
            </w:r>
            <w:r>
              <w:rPr>
                <w:rFonts w:hint="eastAsia" w:hAnsi="宋体"/>
                <w:color w:val="auto"/>
                <w:sz w:val="24"/>
                <w:u w:val="none"/>
                <w:lang w:eastAsia="zh-CN"/>
              </w:rPr>
              <w:t>）</w:t>
            </w:r>
            <w:r>
              <w:rPr>
                <w:rFonts w:hint="eastAsia" w:hAnsi="宋体"/>
                <w:color w:val="auto"/>
                <w:sz w:val="24"/>
                <w:u w:val="none"/>
              </w:rPr>
              <w:t>项目原水经重力进净水厂进行净化，净化后可通过重力供水的方式向用户送水，能充分利用水库来水的水头。</w:t>
            </w:r>
          </w:p>
          <w:p>
            <w:pPr>
              <w:spacing w:line="360" w:lineRule="auto"/>
              <w:ind w:firstLine="480" w:firstLineChars="200"/>
              <w:rPr>
                <w:color w:val="auto"/>
                <w:sz w:val="24"/>
                <w:u w:val="none"/>
              </w:rPr>
            </w:pPr>
            <w:r>
              <w:rPr>
                <w:rFonts w:hint="eastAsia" w:hAnsi="宋体"/>
                <w:color w:val="auto"/>
                <w:sz w:val="24"/>
                <w:u w:val="none"/>
                <w:lang w:eastAsia="zh-CN"/>
              </w:rPr>
              <w:t>（</w:t>
            </w:r>
            <w:r>
              <w:rPr>
                <w:rFonts w:hint="eastAsia" w:hAnsi="宋体"/>
                <w:color w:val="auto"/>
                <w:sz w:val="24"/>
                <w:u w:val="none"/>
                <w:lang w:val="en-US" w:eastAsia="zh-CN"/>
              </w:rPr>
              <w:t>6</w:t>
            </w:r>
            <w:r>
              <w:rPr>
                <w:rFonts w:hint="eastAsia" w:hAnsi="宋体"/>
                <w:color w:val="auto"/>
                <w:sz w:val="24"/>
                <w:u w:val="none"/>
                <w:lang w:eastAsia="zh-CN"/>
              </w:rPr>
              <w:t>）</w:t>
            </w:r>
            <w:r>
              <w:rPr>
                <w:rFonts w:hint="eastAsia"/>
                <w:color w:val="auto"/>
                <w:sz w:val="24"/>
                <w:u w:val="none"/>
              </w:rPr>
              <w:t>从环境空气影响角度看，项目所在地环境空气质量现状较好。且项目投入运营后，废气产生量很少，对周边其他环境空气敏感点的影响较小；从声环境影响角度看，项目投入运营后，工程噪声源对周边声环境敏感点的影响不大。</w:t>
            </w:r>
            <w:r>
              <w:rPr>
                <w:color w:val="auto"/>
                <w:sz w:val="24"/>
                <w:u w:val="none"/>
              </w:rPr>
              <w:t>项目产生的“三废”经处理后均达标排放，不改变区域环境功能级别。</w:t>
            </w:r>
          </w:p>
          <w:p>
            <w:pPr>
              <w:snapToGrid w:val="0"/>
              <w:spacing w:line="355" w:lineRule="auto"/>
              <w:ind w:firstLine="480" w:firstLineChars="200"/>
              <w:rPr>
                <w:rFonts w:hint="eastAsia" w:hAnsi="宋体"/>
                <w:color w:val="auto"/>
                <w:sz w:val="24"/>
                <w:u w:val="none"/>
              </w:rPr>
            </w:pPr>
            <w:r>
              <w:rPr>
                <w:rFonts w:hint="eastAsia"/>
                <w:color w:val="auto"/>
                <w:sz w:val="24"/>
                <w:u w:val="none"/>
                <w:lang w:eastAsia="zh-CN"/>
              </w:rPr>
              <w:t>（</w:t>
            </w:r>
            <w:r>
              <w:rPr>
                <w:rFonts w:hint="eastAsia"/>
                <w:color w:val="auto"/>
                <w:sz w:val="24"/>
                <w:u w:val="none"/>
                <w:lang w:val="en-US" w:eastAsia="zh-CN"/>
              </w:rPr>
              <w:t>7</w:t>
            </w:r>
            <w:r>
              <w:rPr>
                <w:rFonts w:hint="eastAsia"/>
                <w:color w:val="auto"/>
                <w:sz w:val="24"/>
                <w:u w:val="none"/>
                <w:lang w:eastAsia="zh-CN"/>
              </w:rPr>
              <w:t>）</w:t>
            </w:r>
            <w:r>
              <w:rPr>
                <w:rFonts w:hAnsi="宋体"/>
                <w:color w:val="auto"/>
                <w:sz w:val="24"/>
                <w:u w:val="none"/>
              </w:rPr>
              <w:t>该区域无自然保护区、文物景观、水源地等环境敏感点，是较为理想的建厂地点。</w:t>
            </w:r>
          </w:p>
          <w:p>
            <w:pPr>
              <w:snapToGrid w:val="0"/>
              <w:spacing w:line="355" w:lineRule="auto"/>
              <w:ind w:firstLine="480" w:firstLineChars="200"/>
              <w:rPr>
                <w:rFonts w:hint="eastAsia"/>
                <w:color w:val="auto"/>
                <w:sz w:val="24"/>
                <w:u w:val="none"/>
              </w:rPr>
            </w:pPr>
            <w:r>
              <w:rPr>
                <w:color w:val="auto"/>
                <w:sz w:val="24"/>
                <w:u w:val="none"/>
              </w:rPr>
              <w:t>综上所述，项目的建设对当地居民整体生活环境影响不大，对周围环境影响较小，项目</w:t>
            </w:r>
            <w:r>
              <w:rPr>
                <w:rFonts w:hint="eastAsia"/>
                <w:color w:val="auto"/>
                <w:sz w:val="24"/>
                <w:u w:val="none"/>
              </w:rPr>
              <w:t>净水厂</w:t>
            </w:r>
            <w:r>
              <w:rPr>
                <w:color w:val="auto"/>
                <w:sz w:val="24"/>
                <w:u w:val="none"/>
              </w:rPr>
              <w:t>选址合理。</w:t>
            </w:r>
          </w:p>
          <w:p>
            <w:pPr>
              <w:spacing w:line="360" w:lineRule="auto"/>
              <w:rPr>
                <w:rFonts w:hint="eastAsia"/>
                <w:b/>
                <w:bCs/>
                <w:color w:val="auto"/>
                <w:sz w:val="24"/>
                <w:lang w:val="en-US" w:eastAsia="zh-CN"/>
              </w:rPr>
            </w:pPr>
            <w:r>
              <w:rPr>
                <w:rFonts w:hint="eastAsia"/>
                <w:b/>
                <w:bCs/>
                <w:color w:val="auto"/>
                <w:sz w:val="24"/>
                <w:lang w:val="en-US" w:eastAsia="zh-CN"/>
              </w:rPr>
              <w:t>4.2管道选线合理性分析</w:t>
            </w:r>
          </w:p>
          <w:p>
            <w:pPr>
              <w:spacing w:line="360" w:lineRule="auto"/>
              <w:ind w:firstLine="480" w:firstLineChars="200"/>
              <w:rPr>
                <w:rFonts w:hint="eastAsia"/>
                <w:color w:val="auto"/>
                <w:sz w:val="24"/>
              </w:rPr>
            </w:pPr>
            <w:r>
              <w:rPr>
                <w:rFonts w:hint="eastAsia"/>
                <w:color w:val="auto"/>
                <w:sz w:val="24"/>
              </w:rPr>
              <w:t xml:space="preserve">项目管道根据实际地形采用相应敷设方式，其主要沿现现有道路铺设，管道敷设中途经耕地时，采用管道覆土敷设，管顶覆土考虑为0.5米；临近山体或需要穿越沟渠时，采取架空敷设。管径及管路选择符合城镇规划的同时，做到工程开挖量最小化，减轻工程施工期对社会环境的不良影响。根据项目平面布置图，项目设置的输水管道工艺简洁，管径及管材选用合理。 </w:t>
            </w:r>
          </w:p>
          <w:p>
            <w:pPr>
              <w:spacing w:line="360" w:lineRule="auto"/>
              <w:ind w:firstLine="480" w:firstLineChars="200"/>
              <w:rPr>
                <w:rFonts w:hint="eastAsia"/>
                <w:color w:val="auto"/>
                <w:sz w:val="24"/>
              </w:rPr>
            </w:pPr>
            <w:r>
              <w:rPr>
                <w:rFonts w:hint="eastAsia"/>
                <w:color w:val="auto"/>
                <w:sz w:val="24"/>
              </w:rPr>
              <w:t>从地形地质、工程布置、施工条件等因素综合分析，引水、配水管线敷设中不会对交通、水利农田等设施造成明显影响，同时管道敷设不涉及穿越自然保护区、野生珍稀动植物分布区、重要生态敏感区、不良地质地段等重大穿跨越，沿线不涉及居民搬迁。</w:t>
            </w:r>
          </w:p>
          <w:p>
            <w:pPr>
              <w:spacing w:line="360" w:lineRule="auto"/>
              <w:ind w:firstLine="480" w:firstLineChars="200"/>
              <w:rPr>
                <w:rFonts w:hint="eastAsia"/>
                <w:color w:val="auto"/>
                <w:sz w:val="24"/>
              </w:rPr>
            </w:pPr>
            <w:r>
              <w:rPr>
                <w:rFonts w:hint="eastAsia"/>
                <w:color w:val="auto"/>
                <w:sz w:val="24"/>
                <w:lang w:eastAsia="zh-CN"/>
              </w:rPr>
              <w:t>项目管道部分管段沿</w:t>
            </w:r>
            <w:r>
              <w:rPr>
                <w:rFonts w:hint="eastAsia"/>
                <w:color w:val="auto"/>
                <w:sz w:val="24"/>
                <w:lang w:val="en-US" w:eastAsia="zh-CN"/>
              </w:rPr>
              <w:t>308省道穿越福寿山-汨罗江国家级</w:t>
            </w:r>
            <w:r>
              <w:rPr>
                <w:rFonts w:hint="eastAsia"/>
                <w:color w:val="auto"/>
                <w:sz w:val="24"/>
              </w:rPr>
              <w:t>风景名胜区</w:t>
            </w:r>
            <w:r>
              <w:rPr>
                <w:rFonts w:hint="eastAsia"/>
                <w:color w:val="auto"/>
                <w:sz w:val="24"/>
                <w:lang w:eastAsia="zh-CN"/>
              </w:rPr>
              <w:t>，不新增占用风景名胜区用地。</w:t>
            </w:r>
            <w:r>
              <w:rPr>
                <w:rFonts w:hint="eastAsia"/>
                <w:color w:val="auto"/>
                <w:sz w:val="24"/>
              </w:rPr>
              <w:t>因此，管道选线不存在明显环境制约因素，从环保角度较为合理。</w:t>
            </w:r>
          </w:p>
          <w:p>
            <w:pPr>
              <w:spacing w:line="360" w:lineRule="auto"/>
              <w:ind w:firstLine="480" w:firstLineChars="200"/>
              <w:rPr>
                <w:rFonts w:hint="eastAsia"/>
                <w:color w:val="auto"/>
                <w:sz w:val="24"/>
              </w:rPr>
            </w:pPr>
            <w:r>
              <w:rPr>
                <w:rFonts w:hint="eastAsia"/>
                <w:color w:val="auto"/>
                <w:sz w:val="24"/>
              </w:rPr>
              <w:t>根据以上分析，项目选址符合相关规划要求，与周围环境相容，选址可行。</w:t>
            </w:r>
          </w:p>
          <w:p>
            <w:pPr>
              <w:spacing w:line="360" w:lineRule="auto"/>
              <w:rPr>
                <w:rFonts w:hint="eastAsia"/>
                <w:b/>
                <w:bCs/>
                <w:color w:val="auto"/>
                <w:sz w:val="24"/>
              </w:rPr>
            </w:pPr>
            <w:r>
              <w:rPr>
                <w:rFonts w:hint="eastAsia"/>
                <w:b/>
                <w:bCs/>
                <w:color w:val="auto"/>
                <w:sz w:val="24"/>
              </w:rPr>
              <w:t>5、风险分析</w:t>
            </w:r>
          </w:p>
          <w:p>
            <w:pPr>
              <w:adjustRightInd w:val="0"/>
              <w:spacing w:line="360" w:lineRule="auto"/>
              <w:rPr>
                <w:rFonts w:hint="eastAsia"/>
                <w:color w:val="auto"/>
                <w:sz w:val="24"/>
              </w:rPr>
            </w:pPr>
            <w:r>
              <w:rPr>
                <w:rFonts w:hint="eastAsia"/>
                <w:b/>
                <w:color w:val="auto"/>
                <w:sz w:val="24"/>
              </w:rPr>
              <w:t>5</w:t>
            </w:r>
            <w:r>
              <w:rPr>
                <w:b/>
                <w:color w:val="auto"/>
                <w:sz w:val="24"/>
              </w:rPr>
              <w:t>.1 风险分析</w:t>
            </w:r>
          </w:p>
          <w:p>
            <w:pPr>
              <w:spacing w:line="360" w:lineRule="auto"/>
              <w:ind w:firstLine="480" w:firstLineChars="200"/>
              <w:rPr>
                <w:rFonts w:hint="eastAsia"/>
                <w:bCs/>
                <w:color w:val="auto"/>
                <w:sz w:val="24"/>
              </w:rPr>
            </w:pPr>
            <w:r>
              <w:rPr>
                <w:rFonts w:hint="eastAsia"/>
                <w:bCs/>
                <w:color w:val="auto"/>
                <w:sz w:val="24"/>
              </w:rPr>
              <w:t>通过对国内外输水管道发生事故的类比调查，本项目可能发生的事故风险类型主要有人为因素造成的管道损坏事故和非人为因素造成的管道破裂事故而引起水质污染问题两种。</w:t>
            </w:r>
          </w:p>
          <w:p>
            <w:pPr>
              <w:spacing w:line="360" w:lineRule="auto"/>
              <w:ind w:firstLine="480" w:firstLineChars="200"/>
              <w:rPr>
                <w:rFonts w:hint="eastAsia"/>
                <w:bCs/>
                <w:color w:val="auto"/>
                <w:sz w:val="24"/>
              </w:rPr>
            </w:pPr>
            <w:r>
              <w:rPr>
                <w:rFonts w:hint="eastAsia"/>
                <w:bCs/>
                <w:color w:val="auto"/>
                <w:sz w:val="24"/>
              </w:rPr>
              <w:t>人为因素造成的管道损坏事故主要来自在管近旁或上方进行其它生产活动或建筑时，误挖掘破坏、或交通工具误撞击管线地上部分等造成管涵或阀门等破裂泄漏，继而引起水质污染问题，对供水安全造成威胁。非人为因素造成的管道破裂事故主要为地基变形等引起的输水管线渗漏问题，其发生取决于工程质量，只要在规划设计过程中始终严格按照设计规范的要求，充分考虑工程实际情况，施工单位严格按照设计要求施工，工程运行中加强管理，管道泄漏事故是可以避免的。其次，如果上游一旦突发事件发生后，不及时采取措施，污染物随水体扩散流动，将会很快影响下游，影响入境水质和输水水质。因此，保护好水源地及干渠输水水质，做好突发性污染事故的预警预报工作及事故发生后的应急措施，是应急工程水质管理当中的一项重要任务。</w:t>
            </w:r>
          </w:p>
          <w:p>
            <w:pPr>
              <w:adjustRightInd w:val="0"/>
              <w:spacing w:line="360" w:lineRule="auto"/>
              <w:rPr>
                <w:rFonts w:hint="eastAsia"/>
                <w:color w:val="auto"/>
                <w:sz w:val="24"/>
              </w:rPr>
            </w:pPr>
            <w:r>
              <w:rPr>
                <w:rFonts w:hint="eastAsia"/>
                <w:b/>
                <w:color w:val="auto"/>
                <w:sz w:val="24"/>
              </w:rPr>
              <w:t>5</w:t>
            </w:r>
            <w:r>
              <w:rPr>
                <w:b/>
                <w:color w:val="auto"/>
                <w:sz w:val="24"/>
              </w:rPr>
              <w:t>.</w:t>
            </w:r>
            <w:r>
              <w:rPr>
                <w:rFonts w:hint="eastAsia"/>
                <w:b/>
                <w:color w:val="auto"/>
                <w:sz w:val="24"/>
              </w:rPr>
              <w:t>2</w:t>
            </w:r>
            <w:r>
              <w:rPr>
                <w:b/>
                <w:color w:val="auto"/>
                <w:sz w:val="24"/>
              </w:rPr>
              <w:t xml:space="preserve"> 风险防范措施</w:t>
            </w:r>
          </w:p>
          <w:p>
            <w:pPr>
              <w:spacing w:line="360" w:lineRule="auto"/>
              <w:ind w:firstLine="480" w:firstLineChars="200"/>
              <w:rPr>
                <w:rFonts w:hint="eastAsia"/>
                <w:bCs/>
                <w:color w:val="auto"/>
                <w:sz w:val="24"/>
              </w:rPr>
            </w:pPr>
            <w:r>
              <w:rPr>
                <w:rFonts w:hint="eastAsia"/>
                <w:bCs/>
                <w:color w:val="auto"/>
                <w:sz w:val="24"/>
              </w:rPr>
              <w:t>（1）人为因素造成管道损坏事故的预防措施</w:t>
            </w:r>
          </w:p>
          <w:p>
            <w:pPr>
              <w:spacing w:line="360" w:lineRule="auto"/>
              <w:ind w:firstLine="480" w:firstLineChars="200"/>
              <w:rPr>
                <w:rFonts w:hint="eastAsia"/>
                <w:bCs/>
                <w:color w:val="auto"/>
                <w:sz w:val="24"/>
              </w:rPr>
            </w:pPr>
            <w:r>
              <w:rPr>
                <w:rFonts w:hint="eastAsia" w:ascii="宋体" w:hAnsi="宋体"/>
                <w:bCs/>
                <w:color w:val="auto"/>
                <w:sz w:val="24"/>
              </w:rPr>
              <w:t xml:space="preserve">① </w:t>
            </w:r>
            <w:r>
              <w:rPr>
                <w:rFonts w:hint="eastAsia"/>
                <w:bCs/>
                <w:color w:val="auto"/>
                <w:sz w:val="24"/>
              </w:rPr>
              <w:t>在人口密集、建设频繁、事故多发区域以及临近埋管等区域，埋设警告标示带，降低他人损坏的风险性。</w:t>
            </w:r>
          </w:p>
          <w:p>
            <w:pPr>
              <w:spacing w:line="360" w:lineRule="auto"/>
              <w:ind w:firstLine="480" w:firstLineChars="200"/>
              <w:rPr>
                <w:rFonts w:hint="eastAsia"/>
                <w:bCs/>
                <w:color w:val="auto"/>
                <w:sz w:val="24"/>
              </w:rPr>
            </w:pPr>
            <w:r>
              <w:rPr>
                <w:rFonts w:hint="eastAsia" w:ascii="宋体" w:hAnsi="宋体"/>
                <w:bCs/>
                <w:color w:val="auto"/>
                <w:sz w:val="24"/>
              </w:rPr>
              <w:t xml:space="preserve">② </w:t>
            </w:r>
            <w:r>
              <w:rPr>
                <w:rFonts w:hint="eastAsia"/>
                <w:bCs/>
                <w:color w:val="auto"/>
                <w:sz w:val="24"/>
              </w:rPr>
              <w:t>按规定进行设备维修、保养、更换易损及老化部件，防止跑冒滴漏发生。</w:t>
            </w:r>
          </w:p>
          <w:p>
            <w:pPr>
              <w:spacing w:line="360" w:lineRule="auto"/>
              <w:ind w:firstLine="480" w:firstLineChars="200"/>
              <w:rPr>
                <w:rFonts w:hint="eastAsia"/>
                <w:bCs/>
                <w:color w:val="auto"/>
                <w:sz w:val="24"/>
              </w:rPr>
            </w:pPr>
            <w:r>
              <w:rPr>
                <w:rFonts w:hint="eastAsia" w:ascii="宋体" w:hAnsi="宋体"/>
                <w:bCs/>
                <w:color w:val="auto"/>
                <w:sz w:val="24"/>
              </w:rPr>
              <w:t xml:space="preserve">③ </w:t>
            </w:r>
            <w:r>
              <w:rPr>
                <w:rFonts w:hint="eastAsia"/>
                <w:bCs/>
                <w:color w:val="auto"/>
                <w:sz w:val="24"/>
              </w:rPr>
              <w:t>组织经常性的巡查，确保管道畅通，设施完好，发现损坏时，及时修复。</w:t>
            </w:r>
          </w:p>
          <w:p>
            <w:pPr>
              <w:spacing w:line="360" w:lineRule="auto"/>
              <w:ind w:firstLine="480" w:firstLineChars="200"/>
              <w:rPr>
                <w:rFonts w:hint="eastAsia"/>
                <w:bCs/>
                <w:color w:val="auto"/>
                <w:sz w:val="24"/>
              </w:rPr>
            </w:pPr>
            <w:r>
              <w:rPr>
                <w:rFonts w:hint="eastAsia" w:ascii="宋体" w:hAnsi="宋体"/>
                <w:bCs/>
                <w:color w:val="auto"/>
                <w:sz w:val="24"/>
              </w:rPr>
              <w:t xml:space="preserve">④ </w:t>
            </w:r>
            <w:r>
              <w:rPr>
                <w:rFonts w:hint="eastAsia"/>
                <w:bCs/>
                <w:color w:val="auto"/>
                <w:sz w:val="24"/>
              </w:rPr>
              <w:t>在给水管道建设红线范围内，不得擅自建设一切构筑物，确需建设的，须持规划、建设等部门批准文件到应急供水工程管理机构办理登记手续后方可 施工。</w:t>
            </w:r>
          </w:p>
          <w:p>
            <w:pPr>
              <w:spacing w:line="360" w:lineRule="auto"/>
              <w:ind w:firstLine="480" w:firstLineChars="200"/>
              <w:rPr>
                <w:rFonts w:hint="eastAsia"/>
                <w:bCs/>
                <w:color w:val="auto"/>
                <w:sz w:val="24"/>
              </w:rPr>
            </w:pPr>
            <w:r>
              <w:rPr>
                <w:rFonts w:hint="eastAsia"/>
                <w:bCs/>
                <w:color w:val="auto"/>
                <w:sz w:val="24"/>
              </w:rPr>
              <w:t>（2）突发性水质污染事故的预防对策</w:t>
            </w:r>
          </w:p>
          <w:p>
            <w:pPr>
              <w:spacing w:line="360" w:lineRule="auto"/>
              <w:ind w:firstLine="480" w:firstLineChars="200"/>
              <w:rPr>
                <w:rFonts w:hint="eastAsia"/>
                <w:bCs/>
                <w:color w:val="auto"/>
                <w:sz w:val="24"/>
              </w:rPr>
            </w:pPr>
            <w:r>
              <w:rPr>
                <w:rFonts w:hint="eastAsia" w:ascii="宋体" w:hAnsi="宋体"/>
                <w:bCs/>
                <w:color w:val="auto"/>
                <w:sz w:val="24"/>
              </w:rPr>
              <w:t xml:space="preserve">① </w:t>
            </w:r>
            <w:r>
              <w:rPr>
                <w:rFonts w:hint="eastAsia"/>
                <w:bCs/>
                <w:color w:val="auto"/>
                <w:sz w:val="24"/>
              </w:rPr>
              <w:t>建立在线监测系统，定时上报监测数据；及时发现污染事故，并建立行之有效的通报系统。</w:t>
            </w:r>
          </w:p>
          <w:p>
            <w:pPr>
              <w:spacing w:line="360" w:lineRule="auto"/>
              <w:ind w:firstLine="480" w:firstLineChars="200"/>
              <w:rPr>
                <w:rFonts w:hint="eastAsia"/>
                <w:bCs/>
                <w:color w:val="auto"/>
                <w:sz w:val="24"/>
              </w:rPr>
            </w:pPr>
            <w:r>
              <w:rPr>
                <w:rFonts w:hint="eastAsia" w:ascii="宋体" w:hAnsi="宋体"/>
                <w:bCs/>
                <w:color w:val="auto"/>
                <w:sz w:val="24"/>
              </w:rPr>
              <w:t xml:space="preserve">② </w:t>
            </w:r>
            <w:r>
              <w:rPr>
                <w:rFonts w:hint="eastAsia"/>
                <w:bCs/>
                <w:color w:val="auto"/>
                <w:sz w:val="24"/>
              </w:rPr>
              <w:t>充分利用现代信息技术的新成果，结合管理信息技术、地理信息技术和数据库技术等，开发建设输水工程的水质预警预报系统。</w:t>
            </w:r>
          </w:p>
          <w:p>
            <w:pPr>
              <w:spacing w:line="360" w:lineRule="auto"/>
              <w:ind w:firstLine="480" w:firstLineChars="200"/>
              <w:rPr>
                <w:rFonts w:hint="eastAsia"/>
                <w:bCs/>
                <w:color w:val="auto"/>
                <w:sz w:val="24"/>
              </w:rPr>
            </w:pPr>
            <w:r>
              <w:rPr>
                <w:rFonts w:hint="eastAsia" w:ascii="宋体" w:hAnsi="宋体"/>
                <w:bCs/>
                <w:color w:val="auto"/>
                <w:sz w:val="24"/>
              </w:rPr>
              <w:t xml:space="preserve">③ </w:t>
            </w:r>
            <w:r>
              <w:rPr>
                <w:rFonts w:hint="eastAsia"/>
                <w:bCs/>
                <w:color w:val="auto"/>
                <w:sz w:val="24"/>
              </w:rPr>
              <w:t>管道破裂应急预案</w:t>
            </w:r>
          </w:p>
          <w:p>
            <w:pPr>
              <w:spacing w:line="360" w:lineRule="auto"/>
              <w:ind w:firstLine="480" w:firstLineChars="200"/>
              <w:rPr>
                <w:rFonts w:hint="eastAsia"/>
                <w:bCs/>
                <w:color w:val="auto"/>
                <w:sz w:val="24"/>
              </w:rPr>
            </w:pPr>
            <w:r>
              <w:rPr>
                <w:rFonts w:hint="eastAsia" w:ascii="宋体" w:hAnsi="宋体"/>
                <w:bCs/>
                <w:color w:val="auto"/>
                <w:sz w:val="24"/>
              </w:rPr>
              <w:t>Ⅰ、</w:t>
            </w:r>
            <w:r>
              <w:rPr>
                <w:rFonts w:hint="eastAsia"/>
                <w:bCs/>
                <w:color w:val="auto"/>
                <w:sz w:val="24"/>
              </w:rPr>
              <w:t>制定破裂应急预案，设置预警系统对管道破裂情况进行及时通报。</w:t>
            </w:r>
          </w:p>
          <w:p>
            <w:pPr>
              <w:spacing w:line="360" w:lineRule="auto"/>
              <w:ind w:firstLine="480" w:firstLineChars="200"/>
              <w:rPr>
                <w:rFonts w:hint="eastAsia"/>
                <w:bCs/>
                <w:color w:val="auto"/>
                <w:sz w:val="24"/>
              </w:rPr>
            </w:pPr>
            <w:r>
              <w:rPr>
                <w:rFonts w:hint="eastAsia" w:ascii="宋体" w:hAnsi="宋体"/>
                <w:bCs/>
                <w:color w:val="auto"/>
                <w:sz w:val="24"/>
              </w:rPr>
              <w:t>Ⅱ、</w:t>
            </w:r>
            <w:r>
              <w:rPr>
                <w:rFonts w:hint="eastAsia"/>
                <w:bCs/>
                <w:color w:val="auto"/>
                <w:sz w:val="24"/>
              </w:rPr>
              <w:t>建立管道安全输水保障体系，以便能及时对受损的管道及建筑物进行维 修，尽快恢复正常输水。</w:t>
            </w:r>
          </w:p>
          <w:p>
            <w:pPr>
              <w:spacing w:line="360" w:lineRule="auto"/>
              <w:rPr>
                <w:rFonts w:hint="eastAsia"/>
                <w:color w:val="auto"/>
                <w:sz w:val="24"/>
              </w:rPr>
            </w:pPr>
            <w:r>
              <w:rPr>
                <w:rFonts w:hint="eastAsia"/>
                <w:b/>
                <w:color w:val="auto"/>
                <w:sz w:val="24"/>
              </w:rPr>
              <w:t>6</w:t>
            </w:r>
            <w:r>
              <w:rPr>
                <w:b/>
                <w:color w:val="auto"/>
                <w:sz w:val="24"/>
              </w:rPr>
              <w:t>、</w:t>
            </w:r>
            <w:r>
              <w:rPr>
                <w:rFonts w:hint="eastAsia"/>
                <w:b/>
                <w:color w:val="auto"/>
                <w:sz w:val="24"/>
              </w:rPr>
              <w:t>环保投资</w:t>
            </w:r>
          </w:p>
          <w:p>
            <w:pPr>
              <w:spacing w:line="360" w:lineRule="auto"/>
              <w:ind w:firstLine="480" w:firstLineChars="200"/>
              <w:rPr>
                <w:rFonts w:hint="eastAsia"/>
                <w:bCs/>
                <w:color w:val="auto"/>
                <w:sz w:val="24"/>
              </w:rPr>
            </w:pPr>
            <w:r>
              <w:rPr>
                <w:rFonts w:hint="eastAsia"/>
                <w:bCs/>
                <w:color w:val="auto"/>
                <w:sz w:val="24"/>
              </w:rPr>
              <w:t>本项目总投资26000万元，其中环保投资</w:t>
            </w:r>
            <w:r>
              <w:rPr>
                <w:rFonts w:hint="eastAsia"/>
                <w:bCs/>
                <w:color w:val="auto"/>
                <w:sz w:val="24"/>
                <w:lang w:val="en-US" w:eastAsia="zh-CN"/>
              </w:rPr>
              <w:t>229</w:t>
            </w:r>
            <w:r>
              <w:rPr>
                <w:bCs/>
                <w:color w:val="auto"/>
                <w:sz w:val="24"/>
              </w:rPr>
              <w:t xml:space="preserve"> </w:t>
            </w:r>
            <w:r>
              <w:rPr>
                <w:rFonts w:hint="eastAsia"/>
                <w:bCs/>
                <w:color w:val="auto"/>
                <w:sz w:val="24"/>
              </w:rPr>
              <w:t>万元，占总投资的0.</w:t>
            </w:r>
            <w:r>
              <w:rPr>
                <w:rFonts w:hint="eastAsia"/>
                <w:bCs/>
                <w:color w:val="auto"/>
                <w:sz w:val="24"/>
                <w:lang w:val="en-US" w:eastAsia="zh-CN"/>
              </w:rPr>
              <w:t>88</w:t>
            </w:r>
            <w:r>
              <w:rPr>
                <w:rFonts w:hint="eastAsia"/>
                <w:bCs/>
                <w:color w:val="auto"/>
                <w:sz w:val="24"/>
              </w:rPr>
              <w:t>%，本项目环保投资估算情况见</w:t>
            </w:r>
            <w:r>
              <w:rPr>
                <w:rFonts w:hint="eastAsia"/>
                <w:color w:val="auto"/>
                <w:sz w:val="24"/>
              </w:rPr>
              <w:t>表</w:t>
            </w:r>
            <w:r>
              <w:rPr>
                <w:rFonts w:hint="eastAsia"/>
                <w:color w:val="auto"/>
                <w:sz w:val="24"/>
                <w:lang w:val="en-US" w:eastAsia="zh-CN"/>
              </w:rPr>
              <w:t>39</w:t>
            </w:r>
            <w:r>
              <w:rPr>
                <w:rFonts w:hint="eastAsia"/>
                <w:bCs/>
                <w:color w:val="auto"/>
                <w:sz w:val="24"/>
              </w:rPr>
              <w:t>。</w:t>
            </w:r>
          </w:p>
          <w:p>
            <w:pPr>
              <w:spacing w:line="360" w:lineRule="auto"/>
              <w:jc w:val="center"/>
              <w:rPr>
                <w:rFonts w:hint="eastAsia" w:hAnsi="宋体"/>
                <w:b/>
                <w:color w:val="auto"/>
                <w:spacing w:val="6"/>
                <w:szCs w:val="21"/>
              </w:rPr>
            </w:pPr>
            <w:r>
              <w:rPr>
                <w:rFonts w:hint="eastAsia" w:hAnsi="宋体"/>
                <w:b/>
                <w:color w:val="auto"/>
                <w:spacing w:val="6"/>
                <w:szCs w:val="21"/>
              </w:rPr>
              <w:t>表</w:t>
            </w:r>
            <w:r>
              <w:rPr>
                <w:rFonts w:hint="eastAsia" w:hAnsi="宋体"/>
                <w:b/>
                <w:color w:val="auto"/>
                <w:spacing w:val="6"/>
                <w:szCs w:val="21"/>
                <w:lang w:val="en-US" w:eastAsia="zh-CN"/>
              </w:rPr>
              <w:t>39</w:t>
            </w:r>
            <w:r>
              <w:rPr>
                <w:rFonts w:hint="eastAsia" w:hAnsi="宋体"/>
                <w:b/>
                <w:color w:val="auto"/>
                <w:spacing w:val="6"/>
                <w:szCs w:val="21"/>
              </w:rPr>
              <w:t xml:space="preserve">  本项目环保投资估算一览表</w:t>
            </w:r>
          </w:p>
          <w:tbl>
            <w:tblPr>
              <w:tblStyle w:val="14"/>
              <w:tblW w:w="8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45"/>
              <w:gridCol w:w="1173"/>
              <w:gridCol w:w="1547"/>
              <w:gridCol w:w="1002"/>
              <w:gridCol w:w="3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2018" w:type="dxa"/>
                  <w:gridSpan w:val="2"/>
                  <w:vAlign w:val="center"/>
                </w:tcPr>
                <w:p>
                  <w:pPr>
                    <w:jc w:val="center"/>
                    <w:rPr>
                      <w:rFonts w:hint="eastAsia"/>
                      <w:color w:val="auto"/>
                      <w:szCs w:val="21"/>
                    </w:rPr>
                  </w:pPr>
                  <w:r>
                    <w:rPr>
                      <w:rFonts w:hint="eastAsia"/>
                      <w:color w:val="auto"/>
                      <w:szCs w:val="21"/>
                    </w:rPr>
                    <w:t>项目</w:t>
                  </w:r>
                </w:p>
              </w:tc>
              <w:tc>
                <w:tcPr>
                  <w:tcW w:w="1547" w:type="dxa"/>
                  <w:vAlign w:val="center"/>
                </w:tcPr>
                <w:p>
                  <w:pPr>
                    <w:jc w:val="center"/>
                    <w:rPr>
                      <w:rFonts w:hint="eastAsia"/>
                      <w:color w:val="auto"/>
                      <w:szCs w:val="21"/>
                    </w:rPr>
                  </w:pPr>
                  <w:r>
                    <w:rPr>
                      <w:rFonts w:hint="eastAsia"/>
                      <w:color w:val="auto"/>
                      <w:szCs w:val="21"/>
                    </w:rPr>
                    <w:t>位置</w:t>
                  </w:r>
                </w:p>
              </w:tc>
              <w:tc>
                <w:tcPr>
                  <w:tcW w:w="1002" w:type="dxa"/>
                  <w:vAlign w:val="center"/>
                </w:tcPr>
                <w:p>
                  <w:pPr>
                    <w:jc w:val="center"/>
                    <w:rPr>
                      <w:rFonts w:hint="eastAsia"/>
                      <w:color w:val="auto"/>
                      <w:szCs w:val="21"/>
                    </w:rPr>
                  </w:pPr>
                  <w:r>
                    <w:rPr>
                      <w:rFonts w:hint="eastAsia"/>
                      <w:color w:val="auto"/>
                      <w:szCs w:val="21"/>
                    </w:rPr>
                    <w:t>投资</w:t>
                  </w:r>
                </w:p>
                <w:p>
                  <w:pPr>
                    <w:jc w:val="center"/>
                    <w:rPr>
                      <w:rFonts w:hint="eastAsia"/>
                      <w:color w:val="auto"/>
                      <w:szCs w:val="21"/>
                    </w:rPr>
                  </w:pPr>
                  <w:r>
                    <w:rPr>
                      <w:rFonts w:hint="eastAsia"/>
                      <w:color w:val="auto"/>
                      <w:szCs w:val="21"/>
                    </w:rPr>
                    <w:t>（万元）</w:t>
                  </w:r>
                </w:p>
              </w:tc>
              <w:tc>
                <w:tcPr>
                  <w:tcW w:w="3715" w:type="dxa"/>
                  <w:vAlign w:val="center"/>
                </w:tcPr>
                <w:p>
                  <w:pPr>
                    <w:jc w:val="center"/>
                    <w:rPr>
                      <w:rFonts w:hint="eastAsia"/>
                      <w:color w:val="auto"/>
                      <w:szCs w:val="21"/>
                    </w:rPr>
                  </w:pPr>
                  <w:r>
                    <w:rPr>
                      <w:rFonts w:hint="eastAsia"/>
                      <w:color w:val="auto"/>
                      <w:szCs w:val="21"/>
                    </w:rPr>
                    <w:t>治理措施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restart"/>
                  <w:vAlign w:val="center"/>
                </w:tcPr>
                <w:p>
                  <w:pPr>
                    <w:jc w:val="center"/>
                    <w:rPr>
                      <w:rFonts w:hint="eastAsia"/>
                      <w:color w:val="auto"/>
                      <w:szCs w:val="21"/>
                    </w:rPr>
                  </w:pPr>
                  <w:bookmarkStart w:id="18" w:name="_Hlk308167745"/>
                  <w:r>
                    <w:rPr>
                      <w:rFonts w:hint="eastAsia"/>
                      <w:color w:val="auto"/>
                      <w:szCs w:val="21"/>
                    </w:rPr>
                    <w:t>施工期</w:t>
                  </w:r>
                </w:p>
              </w:tc>
              <w:tc>
                <w:tcPr>
                  <w:tcW w:w="1173" w:type="dxa"/>
                  <w:vAlign w:val="center"/>
                </w:tcPr>
                <w:p>
                  <w:pPr>
                    <w:jc w:val="center"/>
                    <w:rPr>
                      <w:rFonts w:hint="eastAsia"/>
                      <w:color w:val="auto"/>
                      <w:szCs w:val="21"/>
                    </w:rPr>
                  </w:pPr>
                  <w:r>
                    <w:rPr>
                      <w:rFonts w:hint="eastAsia"/>
                      <w:color w:val="auto"/>
                      <w:szCs w:val="21"/>
                    </w:rPr>
                    <w:t>噪声治理</w:t>
                  </w:r>
                </w:p>
              </w:tc>
              <w:tc>
                <w:tcPr>
                  <w:tcW w:w="1547" w:type="dxa"/>
                  <w:vAlign w:val="center"/>
                </w:tcPr>
                <w:p>
                  <w:pPr>
                    <w:jc w:val="center"/>
                    <w:rPr>
                      <w:rFonts w:hint="eastAsia"/>
                      <w:color w:val="auto"/>
                      <w:szCs w:val="21"/>
                    </w:rPr>
                  </w:pPr>
                  <w:r>
                    <w:rPr>
                      <w:rFonts w:hint="eastAsia"/>
                      <w:color w:val="auto"/>
                      <w:szCs w:val="21"/>
                    </w:rPr>
                    <w:t>管道和净水厂的</w:t>
                  </w:r>
                </w:p>
                <w:p>
                  <w:pPr>
                    <w:jc w:val="center"/>
                    <w:rPr>
                      <w:rFonts w:hint="eastAsia"/>
                      <w:color w:val="auto"/>
                      <w:szCs w:val="21"/>
                    </w:rPr>
                  </w:pPr>
                  <w:r>
                    <w:rPr>
                      <w:rFonts w:hint="eastAsia"/>
                      <w:color w:val="auto"/>
                      <w:szCs w:val="21"/>
                    </w:rPr>
                    <w:t>建筑施工场地</w:t>
                  </w: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fldChar w:fldCharType="begin"/>
                  </w:r>
                  <w:r>
                    <w:rPr>
                      <w:rFonts w:hint="eastAsia"/>
                      <w:color w:val="auto"/>
                      <w:szCs w:val="21"/>
                    </w:rPr>
                    <w:instrText xml:space="preserve"> = 1 \* GB3 </w:instrText>
                  </w:r>
                  <w:r>
                    <w:rPr>
                      <w:rFonts w:hint="eastAsia"/>
                      <w:color w:val="auto"/>
                      <w:szCs w:val="21"/>
                    </w:rPr>
                    <w:fldChar w:fldCharType="separate"/>
                  </w:r>
                  <w:r>
                    <w:rPr>
                      <w:rFonts w:hint="eastAsia"/>
                      <w:color w:val="auto"/>
                      <w:szCs w:val="21"/>
                    </w:rPr>
                    <w:t>①</w:t>
                  </w:r>
                  <w:r>
                    <w:rPr>
                      <w:rFonts w:hint="eastAsia"/>
                      <w:color w:val="auto"/>
                      <w:szCs w:val="21"/>
                    </w:rPr>
                    <w:fldChar w:fldCharType="end"/>
                  </w:r>
                  <w:r>
                    <w:rPr>
                      <w:rFonts w:hint="eastAsia"/>
                      <w:color w:val="auto"/>
                      <w:szCs w:val="21"/>
                    </w:rPr>
                    <w:t>选用低噪声设备；</w:t>
                  </w:r>
                  <w:r>
                    <w:rPr>
                      <w:rFonts w:hint="eastAsia"/>
                      <w:color w:val="auto"/>
                      <w:szCs w:val="21"/>
                    </w:rPr>
                    <w:fldChar w:fldCharType="begin"/>
                  </w:r>
                  <w:r>
                    <w:rPr>
                      <w:rFonts w:hint="eastAsia"/>
                      <w:color w:val="auto"/>
                      <w:szCs w:val="21"/>
                    </w:rPr>
                    <w:instrText xml:space="preserve"> = 2 \* GB3 </w:instrText>
                  </w:r>
                  <w:r>
                    <w:rPr>
                      <w:rFonts w:hint="eastAsia"/>
                      <w:color w:val="auto"/>
                      <w:szCs w:val="21"/>
                    </w:rPr>
                    <w:fldChar w:fldCharType="separate"/>
                  </w:r>
                  <w:r>
                    <w:rPr>
                      <w:rFonts w:hint="eastAsia"/>
                      <w:color w:val="auto"/>
                      <w:szCs w:val="21"/>
                    </w:rPr>
                    <w:t>②</w:t>
                  </w:r>
                  <w:r>
                    <w:rPr>
                      <w:rFonts w:hint="eastAsia"/>
                      <w:color w:val="auto"/>
                      <w:szCs w:val="21"/>
                    </w:rPr>
                    <w:fldChar w:fldCharType="end"/>
                  </w:r>
                  <w:r>
                    <w:rPr>
                      <w:rFonts w:hint="eastAsia"/>
                      <w:color w:val="auto"/>
                      <w:szCs w:val="21"/>
                    </w:rPr>
                    <w:t>合理安排施工时间；</w:t>
                  </w:r>
                </w:p>
                <w:p>
                  <w:pPr>
                    <w:jc w:val="center"/>
                    <w:rPr>
                      <w:rFonts w:hint="eastAsia"/>
                      <w:color w:val="auto"/>
                      <w:szCs w:val="21"/>
                    </w:rPr>
                  </w:pPr>
                  <w:r>
                    <w:rPr>
                      <w:rFonts w:hint="eastAsia"/>
                      <w:color w:val="auto"/>
                      <w:szCs w:val="21"/>
                    </w:rPr>
                    <w:fldChar w:fldCharType="begin"/>
                  </w:r>
                  <w:r>
                    <w:rPr>
                      <w:rFonts w:hint="eastAsia"/>
                      <w:color w:val="auto"/>
                      <w:szCs w:val="21"/>
                    </w:rPr>
                    <w:instrText xml:space="preserve"> = 3 \* GB3 </w:instrText>
                  </w:r>
                  <w:r>
                    <w:rPr>
                      <w:rFonts w:hint="eastAsia"/>
                      <w:color w:val="auto"/>
                      <w:szCs w:val="21"/>
                    </w:rPr>
                    <w:fldChar w:fldCharType="separate"/>
                  </w:r>
                  <w:r>
                    <w:rPr>
                      <w:rFonts w:hint="eastAsia"/>
                      <w:color w:val="auto"/>
                      <w:szCs w:val="21"/>
                    </w:rPr>
                    <w:t>③</w:t>
                  </w:r>
                  <w:r>
                    <w:rPr>
                      <w:rFonts w:hint="eastAsia"/>
                      <w:color w:val="auto"/>
                      <w:szCs w:val="21"/>
                    </w:rPr>
                    <w:fldChar w:fldCharType="end"/>
                  </w:r>
                  <w:r>
                    <w:rPr>
                      <w:rFonts w:hint="eastAsia"/>
                      <w:color w:val="auto"/>
                      <w:szCs w:val="21"/>
                    </w:rPr>
                    <w:t>柴油施工设备安装消声器；</w:t>
                  </w:r>
                  <w:r>
                    <w:rPr>
                      <w:rFonts w:hint="eastAsia"/>
                      <w:color w:val="auto"/>
                      <w:szCs w:val="21"/>
                    </w:rPr>
                    <w:fldChar w:fldCharType="begin"/>
                  </w:r>
                  <w:r>
                    <w:rPr>
                      <w:rFonts w:hint="eastAsia"/>
                      <w:color w:val="auto"/>
                      <w:szCs w:val="21"/>
                    </w:rPr>
                    <w:instrText xml:space="preserve"> = 4 \* GB3 </w:instrText>
                  </w:r>
                  <w:r>
                    <w:rPr>
                      <w:rFonts w:hint="eastAsia"/>
                      <w:color w:val="auto"/>
                      <w:szCs w:val="21"/>
                    </w:rPr>
                    <w:fldChar w:fldCharType="separate"/>
                  </w:r>
                  <w:r>
                    <w:rPr>
                      <w:rFonts w:hint="eastAsia"/>
                      <w:color w:val="auto"/>
                      <w:szCs w:val="21"/>
                    </w:rPr>
                    <w:t>④</w:t>
                  </w:r>
                  <w:r>
                    <w:rPr>
                      <w:rFonts w:hint="eastAsia"/>
                      <w:color w:val="auto"/>
                      <w:szCs w:val="21"/>
                    </w:rPr>
                    <w:fldChar w:fldCharType="end"/>
                  </w:r>
                  <w:r>
                    <w:rPr>
                      <w:rFonts w:hint="eastAsia"/>
                      <w:color w:val="auto"/>
                      <w:szCs w:val="21"/>
                    </w:rPr>
                    <w:t>对施工设备进行维修保养；⑤施工场地设噪声监控点。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restart"/>
                  <w:vAlign w:val="center"/>
                </w:tcPr>
                <w:p>
                  <w:pPr>
                    <w:jc w:val="center"/>
                    <w:rPr>
                      <w:rFonts w:hint="eastAsia"/>
                      <w:color w:val="auto"/>
                      <w:szCs w:val="21"/>
                    </w:rPr>
                  </w:pPr>
                  <w:r>
                    <w:rPr>
                      <w:rFonts w:hint="eastAsia"/>
                      <w:color w:val="auto"/>
                      <w:szCs w:val="21"/>
                    </w:rPr>
                    <w:t>扬尘治理</w:t>
                  </w:r>
                </w:p>
              </w:tc>
              <w:tc>
                <w:tcPr>
                  <w:tcW w:w="1547" w:type="dxa"/>
                  <w:vMerge w:val="restart"/>
                  <w:vAlign w:val="center"/>
                </w:tcPr>
                <w:p>
                  <w:pPr>
                    <w:jc w:val="center"/>
                    <w:rPr>
                      <w:rFonts w:hint="eastAsia"/>
                      <w:color w:val="auto"/>
                      <w:szCs w:val="21"/>
                    </w:rPr>
                  </w:pPr>
                  <w:r>
                    <w:rPr>
                      <w:rFonts w:hint="eastAsia"/>
                      <w:color w:val="auto"/>
                      <w:szCs w:val="21"/>
                    </w:rPr>
                    <w:t>管道和净水厂的</w:t>
                  </w:r>
                </w:p>
                <w:p>
                  <w:pPr>
                    <w:jc w:val="center"/>
                    <w:rPr>
                      <w:rFonts w:hint="eastAsia"/>
                      <w:color w:val="auto"/>
                      <w:szCs w:val="21"/>
                    </w:rPr>
                  </w:pPr>
                  <w:r>
                    <w:rPr>
                      <w:rFonts w:hint="eastAsia"/>
                      <w:color w:val="auto"/>
                      <w:szCs w:val="21"/>
                    </w:rPr>
                    <w:t>建筑施工场地</w:t>
                  </w:r>
                </w:p>
              </w:tc>
              <w:tc>
                <w:tcPr>
                  <w:tcW w:w="1002" w:type="dxa"/>
                  <w:vAlign w:val="center"/>
                </w:tcPr>
                <w:p>
                  <w:pPr>
                    <w:jc w:val="center"/>
                    <w:rPr>
                      <w:rFonts w:hint="eastAsia"/>
                      <w:color w:val="auto"/>
                      <w:szCs w:val="21"/>
                    </w:rPr>
                  </w:pPr>
                  <w:r>
                    <w:rPr>
                      <w:rFonts w:hint="eastAsia"/>
                      <w:color w:val="auto"/>
                      <w:szCs w:val="21"/>
                    </w:rPr>
                    <w:t>5</w:t>
                  </w:r>
                </w:p>
              </w:tc>
              <w:tc>
                <w:tcPr>
                  <w:tcW w:w="3715" w:type="dxa"/>
                  <w:vAlign w:val="center"/>
                </w:tcPr>
                <w:p>
                  <w:pPr>
                    <w:jc w:val="center"/>
                    <w:rPr>
                      <w:rFonts w:hint="eastAsia"/>
                      <w:color w:val="auto"/>
                      <w:szCs w:val="21"/>
                    </w:rPr>
                  </w:pPr>
                  <w:r>
                    <w:rPr>
                      <w:rFonts w:hint="eastAsia"/>
                      <w:color w:val="auto"/>
                      <w:szCs w:val="21"/>
                    </w:rPr>
                    <w:t>运输车辆进出口设置车辆冲洗装置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Merge w:val="continue"/>
                  <w:vAlign w:val="center"/>
                </w:tcPr>
                <w:p>
                  <w:pPr>
                    <w:jc w:val="center"/>
                    <w:rPr>
                      <w:rFonts w:hint="eastAsia"/>
                      <w:color w:val="auto"/>
                      <w:szCs w:val="21"/>
                    </w:rPr>
                  </w:pP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t>净水厂主体建筑周围搭建防尘网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Merge w:val="continue"/>
                  <w:vAlign w:val="center"/>
                </w:tcPr>
                <w:p>
                  <w:pPr>
                    <w:jc w:val="center"/>
                    <w:rPr>
                      <w:rFonts w:hint="eastAsia"/>
                      <w:color w:val="auto"/>
                      <w:szCs w:val="21"/>
                    </w:rPr>
                  </w:pPr>
                </w:p>
              </w:tc>
              <w:tc>
                <w:tcPr>
                  <w:tcW w:w="1002" w:type="dxa"/>
                  <w:vAlign w:val="center"/>
                </w:tcPr>
                <w:p>
                  <w:pPr>
                    <w:jc w:val="center"/>
                    <w:rPr>
                      <w:rFonts w:hint="eastAsia"/>
                      <w:color w:val="auto"/>
                      <w:szCs w:val="21"/>
                    </w:rPr>
                  </w:pPr>
                  <w:r>
                    <w:rPr>
                      <w:rFonts w:hint="eastAsia"/>
                      <w:color w:val="auto"/>
                      <w:szCs w:val="21"/>
                    </w:rPr>
                    <w:t>5</w:t>
                  </w:r>
                </w:p>
              </w:tc>
              <w:tc>
                <w:tcPr>
                  <w:tcW w:w="3715" w:type="dxa"/>
                  <w:vAlign w:val="center"/>
                </w:tcPr>
                <w:p>
                  <w:pPr>
                    <w:jc w:val="center"/>
                    <w:rPr>
                      <w:rFonts w:hint="eastAsia"/>
                      <w:color w:val="auto"/>
                      <w:szCs w:val="21"/>
                    </w:rPr>
                  </w:pPr>
                  <w:r>
                    <w:rPr>
                      <w:rFonts w:hint="eastAsia"/>
                      <w:color w:val="auto"/>
                      <w:szCs w:val="21"/>
                    </w:rPr>
                    <w:t>材料覆盖防尘布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Merge w:val="continue"/>
                  <w:vAlign w:val="center"/>
                </w:tcPr>
                <w:p>
                  <w:pPr>
                    <w:jc w:val="center"/>
                    <w:rPr>
                      <w:rFonts w:hint="eastAsia"/>
                      <w:color w:val="auto"/>
                      <w:szCs w:val="21"/>
                    </w:rPr>
                  </w:pP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t>路面水泥硬化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Merge w:val="continue"/>
                  <w:vAlign w:val="center"/>
                </w:tcPr>
                <w:p>
                  <w:pPr>
                    <w:jc w:val="center"/>
                    <w:rPr>
                      <w:rFonts w:hint="eastAsia"/>
                      <w:color w:val="auto"/>
                      <w:szCs w:val="21"/>
                    </w:rPr>
                  </w:pP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t>洒水设施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877" w:hRule="atLeast"/>
              </w:trPr>
              <w:tc>
                <w:tcPr>
                  <w:tcW w:w="845" w:type="dxa"/>
                  <w:vMerge w:val="continue"/>
                  <w:vAlign w:val="center"/>
                </w:tcPr>
                <w:p>
                  <w:pPr>
                    <w:jc w:val="center"/>
                    <w:rPr>
                      <w:rFonts w:hint="eastAsia"/>
                      <w:color w:val="auto"/>
                      <w:szCs w:val="21"/>
                    </w:rPr>
                  </w:pPr>
                </w:p>
              </w:tc>
              <w:tc>
                <w:tcPr>
                  <w:tcW w:w="1173" w:type="dxa"/>
                  <w:vAlign w:val="center"/>
                </w:tcPr>
                <w:p>
                  <w:pPr>
                    <w:jc w:val="center"/>
                    <w:rPr>
                      <w:rFonts w:hint="eastAsia"/>
                      <w:color w:val="auto"/>
                      <w:szCs w:val="21"/>
                    </w:rPr>
                  </w:pPr>
                  <w:r>
                    <w:rPr>
                      <w:rFonts w:hint="eastAsia"/>
                      <w:color w:val="auto"/>
                      <w:szCs w:val="21"/>
                    </w:rPr>
                    <w:t>废水治理</w:t>
                  </w:r>
                </w:p>
              </w:tc>
              <w:tc>
                <w:tcPr>
                  <w:tcW w:w="1547" w:type="dxa"/>
                  <w:vAlign w:val="center"/>
                </w:tcPr>
                <w:p>
                  <w:pPr>
                    <w:jc w:val="center"/>
                    <w:rPr>
                      <w:rFonts w:hint="eastAsia"/>
                      <w:color w:val="auto"/>
                      <w:szCs w:val="21"/>
                    </w:rPr>
                  </w:pPr>
                  <w:r>
                    <w:rPr>
                      <w:rFonts w:hint="eastAsia"/>
                      <w:color w:val="auto"/>
                      <w:szCs w:val="21"/>
                    </w:rPr>
                    <w:t>管道和净水厂的</w:t>
                  </w:r>
                </w:p>
                <w:p>
                  <w:pPr>
                    <w:jc w:val="center"/>
                    <w:rPr>
                      <w:rFonts w:hint="eastAsia"/>
                      <w:color w:val="auto"/>
                      <w:szCs w:val="21"/>
                    </w:rPr>
                  </w:pPr>
                  <w:r>
                    <w:rPr>
                      <w:rFonts w:hint="eastAsia"/>
                      <w:color w:val="auto"/>
                      <w:szCs w:val="21"/>
                    </w:rPr>
                    <w:t>建筑施工场地</w:t>
                  </w: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fldChar w:fldCharType="begin"/>
                  </w:r>
                  <w:r>
                    <w:rPr>
                      <w:rFonts w:hint="eastAsia"/>
                      <w:color w:val="auto"/>
                      <w:szCs w:val="21"/>
                    </w:rPr>
                    <w:instrText xml:space="preserve"> = 1 \* GB3 </w:instrText>
                  </w:r>
                  <w:r>
                    <w:rPr>
                      <w:rFonts w:hint="eastAsia"/>
                      <w:color w:val="auto"/>
                      <w:szCs w:val="21"/>
                    </w:rPr>
                    <w:fldChar w:fldCharType="separate"/>
                  </w:r>
                  <w:r>
                    <w:rPr>
                      <w:rFonts w:hint="eastAsia"/>
                      <w:color w:val="auto"/>
                      <w:szCs w:val="21"/>
                    </w:rPr>
                    <w:t>①</w:t>
                  </w:r>
                  <w:r>
                    <w:rPr>
                      <w:rFonts w:hint="eastAsia"/>
                      <w:color w:val="auto"/>
                      <w:szCs w:val="21"/>
                    </w:rPr>
                    <w:fldChar w:fldCharType="end"/>
                  </w:r>
                  <w:r>
                    <w:rPr>
                      <w:rFonts w:hint="eastAsia"/>
                      <w:color w:val="auto"/>
                      <w:szCs w:val="21"/>
                    </w:rPr>
                    <w:t>设备冲洗水和地表雨水设置沉淀池作为混凝土养护用水和项目区洒水降尘。</w:t>
                  </w:r>
                </w:p>
                <w:p>
                  <w:pPr>
                    <w:jc w:val="center"/>
                    <w:rPr>
                      <w:rFonts w:hint="eastAsia"/>
                      <w:color w:val="auto"/>
                      <w:szCs w:val="21"/>
                    </w:rPr>
                  </w:pPr>
                  <w:r>
                    <w:rPr>
                      <w:rFonts w:hint="eastAsia"/>
                      <w:color w:val="auto"/>
                      <w:szCs w:val="21"/>
                    </w:rPr>
                    <w:fldChar w:fldCharType="begin"/>
                  </w:r>
                  <w:r>
                    <w:rPr>
                      <w:rFonts w:hint="eastAsia"/>
                      <w:color w:val="auto"/>
                      <w:szCs w:val="21"/>
                    </w:rPr>
                    <w:instrText xml:space="preserve"> = 2 \* GB3 </w:instrText>
                  </w:r>
                  <w:r>
                    <w:rPr>
                      <w:rFonts w:hint="eastAsia"/>
                      <w:color w:val="auto"/>
                      <w:szCs w:val="21"/>
                    </w:rPr>
                    <w:fldChar w:fldCharType="separate"/>
                  </w:r>
                  <w:r>
                    <w:rPr>
                      <w:rFonts w:hint="eastAsia"/>
                      <w:color w:val="auto"/>
                      <w:szCs w:val="21"/>
                    </w:rPr>
                    <w:t>②</w:t>
                  </w:r>
                  <w:r>
                    <w:rPr>
                      <w:rFonts w:hint="eastAsia"/>
                      <w:color w:val="auto"/>
                      <w:szCs w:val="21"/>
                    </w:rPr>
                    <w:fldChar w:fldCharType="end"/>
                  </w:r>
                  <w:r>
                    <w:rPr>
                      <w:rFonts w:hint="eastAsia"/>
                      <w:color w:val="auto"/>
                      <w:szCs w:val="21"/>
                    </w:rPr>
                    <w:t>生活污水通过化粪池处理后可用水降尘。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725" w:hRule="atLeast"/>
              </w:trPr>
              <w:tc>
                <w:tcPr>
                  <w:tcW w:w="845" w:type="dxa"/>
                  <w:vMerge w:val="continue"/>
                  <w:vAlign w:val="center"/>
                </w:tcPr>
                <w:p>
                  <w:pPr>
                    <w:jc w:val="center"/>
                    <w:rPr>
                      <w:rFonts w:hint="eastAsia"/>
                      <w:color w:val="auto"/>
                      <w:szCs w:val="21"/>
                    </w:rPr>
                  </w:pPr>
                </w:p>
              </w:tc>
              <w:tc>
                <w:tcPr>
                  <w:tcW w:w="1173" w:type="dxa"/>
                  <w:vAlign w:val="center"/>
                </w:tcPr>
                <w:p>
                  <w:pPr>
                    <w:jc w:val="center"/>
                    <w:rPr>
                      <w:rFonts w:hint="eastAsia"/>
                      <w:color w:val="auto"/>
                      <w:szCs w:val="21"/>
                    </w:rPr>
                  </w:pPr>
                  <w:r>
                    <w:rPr>
                      <w:rFonts w:hint="eastAsia"/>
                      <w:color w:val="auto"/>
                      <w:szCs w:val="21"/>
                    </w:rPr>
                    <w:t>固废处置</w:t>
                  </w:r>
                </w:p>
              </w:tc>
              <w:tc>
                <w:tcPr>
                  <w:tcW w:w="1547" w:type="dxa"/>
                  <w:vAlign w:val="center"/>
                </w:tcPr>
                <w:p>
                  <w:pPr>
                    <w:jc w:val="center"/>
                    <w:rPr>
                      <w:rFonts w:hint="eastAsia"/>
                      <w:color w:val="auto"/>
                      <w:szCs w:val="21"/>
                    </w:rPr>
                  </w:pPr>
                  <w:r>
                    <w:rPr>
                      <w:rFonts w:hint="eastAsia"/>
                      <w:color w:val="auto"/>
                      <w:szCs w:val="21"/>
                    </w:rPr>
                    <w:t>管道和净水厂的</w:t>
                  </w:r>
                </w:p>
                <w:p>
                  <w:pPr>
                    <w:jc w:val="center"/>
                    <w:rPr>
                      <w:rFonts w:hint="eastAsia"/>
                      <w:color w:val="auto"/>
                      <w:szCs w:val="21"/>
                    </w:rPr>
                  </w:pPr>
                  <w:r>
                    <w:rPr>
                      <w:rFonts w:hint="eastAsia"/>
                      <w:color w:val="auto"/>
                      <w:szCs w:val="21"/>
                    </w:rPr>
                    <w:t>建筑施工场地</w:t>
                  </w: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fldChar w:fldCharType="begin"/>
                  </w:r>
                  <w:r>
                    <w:rPr>
                      <w:rFonts w:hint="eastAsia"/>
                      <w:color w:val="auto"/>
                      <w:szCs w:val="21"/>
                    </w:rPr>
                    <w:instrText xml:space="preserve"> = 1 \* GB3 </w:instrText>
                  </w:r>
                  <w:r>
                    <w:rPr>
                      <w:rFonts w:hint="eastAsia"/>
                      <w:color w:val="auto"/>
                      <w:szCs w:val="21"/>
                    </w:rPr>
                    <w:fldChar w:fldCharType="separate"/>
                  </w:r>
                  <w:r>
                    <w:rPr>
                      <w:rFonts w:hint="eastAsia"/>
                      <w:color w:val="auto"/>
                      <w:szCs w:val="21"/>
                    </w:rPr>
                    <w:t>①</w:t>
                  </w:r>
                  <w:r>
                    <w:rPr>
                      <w:rFonts w:hint="eastAsia"/>
                      <w:color w:val="auto"/>
                      <w:szCs w:val="21"/>
                    </w:rPr>
                    <w:fldChar w:fldCharType="end"/>
                  </w:r>
                  <w:r>
                    <w:rPr>
                      <w:rFonts w:hint="eastAsia"/>
                      <w:color w:val="auto"/>
                      <w:szCs w:val="21"/>
                    </w:rPr>
                    <w:t>弃土运至平江县渣土办公室部门指定场地；</w:t>
                  </w:r>
                  <w:r>
                    <w:rPr>
                      <w:rFonts w:hint="eastAsia"/>
                      <w:color w:val="auto"/>
                      <w:szCs w:val="21"/>
                    </w:rPr>
                    <w:fldChar w:fldCharType="begin"/>
                  </w:r>
                  <w:r>
                    <w:rPr>
                      <w:rFonts w:hint="eastAsia"/>
                      <w:color w:val="auto"/>
                      <w:szCs w:val="21"/>
                    </w:rPr>
                    <w:instrText xml:space="preserve"> = 2 \* GB3 </w:instrText>
                  </w:r>
                  <w:r>
                    <w:rPr>
                      <w:rFonts w:hint="eastAsia"/>
                      <w:color w:val="auto"/>
                      <w:szCs w:val="21"/>
                    </w:rPr>
                    <w:fldChar w:fldCharType="separate"/>
                  </w:r>
                  <w:r>
                    <w:rPr>
                      <w:rFonts w:hint="eastAsia"/>
                      <w:color w:val="auto"/>
                      <w:szCs w:val="21"/>
                    </w:rPr>
                    <w:t>②</w:t>
                  </w:r>
                  <w:r>
                    <w:rPr>
                      <w:rFonts w:hint="eastAsia"/>
                      <w:color w:val="auto"/>
                      <w:szCs w:val="21"/>
                    </w:rPr>
                    <w:fldChar w:fldCharType="end"/>
                  </w:r>
                  <w:r>
                    <w:rPr>
                      <w:rFonts w:hint="eastAsia"/>
                      <w:color w:val="auto"/>
                      <w:szCs w:val="21"/>
                    </w:rPr>
                    <w:t>由运输车按照渣土办规定路线，严禁超载超速；</w:t>
                  </w:r>
                  <w:r>
                    <w:rPr>
                      <w:rFonts w:hint="eastAsia"/>
                      <w:color w:val="auto"/>
                      <w:szCs w:val="21"/>
                    </w:rPr>
                    <w:fldChar w:fldCharType="begin"/>
                  </w:r>
                  <w:r>
                    <w:rPr>
                      <w:rFonts w:hint="eastAsia"/>
                      <w:color w:val="auto"/>
                      <w:szCs w:val="21"/>
                    </w:rPr>
                    <w:instrText xml:space="preserve"> = 3 \* GB3 </w:instrText>
                  </w:r>
                  <w:r>
                    <w:rPr>
                      <w:rFonts w:hint="eastAsia"/>
                      <w:color w:val="auto"/>
                      <w:szCs w:val="21"/>
                    </w:rPr>
                    <w:fldChar w:fldCharType="separate"/>
                  </w:r>
                  <w:r>
                    <w:rPr>
                      <w:rFonts w:hint="eastAsia"/>
                      <w:color w:val="auto"/>
                      <w:szCs w:val="21"/>
                    </w:rPr>
                    <w:t>③</w:t>
                  </w:r>
                  <w:r>
                    <w:rPr>
                      <w:rFonts w:hint="eastAsia"/>
                      <w:color w:val="auto"/>
                      <w:szCs w:val="21"/>
                    </w:rPr>
                    <w:fldChar w:fldCharType="end"/>
                  </w:r>
                  <w:r>
                    <w:rPr>
                      <w:rFonts w:hint="eastAsia"/>
                      <w:color w:val="auto"/>
                      <w:szCs w:val="21"/>
                    </w:rPr>
                    <w:t>生活垃圾集中收集后送垃圾填埋场处置。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restart"/>
                  <w:vAlign w:val="center"/>
                </w:tcPr>
                <w:p>
                  <w:pPr>
                    <w:jc w:val="center"/>
                    <w:rPr>
                      <w:rFonts w:hint="eastAsia"/>
                      <w:color w:val="auto"/>
                      <w:szCs w:val="21"/>
                    </w:rPr>
                  </w:pPr>
                  <w:r>
                    <w:rPr>
                      <w:rFonts w:hint="eastAsia"/>
                      <w:color w:val="auto"/>
                      <w:szCs w:val="21"/>
                    </w:rPr>
                    <w:t>营运期</w:t>
                  </w:r>
                </w:p>
              </w:tc>
              <w:tc>
                <w:tcPr>
                  <w:tcW w:w="1173" w:type="dxa"/>
                  <w:vMerge w:val="restart"/>
                  <w:vAlign w:val="center"/>
                </w:tcPr>
                <w:p>
                  <w:pPr>
                    <w:jc w:val="center"/>
                    <w:rPr>
                      <w:rFonts w:hint="eastAsia"/>
                      <w:color w:val="auto"/>
                      <w:szCs w:val="21"/>
                    </w:rPr>
                  </w:pPr>
                  <w:r>
                    <w:rPr>
                      <w:rFonts w:hint="eastAsia"/>
                      <w:color w:val="auto"/>
                      <w:szCs w:val="21"/>
                    </w:rPr>
                    <w:t>废气净化</w:t>
                  </w:r>
                </w:p>
              </w:tc>
              <w:tc>
                <w:tcPr>
                  <w:tcW w:w="1547" w:type="dxa"/>
                  <w:vAlign w:val="center"/>
                </w:tcPr>
                <w:p>
                  <w:pPr>
                    <w:jc w:val="center"/>
                    <w:rPr>
                      <w:rFonts w:hint="eastAsia"/>
                      <w:color w:val="auto"/>
                      <w:szCs w:val="21"/>
                    </w:rPr>
                  </w:pPr>
                  <w:r>
                    <w:rPr>
                      <w:rFonts w:hint="eastAsia"/>
                      <w:color w:val="auto"/>
                      <w:szCs w:val="21"/>
                    </w:rPr>
                    <w:t>净水厂加药间</w:t>
                  </w:r>
                </w:p>
              </w:tc>
              <w:tc>
                <w:tcPr>
                  <w:tcW w:w="1002" w:type="dxa"/>
                  <w:tcBorders>
                    <w:bottom w:val="single" w:color="auto" w:sz="4" w:space="0"/>
                  </w:tcBorders>
                  <w:vAlign w:val="center"/>
                </w:tcPr>
                <w:p>
                  <w:pPr>
                    <w:jc w:val="center"/>
                    <w:rPr>
                      <w:rFonts w:hint="eastAsia"/>
                      <w:color w:val="auto"/>
                      <w:szCs w:val="21"/>
                    </w:rPr>
                  </w:pPr>
                  <w:r>
                    <w:rPr>
                      <w:rFonts w:hint="eastAsia"/>
                      <w:color w:val="auto"/>
                      <w:szCs w:val="21"/>
                    </w:rPr>
                    <w:t>5</w:t>
                  </w:r>
                </w:p>
              </w:tc>
              <w:tc>
                <w:tcPr>
                  <w:tcW w:w="3715" w:type="dxa"/>
                  <w:vAlign w:val="center"/>
                </w:tcPr>
                <w:p>
                  <w:pPr>
                    <w:jc w:val="center"/>
                    <w:rPr>
                      <w:rFonts w:hint="eastAsia"/>
                      <w:color w:val="auto"/>
                      <w:szCs w:val="21"/>
                    </w:rPr>
                  </w:pPr>
                  <w:r>
                    <w:rPr>
                      <w:rFonts w:hint="eastAsia"/>
                      <w:color w:val="auto"/>
                      <w:szCs w:val="21"/>
                    </w:rPr>
                    <w:t>将强通风，防治跑冒漏滴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77"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Align w:val="center"/>
                </w:tcPr>
                <w:p>
                  <w:pPr>
                    <w:jc w:val="center"/>
                    <w:rPr>
                      <w:rFonts w:hint="eastAsia"/>
                      <w:color w:val="auto"/>
                      <w:szCs w:val="21"/>
                    </w:rPr>
                  </w:pPr>
                  <w:r>
                    <w:rPr>
                      <w:rFonts w:hint="eastAsia"/>
                      <w:color w:val="auto"/>
                      <w:szCs w:val="21"/>
                    </w:rPr>
                    <w:t>综合楼</w:t>
                  </w:r>
                </w:p>
              </w:tc>
              <w:tc>
                <w:tcPr>
                  <w:tcW w:w="1002" w:type="dxa"/>
                  <w:tcBorders>
                    <w:top w:val="single" w:color="auto" w:sz="4" w:space="0"/>
                  </w:tcBorders>
                  <w:vAlign w:val="center"/>
                </w:tcPr>
                <w:p>
                  <w:pPr>
                    <w:jc w:val="center"/>
                    <w:rPr>
                      <w:rFonts w:hint="eastAsia"/>
                      <w:color w:val="auto"/>
                      <w:szCs w:val="21"/>
                    </w:rPr>
                  </w:pPr>
                  <w:r>
                    <w:rPr>
                      <w:rFonts w:hint="eastAsia"/>
                      <w:color w:val="auto"/>
                      <w:szCs w:val="21"/>
                    </w:rPr>
                    <w:t>2</w:t>
                  </w:r>
                </w:p>
              </w:tc>
              <w:tc>
                <w:tcPr>
                  <w:tcW w:w="3715" w:type="dxa"/>
                  <w:vAlign w:val="center"/>
                </w:tcPr>
                <w:p>
                  <w:pPr>
                    <w:jc w:val="center"/>
                    <w:rPr>
                      <w:rFonts w:hint="eastAsia"/>
                      <w:color w:val="auto"/>
                      <w:szCs w:val="21"/>
                    </w:rPr>
                  </w:pPr>
                  <w:r>
                    <w:rPr>
                      <w:rFonts w:hint="eastAsia"/>
                      <w:color w:val="auto"/>
                      <w:szCs w:val="21"/>
                    </w:rPr>
                    <w:t>楼顶的西南角，主导风向下风向设置发电机专用烟气管道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restart"/>
                  <w:vAlign w:val="center"/>
                </w:tcPr>
                <w:p>
                  <w:pPr>
                    <w:jc w:val="center"/>
                    <w:rPr>
                      <w:rFonts w:hint="eastAsia"/>
                      <w:color w:val="auto"/>
                      <w:szCs w:val="21"/>
                    </w:rPr>
                  </w:pPr>
                  <w:r>
                    <w:rPr>
                      <w:rFonts w:hint="eastAsia"/>
                      <w:color w:val="auto"/>
                      <w:szCs w:val="21"/>
                    </w:rPr>
                    <w:t>废水处理</w:t>
                  </w:r>
                </w:p>
              </w:tc>
              <w:tc>
                <w:tcPr>
                  <w:tcW w:w="1547" w:type="dxa"/>
                  <w:vAlign w:val="center"/>
                </w:tcPr>
                <w:p>
                  <w:pPr>
                    <w:jc w:val="center"/>
                    <w:rPr>
                      <w:rFonts w:hint="eastAsia"/>
                      <w:color w:val="auto"/>
                      <w:szCs w:val="21"/>
                    </w:rPr>
                  </w:pPr>
                  <w:r>
                    <w:rPr>
                      <w:rFonts w:hint="eastAsia"/>
                      <w:color w:val="auto"/>
                      <w:szCs w:val="21"/>
                    </w:rPr>
                    <w:t>净水厂内</w:t>
                  </w:r>
                </w:p>
              </w:tc>
              <w:tc>
                <w:tcPr>
                  <w:tcW w:w="1002" w:type="dxa"/>
                  <w:vAlign w:val="center"/>
                </w:tcPr>
                <w:p>
                  <w:pPr>
                    <w:jc w:val="center"/>
                    <w:rPr>
                      <w:rFonts w:hint="eastAsia"/>
                      <w:color w:val="auto"/>
                      <w:szCs w:val="21"/>
                    </w:rPr>
                  </w:pPr>
                  <w:r>
                    <w:rPr>
                      <w:rFonts w:hint="eastAsia"/>
                      <w:color w:val="auto"/>
                      <w:szCs w:val="21"/>
                    </w:rPr>
                    <w:t>2</w:t>
                  </w:r>
                </w:p>
              </w:tc>
              <w:tc>
                <w:tcPr>
                  <w:tcW w:w="3715" w:type="dxa"/>
                  <w:vAlign w:val="center"/>
                </w:tcPr>
                <w:p>
                  <w:pPr>
                    <w:jc w:val="center"/>
                    <w:rPr>
                      <w:rFonts w:hint="eastAsia"/>
                      <w:color w:val="auto"/>
                      <w:szCs w:val="21"/>
                    </w:rPr>
                  </w:pPr>
                  <w:r>
                    <w:rPr>
                      <w:rFonts w:hint="eastAsia"/>
                      <w:color w:val="auto"/>
                      <w:szCs w:val="21"/>
                    </w:rPr>
                    <w:t>生活污水经隔油池、化粪池处理后用于周边农肥，不外排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Align w:val="center"/>
                </w:tcPr>
                <w:p>
                  <w:pPr>
                    <w:jc w:val="center"/>
                    <w:rPr>
                      <w:rFonts w:hint="eastAsia"/>
                      <w:color w:val="auto"/>
                      <w:szCs w:val="21"/>
                    </w:rPr>
                  </w:pPr>
                  <w:r>
                    <w:rPr>
                      <w:rFonts w:hint="eastAsia"/>
                      <w:color w:val="auto"/>
                      <w:szCs w:val="21"/>
                    </w:rPr>
                    <w:t>净水厂内</w:t>
                  </w:r>
                </w:p>
              </w:tc>
              <w:tc>
                <w:tcPr>
                  <w:tcW w:w="1002" w:type="dxa"/>
                  <w:vAlign w:val="center"/>
                </w:tcPr>
                <w:p>
                  <w:pPr>
                    <w:jc w:val="center"/>
                    <w:rPr>
                      <w:rFonts w:hint="eastAsia"/>
                      <w:color w:val="auto"/>
                      <w:szCs w:val="21"/>
                    </w:rPr>
                  </w:pPr>
                  <w:r>
                    <w:rPr>
                      <w:rFonts w:hint="eastAsia"/>
                      <w:color w:val="auto"/>
                      <w:szCs w:val="21"/>
                    </w:rPr>
                    <w:t>20</w:t>
                  </w:r>
                </w:p>
              </w:tc>
              <w:tc>
                <w:tcPr>
                  <w:tcW w:w="3715" w:type="dxa"/>
                  <w:vAlign w:val="center"/>
                </w:tcPr>
                <w:p>
                  <w:pPr>
                    <w:jc w:val="center"/>
                    <w:rPr>
                      <w:rFonts w:hint="eastAsia"/>
                      <w:color w:val="auto"/>
                      <w:szCs w:val="21"/>
                    </w:rPr>
                  </w:pPr>
                  <w:r>
                    <w:rPr>
                      <w:rFonts w:hint="eastAsia"/>
                      <w:color w:val="auto"/>
                      <w:szCs w:val="21"/>
                    </w:rPr>
                    <w:t>生产污水经沉底处理达标后排入黄金河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Merge w:val="continue"/>
                  <w:vAlign w:val="center"/>
                </w:tcPr>
                <w:p>
                  <w:pPr>
                    <w:jc w:val="center"/>
                    <w:rPr>
                      <w:rFonts w:hint="eastAsia"/>
                      <w:color w:val="auto"/>
                      <w:szCs w:val="21"/>
                    </w:rPr>
                  </w:pPr>
                </w:p>
              </w:tc>
              <w:tc>
                <w:tcPr>
                  <w:tcW w:w="1547" w:type="dxa"/>
                  <w:vAlign w:val="center"/>
                </w:tcPr>
                <w:p>
                  <w:pPr>
                    <w:jc w:val="center"/>
                    <w:rPr>
                      <w:rFonts w:hint="eastAsia"/>
                      <w:color w:val="auto"/>
                      <w:szCs w:val="21"/>
                    </w:rPr>
                  </w:pPr>
                  <w:r>
                    <w:rPr>
                      <w:rFonts w:hint="eastAsia"/>
                      <w:color w:val="auto"/>
                      <w:szCs w:val="21"/>
                    </w:rPr>
                    <w:t>净水厂内</w:t>
                  </w:r>
                </w:p>
              </w:tc>
              <w:tc>
                <w:tcPr>
                  <w:tcW w:w="1002" w:type="dxa"/>
                  <w:vAlign w:val="center"/>
                </w:tcPr>
                <w:p>
                  <w:pPr>
                    <w:jc w:val="center"/>
                    <w:rPr>
                      <w:rFonts w:hint="eastAsia"/>
                      <w:color w:val="auto"/>
                      <w:szCs w:val="21"/>
                    </w:rPr>
                  </w:pPr>
                  <w:r>
                    <w:rPr>
                      <w:rFonts w:hint="eastAsia"/>
                      <w:color w:val="auto"/>
                      <w:szCs w:val="21"/>
                    </w:rPr>
                    <w:t>20</w:t>
                  </w:r>
                </w:p>
              </w:tc>
              <w:tc>
                <w:tcPr>
                  <w:tcW w:w="3715" w:type="dxa"/>
                  <w:vAlign w:val="center"/>
                </w:tcPr>
                <w:p>
                  <w:pPr>
                    <w:jc w:val="center"/>
                    <w:rPr>
                      <w:rFonts w:hint="eastAsia"/>
                      <w:color w:val="auto"/>
                      <w:szCs w:val="21"/>
                    </w:rPr>
                  </w:pPr>
                  <w:r>
                    <w:rPr>
                      <w:rFonts w:hint="eastAsia"/>
                      <w:color w:val="auto"/>
                      <w:szCs w:val="21"/>
                    </w:rPr>
                    <w:t>雨、污水管网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Align w:val="center"/>
                </w:tcPr>
                <w:p>
                  <w:pPr>
                    <w:jc w:val="center"/>
                    <w:rPr>
                      <w:rFonts w:hint="eastAsia"/>
                      <w:color w:val="auto"/>
                      <w:szCs w:val="21"/>
                    </w:rPr>
                  </w:pPr>
                  <w:r>
                    <w:rPr>
                      <w:rFonts w:hint="eastAsia"/>
                      <w:color w:val="auto"/>
                      <w:szCs w:val="21"/>
                    </w:rPr>
                    <w:t>固废处置</w:t>
                  </w:r>
                </w:p>
              </w:tc>
              <w:tc>
                <w:tcPr>
                  <w:tcW w:w="1547" w:type="dxa"/>
                  <w:vAlign w:val="center"/>
                </w:tcPr>
                <w:p>
                  <w:pPr>
                    <w:jc w:val="center"/>
                    <w:rPr>
                      <w:rFonts w:hint="eastAsia"/>
                      <w:color w:val="auto"/>
                      <w:szCs w:val="21"/>
                    </w:rPr>
                  </w:pPr>
                  <w:r>
                    <w:rPr>
                      <w:rFonts w:hint="eastAsia"/>
                      <w:color w:val="auto"/>
                      <w:szCs w:val="21"/>
                    </w:rPr>
                    <w:t>净水厂内</w:t>
                  </w:r>
                </w:p>
              </w:tc>
              <w:tc>
                <w:tcPr>
                  <w:tcW w:w="1002" w:type="dxa"/>
                  <w:vAlign w:val="center"/>
                </w:tcPr>
                <w:p>
                  <w:pPr>
                    <w:jc w:val="center"/>
                    <w:rPr>
                      <w:rFonts w:hint="eastAsia"/>
                      <w:color w:val="auto"/>
                      <w:szCs w:val="21"/>
                    </w:rPr>
                  </w:pPr>
                  <w:r>
                    <w:rPr>
                      <w:rFonts w:hint="eastAsia"/>
                      <w:color w:val="auto"/>
                      <w:szCs w:val="21"/>
                    </w:rPr>
                    <w:t>30</w:t>
                  </w:r>
                </w:p>
              </w:tc>
              <w:tc>
                <w:tcPr>
                  <w:tcW w:w="3715" w:type="dxa"/>
                  <w:vAlign w:val="center"/>
                </w:tcPr>
                <w:p>
                  <w:pPr>
                    <w:jc w:val="center"/>
                    <w:rPr>
                      <w:rFonts w:hint="eastAsia"/>
                      <w:color w:val="auto"/>
                      <w:szCs w:val="21"/>
                    </w:rPr>
                  </w:pPr>
                  <w:r>
                    <w:rPr>
                      <w:rFonts w:hint="eastAsia"/>
                      <w:color w:val="auto"/>
                      <w:szCs w:val="21"/>
                    </w:rPr>
                    <w:t>垃圾收集桶、厂区污泥清运填埋、危废处理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845" w:type="dxa"/>
                  <w:vMerge w:val="continue"/>
                  <w:vAlign w:val="center"/>
                </w:tcPr>
                <w:p>
                  <w:pPr>
                    <w:jc w:val="center"/>
                    <w:rPr>
                      <w:rFonts w:hint="eastAsia"/>
                      <w:color w:val="auto"/>
                      <w:szCs w:val="21"/>
                    </w:rPr>
                  </w:pPr>
                </w:p>
              </w:tc>
              <w:tc>
                <w:tcPr>
                  <w:tcW w:w="1173" w:type="dxa"/>
                  <w:vAlign w:val="center"/>
                </w:tcPr>
                <w:p>
                  <w:pPr>
                    <w:jc w:val="center"/>
                    <w:rPr>
                      <w:rFonts w:hint="eastAsia"/>
                      <w:color w:val="auto"/>
                      <w:szCs w:val="21"/>
                    </w:rPr>
                  </w:pPr>
                  <w:r>
                    <w:rPr>
                      <w:rFonts w:hint="eastAsia"/>
                      <w:color w:val="auto"/>
                      <w:szCs w:val="21"/>
                    </w:rPr>
                    <w:t>噪声治理</w:t>
                  </w:r>
                </w:p>
              </w:tc>
              <w:tc>
                <w:tcPr>
                  <w:tcW w:w="1547" w:type="dxa"/>
                  <w:vAlign w:val="center"/>
                </w:tcPr>
                <w:p>
                  <w:pPr>
                    <w:jc w:val="center"/>
                    <w:rPr>
                      <w:rFonts w:hint="eastAsia"/>
                      <w:color w:val="auto"/>
                      <w:szCs w:val="21"/>
                    </w:rPr>
                  </w:pPr>
                  <w:r>
                    <w:rPr>
                      <w:rFonts w:hint="eastAsia"/>
                      <w:color w:val="auto"/>
                      <w:szCs w:val="21"/>
                    </w:rPr>
                    <w:t>净水厂设备房</w:t>
                  </w:r>
                </w:p>
              </w:tc>
              <w:tc>
                <w:tcPr>
                  <w:tcW w:w="1002" w:type="dxa"/>
                  <w:vAlign w:val="center"/>
                </w:tcPr>
                <w:p>
                  <w:pPr>
                    <w:jc w:val="center"/>
                    <w:rPr>
                      <w:rFonts w:hint="eastAsia"/>
                      <w:color w:val="auto"/>
                      <w:szCs w:val="21"/>
                    </w:rPr>
                  </w:pPr>
                  <w:r>
                    <w:rPr>
                      <w:rFonts w:hint="eastAsia"/>
                      <w:color w:val="auto"/>
                      <w:szCs w:val="21"/>
                    </w:rPr>
                    <w:t>10</w:t>
                  </w:r>
                </w:p>
              </w:tc>
              <w:tc>
                <w:tcPr>
                  <w:tcW w:w="3715" w:type="dxa"/>
                  <w:vAlign w:val="center"/>
                </w:tcPr>
                <w:p>
                  <w:pPr>
                    <w:jc w:val="center"/>
                    <w:rPr>
                      <w:rFonts w:hint="eastAsia"/>
                      <w:color w:val="auto"/>
                      <w:szCs w:val="21"/>
                    </w:rPr>
                  </w:pPr>
                  <w:r>
                    <w:rPr>
                      <w:rFonts w:hint="eastAsia"/>
                      <w:color w:val="auto"/>
                      <w:szCs w:val="21"/>
                    </w:rPr>
                    <w:t>噪声源采取隔声、减振、消声等降噪措施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2018" w:type="dxa"/>
                  <w:gridSpan w:val="2"/>
                  <w:vAlign w:val="center"/>
                </w:tcPr>
                <w:p>
                  <w:pPr>
                    <w:jc w:val="center"/>
                    <w:rPr>
                      <w:rFonts w:hint="eastAsia"/>
                      <w:color w:val="auto"/>
                      <w:szCs w:val="21"/>
                    </w:rPr>
                  </w:pPr>
                  <w:r>
                    <w:rPr>
                      <w:rFonts w:hint="eastAsia"/>
                      <w:color w:val="auto"/>
                      <w:szCs w:val="21"/>
                    </w:rPr>
                    <w:t>绿化</w:t>
                  </w:r>
                </w:p>
              </w:tc>
              <w:tc>
                <w:tcPr>
                  <w:tcW w:w="1547" w:type="dxa"/>
                  <w:vAlign w:val="center"/>
                </w:tcPr>
                <w:p>
                  <w:pPr>
                    <w:jc w:val="center"/>
                    <w:rPr>
                      <w:rFonts w:hint="eastAsia"/>
                      <w:color w:val="auto"/>
                      <w:szCs w:val="21"/>
                    </w:rPr>
                  </w:pPr>
                  <w:r>
                    <w:rPr>
                      <w:rFonts w:hint="eastAsia"/>
                      <w:color w:val="auto"/>
                      <w:szCs w:val="21"/>
                    </w:rPr>
                    <w:t>管网沿线植被恢复，净水厂内</w:t>
                  </w:r>
                </w:p>
              </w:tc>
              <w:tc>
                <w:tcPr>
                  <w:tcW w:w="1002" w:type="dxa"/>
                  <w:vAlign w:val="center"/>
                </w:tcPr>
                <w:p>
                  <w:pPr>
                    <w:jc w:val="center"/>
                    <w:rPr>
                      <w:rFonts w:hint="eastAsia"/>
                      <w:color w:val="auto"/>
                      <w:szCs w:val="21"/>
                    </w:rPr>
                  </w:pPr>
                  <w:r>
                    <w:rPr>
                      <w:rFonts w:hint="eastAsia"/>
                      <w:color w:val="auto"/>
                      <w:szCs w:val="21"/>
                    </w:rPr>
                    <w:t>50</w:t>
                  </w:r>
                </w:p>
              </w:tc>
              <w:tc>
                <w:tcPr>
                  <w:tcW w:w="3715" w:type="dxa"/>
                  <w:vAlign w:val="center"/>
                </w:tcPr>
                <w:p>
                  <w:pPr>
                    <w:jc w:val="center"/>
                    <w:rPr>
                      <w:rFonts w:hint="eastAsia"/>
                      <w:color w:val="auto"/>
                      <w:szCs w:val="21"/>
                    </w:rPr>
                  </w:pPr>
                  <w:r>
                    <w:rPr>
                      <w:rFonts w:hint="eastAsia"/>
                      <w:color w:val="auto"/>
                      <w:szCs w:val="21"/>
                    </w:rPr>
                    <w:t>乔、灌、草合理配置，绿地率</w:t>
                  </w:r>
                  <w:r>
                    <w:rPr>
                      <w:rFonts w:hint="eastAsia"/>
                      <w:color w:val="auto"/>
                      <w:szCs w:val="21"/>
                      <w:lang w:val="en-US" w:eastAsia="zh-CN"/>
                    </w:rPr>
                    <w:t>28.87</w:t>
                  </w:r>
                  <w:r>
                    <w:rPr>
                      <w:rFonts w:hint="eastAsia"/>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3565" w:type="dxa"/>
                  <w:gridSpan w:val="3"/>
                  <w:vAlign w:val="center"/>
                </w:tcPr>
                <w:p>
                  <w:pPr>
                    <w:jc w:val="center"/>
                    <w:rPr>
                      <w:rFonts w:hint="eastAsia"/>
                      <w:color w:val="auto"/>
                      <w:szCs w:val="21"/>
                    </w:rPr>
                  </w:pPr>
                  <w:r>
                    <w:rPr>
                      <w:rFonts w:hint="eastAsia"/>
                      <w:color w:val="auto"/>
                      <w:szCs w:val="21"/>
                    </w:rPr>
                    <w:t>水土保持</w:t>
                  </w:r>
                </w:p>
              </w:tc>
              <w:tc>
                <w:tcPr>
                  <w:tcW w:w="1002" w:type="dxa"/>
                  <w:vAlign w:val="center"/>
                </w:tcPr>
                <w:p>
                  <w:pPr>
                    <w:jc w:val="center"/>
                    <w:rPr>
                      <w:rFonts w:hint="eastAsia"/>
                      <w:color w:val="auto"/>
                      <w:szCs w:val="21"/>
                    </w:rPr>
                  </w:pPr>
                  <w:r>
                    <w:rPr>
                      <w:rFonts w:hint="eastAsia"/>
                      <w:color w:val="auto"/>
                      <w:szCs w:val="21"/>
                    </w:rPr>
                    <w:t>20</w:t>
                  </w:r>
                </w:p>
              </w:tc>
              <w:tc>
                <w:tcPr>
                  <w:tcW w:w="3715" w:type="dxa"/>
                  <w:vAlign w:val="center"/>
                </w:tcPr>
                <w:p>
                  <w:pPr>
                    <w:jc w:val="center"/>
                    <w:rPr>
                      <w:rFonts w:hint="eastAsia"/>
                      <w:color w:val="auto"/>
                      <w:szCs w:val="21"/>
                    </w:rPr>
                  </w:pPr>
                  <w:r>
                    <w:rPr>
                      <w:rFonts w:hint="eastAsia"/>
                      <w:color w:val="auto"/>
                      <w:szCs w:val="21"/>
                    </w:rPr>
                    <w:t>编制水土保持方案</w:t>
                  </w:r>
                </w:p>
              </w:tc>
            </w:tr>
            <w:bookmarkEnd w:id="18"/>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cantSplit/>
                <w:trHeight w:val="340" w:hRule="atLeast"/>
              </w:trPr>
              <w:tc>
                <w:tcPr>
                  <w:tcW w:w="2018" w:type="dxa"/>
                  <w:gridSpan w:val="2"/>
                  <w:vAlign w:val="center"/>
                </w:tcPr>
                <w:p>
                  <w:pPr>
                    <w:jc w:val="center"/>
                    <w:rPr>
                      <w:rFonts w:hint="eastAsia"/>
                      <w:color w:val="auto"/>
                      <w:szCs w:val="21"/>
                    </w:rPr>
                  </w:pPr>
                  <w:r>
                    <w:rPr>
                      <w:rFonts w:hint="eastAsia"/>
                      <w:color w:val="auto"/>
                      <w:szCs w:val="21"/>
                    </w:rPr>
                    <w:t>合计</w:t>
                  </w:r>
                </w:p>
              </w:tc>
              <w:tc>
                <w:tcPr>
                  <w:tcW w:w="1547" w:type="dxa"/>
                  <w:vAlign w:val="center"/>
                </w:tcPr>
                <w:p>
                  <w:pPr>
                    <w:jc w:val="center"/>
                    <w:rPr>
                      <w:rFonts w:hint="eastAsia"/>
                      <w:color w:val="auto"/>
                      <w:szCs w:val="21"/>
                    </w:rPr>
                  </w:pPr>
                </w:p>
              </w:tc>
              <w:tc>
                <w:tcPr>
                  <w:tcW w:w="1002" w:type="dxa"/>
                  <w:vAlign w:val="center"/>
                </w:tcPr>
                <w:p>
                  <w:pPr>
                    <w:jc w:val="center"/>
                    <w:rPr>
                      <w:rFonts w:hint="eastAsia" w:eastAsia="宋体"/>
                      <w:color w:val="auto"/>
                      <w:szCs w:val="21"/>
                      <w:lang w:eastAsia="zh-CN"/>
                    </w:rPr>
                  </w:pPr>
                  <w:r>
                    <w:rPr>
                      <w:rFonts w:hint="eastAsia"/>
                      <w:color w:val="auto"/>
                      <w:szCs w:val="21"/>
                      <w:lang w:val="en-US" w:eastAsia="zh-CN"/>
                    </w:rPr>
                    <w:t>229</w:t>
                  </w:r>
                </w:p>
              </w:tc>
              <w:tc>
                <w:tcPr>
                  <w:tcW w:w="3715" w:type="dxa"/>
                  <w:vAlign w:val="center"/>
                </w:tcPr>
                <w:p>
                  <w:pPr>
                    <w:jc w:val="center"/>
                    <w:rPr>
                      <w:rFonts w:hint="eastAsia"/>
                      <w:color w:val="auto"/>
                      <w:szCs w:val="21"/>
                    </w:rPr>
                  </w:pPr>
                </w:p>
              </w:tc>
            </w:tr>
          </w:tbl>
          <w:p>
            <w:pPr>
              <w:spacing w:line="360" w:lineRule="auto"/>
              <w:rPr>
                <w:rFonts w:hint="eastAsia"/>
                <w:color w:val="auto"/>
                <w:sz w:val="24"/>
              </w:rPr>
            </w:pPr>
            <w:r>
              <w:rPr>
                <w:rFonts w:hint="eastAsia"/>
                <w:b/>
                <w:color w:val="auto"/>
                <w:sz w:val="24"/>
              </w:rPr>
              <w:t>7</w:t>
            </w:r>
            <w:r>
              <w:rPr>
                <w:b/>
                <w:color w:val="auto"/>
                <w:sz w:val="24"/>
              </w:rPr>
              <w:t>、</w:t>
            </w:r>
            <w:r>
              <w:rPr>
                <w:rFonts w:hint="eastAsia"/>
                <w:b/>
                <w:color w:val="auto"/>
                <w:sz w:val="24"/>
              </w:rPr>
              <w:t>环保验收</w:t>
            </w:r>
          </w:p>
          <w:p>
            <w:pPr>
              <w:spacing w:line="360" w:lineRule="auto"/>
              <w:ind w:firstLine="480" w:firstLineChars="200"/>
              <w:rPr>
                <w:rFonts w:hint="eastAsia"/>
                <w:color w:val="auto"/>
                <w:sz w:val="24"/>
              </w:rPr>
            </w:pPr>
            <w:r>
              <w:rPr>
                <w:rFonts w:hint="eastAsia"/>
                <w:color w:val="auto"/>
                <w:sz w:val="24"/>
              </w:rPr>
              <w:t>本项目环保验收内容见表</w:t>
            </w:r>
            <w:r>
              <w:rPr>
                <w:rFonts w:hint="eastAsia"/>
                <w:color w:val="auto"/>
                <w:sz w:val="24"/>
                <w:lang w:val="en-US" w:eastAsia="zh-CN"/>
              </w:rPr>
              <w:t>40</w:t>
            </w:r>
            <w:r>
              <w:rPr>
                <w:rFonts w:hint="eastAsia"/>
                <w:color w:val="auto"/>
                <w:sz w:val="24"/>
              </w:rPr>
              <w:t>。</w:t>
            </w:r>
          </w:p>
          <w:p>
            <w:pPr>
              <w:spacing w:line="360" w:lineRule="auto"/>
              <w:jc w:val="center"/>
              <w:rPr>
                <w:rFonts w:hint="eastAsia" w:hAnsi="宋体"/>
                <w:b/>
                <w:color w:val="auto"/>
                <w:spacing w:val="6"/>
                <w:szCs w:val="21"/>
              </w:rPr>
            </w:pPr>
            <w:r>
              <w:rPr>
                <w:rFonts w:hint="eastAsia" w:hAnsi="宋体"/>
                <w:b/>
                <w:color w:val="auto"/>
                <w:spacing w:val="6"/>
                <w:szCs w:val="21"/>
              </w:rPr>
              <w:t>表</w:t>
            </w:r>
            <w:r>
              <w:rPr>
                <w:rFonts w:hint="eastAsia" w:hAnsi="宋体"/>
                <w:b/>
                <w:color w:val="auto"/>
                <w:spacing w:val="6"/>
                <w:szCs w:val="21"/>
                <w:lang w:val="en-US" w:eastAsia="zh-CN"/>
              </w:rPr>
              <w:t>40</w:t>
            </w:r>
            <w:r>
              <w:rPr>
                <w:rFonts w:hint="eastAsia" w:hAnsi="宋体"/>
                <w:b/>
                <w:color w:val="auto"/>
                <w:spacing w:val="6"/>
                <w:szCs w:val="21"/>
              </w:rPr>
              <w:t xml:space="preserve"> 本项目环保验收一览表</w:t>
            </w:r>
          </w:p>
          <w:tbl>
            <w:tblPr>
              <w:tblStyle w:val="14"/>
              <w:tblW w:w="828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83"/>
              <w:gridCol w:w="835"/>
              <w:gridCol w:w="843"/>
              <w:gridCol w:w="2266"/>
              <w:gridCol w:w="2876"/>
              <w:gridCol w:w="9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60" w:hRule="atLeast"/>
                <w:jc w:val="center"/>
              </w:trPr>
              <w:tc>
                <w:tcPr>
                  <w:tcW w:w="483" w:type="dxa"/>
                  <w:vAlign w:val="center"/>
                </w:tcPr>
                <w:p>
                  <w:pPr>
                    <w:jc w:val="center"/>
                    <w:rPr>
                      <w:rFonts w:hint="eastAsia"/>
                      <w:color w:val="auto"/>
                      <w:szCs w:val="21"/>
                    </w:rPr>
                  </w:pPr>
                  <w:r>
                    <w:rPr>
                      <w:rFonts w:hint="eastAsia"/>
                      <w:color w:val="auto"/>
                      <w:szCs w:val="21"/>
                    </w:rPr>
                    <w:t>序号</w:t>
                  </w:r>
                </w:p>
              </w:tc>
              <w:tc>
                <w:tcPr>
                  <w:tcW w:w="835" w:type="dxa"/>
                  <w:vAlign w:val="center"/>
                </w:tcPr>
                <w:p>
                  <w:pPr>
                    <w:jc w:val="center"/>
                    <w:rPr>
                      <w:rFonts w:hint="eastAsia"/>
                      <w:color w:val="auto"/>
                      <w:szCs w:val="21"/>
                    </w:rPr>
                  </w:pPr>
                  <w:r>
                    <w:rPr>
                      <w:rFonts w:hint="eastAsia"/>
                      <w:color w:val="auto"/>
                      <w:szCs w:val="21"/>
                    </w:rPr>
                    <w:t>项 目</w:t>
                  </w:r>
                </w:p>
              </w:tc>
              <w:tc>
                <w:tcPr>
                  <w:tcW w:w="843" w:type="dxa"/>
                  <w:vAlign w:val="center"/>
                </w:tcPr>
                <w:p>
                  <w:pPr>
                    <w:jc w:val="center"/>
                    <w:rPr>
                      <w:rFonts w:hint="eastAsia"/>
                      <w:color w:val="auto"/>
                      <w:szCs w:val="21"/>
                    </w:rPr>
                  </w:pPr>
                  <w:r>
                    <w:rPr>
                      <w:rFonts w:hint="eastAsia"/>
                      <w:color w:val="auto"/>
                      <w:szCs w:val="21"/>
                    </w:rPr>
                    <w:t>内容</w:t>
                  </w:r>
                </w:p>
              </w:tc>
              <w:tc>
                <w:tcPr>
                  <w:tcW w:w="2266" w:type="dxa"/>
                  <w:vAlign w:val="center"/>
                </w:tcPr>
                <w:p>
                  <w:pPr>
                    <w:jc w:val="center"/>
                    <w:rPr>
                      <w:rFonts w:hint="eastAsia"/>
                      <w:color w:val="auto"/>
                      <w:szCs w:val="21"/>
                    </w:rPr>
                  </w:pPr>
                  <w:r>
                    <w:rPr>
                      <w:rFonts w:hint="eastAsia"/>
                      <w:color w:val="auto"/>
                      <w:szCs w:val="21"/>
                    </w:rPr>
                    <w:t>环保设施及要求</w:t>
                  </w:r>
                </w:p>
              </w:tc>
              <w:tc>
                <w:tcPr>
                  <w:tcW w:w="2876" w:type="dxa"/>
                  <w:vAlign w:val="center"/>
                </w:tcPr>
                <w:p>
                  <w:pPr>
                    <w:jc w:val="center"/>
                    <w:rPr>
                      <w:rFonts w:hint="eastAsia"/>
                      <w:color w:val="auto"/>
                      <w:szCs w:val="21"/>
                    </w:rPr>
                  </w:pPr>
                  <w:r>
                    <w:rPr>
                      <w:rFonts w:hint="eastAsia"/>
                      <w:color w:val="auto"/>
                      <w:szCs w:val="21"/>
                    </w:rPr>
                    <w:t>所达标准</w:t>
                  </w:r>
                </w:p>
              </w:tc>
              <w:tc>
                <w:tcPr>
                  <w:tcW w:w="979" w:type="dxa"/>
                  <w:vAlign w:val="top"/>
                </w:tcPr>
                <w:p>
                  <w:pPr>
                    <w:jc w:val="center"/>
                    <w:rPr>
                      <w:rFonts w:hint="eastAsia"/>
                      <w:color w:val="auto"/>
                      <w:szCs w:val="21"/>
                    </w:rPr>
                  </w:pPr>
                  <w:r>
                    <w:rPr>
                      <w:rFonts w:hint="eastAsia"/>
                      <w:color w:val="auto"/>
                      <w:szCs w:val="21"/>
                    </w:rPr>
                    <w:t>投产日期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89" w:hRule="atLeast"/>
                <w:jc w:val="center"/>
              </w:trPr>
              <w:tc>
                <w:tcPr>
                  <w:tcW w:w="483" w:type="dxa"/>
                  <w:vMerge w:val="restart"/>
                  <w:vAlign w:val="center"/>
                </w:tcPr>
                <w:p>
                  <w:pPr>
                    <w:jc w:val="center"/>
                    <w:rPr>
                      <w:rFonts w:hint="eastAsia"/>
                      <w:color w:val="auto"/>
                      <w:szCs w:val="21"/>
                    </w:rPr>
                  </w:pPr>
                  <w:r>
                    <w:rPr>
                      <w:rFonts w:hint="eastAsia"/>
                      <w:color w:val="auto"/>
                      <w:szCs w:val="21"/>
                    </w:rPr>
                    <w:t>1</w:t>
                  </w:r>
                </w:p>
              </w:tc>
              <w:tc>
                <w:tcPr>
                  <w:tcW w:w="835" w:type="dxa"/>
                  <w:vMerge w:val="restart"/>
                  <w:vAlign w:val="center"/>
                </w:tcPr>
                <w:p>
                  <w:pPr>
                    <w:jc w:val="center"/>
                    <w:rPr>
                      <w:rFonts w:hint="eastAsia"/>
                      <w:color w:val="auto"/>
                      <w:szCs w:val="21"/>
                    </w:rPr>
                  </w:pPr>
                  <w:r>
                    <w:rPr>
                      <w:rFonts w:hint="eastAsia"/>
                      <w:color w:val="auto"/>
                      <w:szCs w:val="21"/>
                    </w:rPr>
                    <w:t>废气治理设施</w:t>
                  </w:r>
                </w:p>
              </w:tc>
              <w:tc>
                <w:tcPr>
                  <w:tcW w:w="843" w:type="dxa"/>
                  <w:tcBorders>
                    <w:bottom w:val="single" w:color="auto" w:sz="4" w:space="0"/>
                  </w:tcBorders>
                  <w:vAlign w:val="center"/>
                </w:tcPr>
                <w:p>
                  <w:pPr>
                    <w:jc w:val="center"/>
                    <w:rPr>
                      <w:rFonts w:hint="eastAsia"/>
                      <w:color w:val="auto"/>
                      <w:szCs w:val="21"/>
                    </w:rPr>
                  </w:pPr>
                  <w:r>
                    <w:rPr>
                      <w:rFonts w:hint="eastAsia"/>
                      <w:color w:val="auto"/>
                      <w:szCs w:val="21"/>
                    </w:rPr>
                    <w:t>备用发电机尾气</w:t>
                  </w:r>
                </w:p>
              </w:tc>
              <w:tc>
                <w:tcPr>
                  <w:tcW w:w="2266" w:type="dxa"/>
                  <w:tcBorders>
                    <w:bottom w:val="single" w:color="auto" w:sz="6" w:space="0"/>
                  </w:tcBorders>
                  <w:vAlign w:val="center"/>
                </w:tcPr>
                <w:p>
                  <w:pPr>
                    <w:jc w:val="center"/>
                    <w:rPr>
                      <w:rFonts w:hint="eastAsia"/>
                      <w:color w:val="auto"/>
                      <w:szCs w:val="21"/>
                    </w:rPr>
                  </w:pPr>
                  <w:r>
                    <w:rPr>
                      <w:rFonts w:hint="eastAsia"/>
                      <w:color w:val="auto"/>
                      <w:szCs w:val="21"/>
                    </w:rPr>
                    <w:t>由专用烟道引至发电机房所在构筑物楼顶排放</w:t>
                  </w:r>
                </w:p>
              </w:tc>
              <w:tc>
                <w:tcPr>
                  <w:tcW w:w="2876" w:type="dxa"/>
                  <w:vAlign w:val="center"/>
                </w:tcPr>
                <w:p>
                  <w:pPr>
                    <w:jc w:val="center"/>
                    <w:rPr>
                      <w:rFonts w:hint="eastAsia"/>
                      <w:color w:val="auto"/>
                      <w:szCs w:val="21"/>
                    </w:rPr>
                  </w:pPr>
                  <w:r>
                    <w:rPr>
                      <w:rFonts w:hint="eastAsia"/>
                      <w:color w:val="auto"/>
                      <w:szCs w:val="21"/>
                    </w:rPr>
                    <w:t>能够满足《非道路移动机械用柴油机排气污染物排放限值及测量方法(中国第三、四阶段）》(GB 20891—2014)中第三阶段标准要求</w:t>
                  </w:r>
                </w:p>
              </w:tc>
              <w:tc>
                <w:tcPr>
                  <w:tcW w:w="979" w:type="dxa"/>
                  <w:vMerge w:val="restart"/>
                  <w:vAlign w:val="top"/>
                </w:tcPr>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p>
                <w:p>
                  <w:pPr>
                    <w:jc w:val="center"/>
                    <w:rPr>
                      <w:rFonts w:hint="eastAsia"/>
                      <w:color w:val="auto"/>
                      <w:szCs w:val="21"/>
                    </w:rPr>
                  </w:pPr>
                  <w:r>
                    <w:rPr>
                      <w:rFonts w:hint="eastAsia"/>
                      <w:color w:val="auto"/>
                      <w:szCs w:val="21"/>
                    </w:rPr>
                    <w:t>与主体工程同时设计、施工、投运</w:t>
                  </w:r>
                </w:p>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20" w:hRule="atLeast"/>
                <w:jc w:val="center"/>
              </w:trPr>
              <w:tc>
                <w:tcPr>
                  <w:tcW w:w="483" w:type="dxa"/>
                  <w:vMerge w:val="continue"/>
                  <w:tcBorders>
                    <w:bottom w:val="single" w:color="auto" w:sz="6" w:space="0"/>
                  </w:tcBorders>
                  <w:vAlign w:val="center"/>
                </w:tcPr>
                <w:p>
                  <w:pPr>
                    <w:jc w:val="center"/>
                    <w:rPr>
                      <w:rFonts w:hint="eastAsia"/>
                      <w:color w:val="auto"/>
                      <w:szCs w:val="21"/>
                    </w:rPr>
                  </w:pPr>
                </w:p>
              </w:tc>
              <w:tc>
                <w:tcPr>
                  <w:tcW w:w="835" w:type="dxa"/>
                  <w:vMerge w:val="continue"/>
                  <w:tcBorders>
                    <w:bottom w:val="single" w:color="auto" w:sz="6" w:space="0"/>
                  </w:tcBorders>
                  <w:vAlign w:val="center"/>
                </w:tcPr>
                <w:p>
                  <w:pPr>
                    <w:jc w:val="center"/>
                    <w:rPr>
                      <w:rFonts w:hint="eastAsia"/>
                      <w:color w:val="auto"/>
                      <w:szCs w:val="21"/>
                    </w:rPr>
                  </w:pPr>
                </w:p>
              </w:tc>
              <w:tc>
                <w:tcPr>
                  <w:tcW w:w="843" w:type="dxa"/>
                  <w:tcBorders>
                    <w:bottom w:val="single" w:color="auto" w:sz="4" w:space="0"/>
                  </w:tcBorders>
                  <w:vAlign w:val="center"/>
                </w:tcPr>
                <w:p>
                  <w:pPr>
                    <w:jc w:val="center"/>
                    <w:rPr>
                      <w:rFonts w:hint="eastAsia"/>
                      <w:color w:val="auto"/>
                      <w:szCs w:val="21"/>
                    </w:rPr>
                  </w:pPr>
                  <w:r>
                    <w:rPr>
                      <w:rFonts w:hint="eastAsia"/>
                      <w:color w:val="auto"/>
                      <w:szCs w:val="21"/>
                    </w:rPr>
                    <w:t>无组</w:t>
                  </w:r>
                </w:p>
                <w:p>
                  <w:pPr>
                    <w:jc w:val="center"/>
                    <w:rPr>
                      <w:rFonts w:hint="eastAsia"/>
                      <w:color w:val="auto"/>
                      <w:szCs w:val="21"/>
                    </w:rPr>
                  </w:pPr>
                  <w:r>
                    <w:rPr>
                      <w:rFonts w:hint="eastAsia"/>
                      <w:color w:val="auto"/>
                      <w:szCs w:val="21"/>
                    </w:rPr>
                    <w:t>织排放</w:t>
                  </w:r>
                </w:p>
              </w:tc>
              <w:tc>
                <w:tcPr>
                  <w:tcW w:w="2266" w:type="dxa"/>
                  <w:tcBorders>
                    <w:bottom w:val="single" w:color="auto" w:sz="6" w:space="0"/>
                  </w:tcBorders>
                  <w:vAlign w:val="center"/>
                </w:tcPr>
                <w:p>
                  <w:pPr>
                    <w:jc w:val="center"/>
                    <w:rPr>
                      <w:rFonts w:hint="eastAsia"/>
                      <w:color w:val="auto"/>
                      <w:szCs w:val="21"/>
                    </w:rPr>
                  </w:pPr>
                  <w:r>
                    <w:rPr>
                      <w:rFonts w:hint="eastAsia"/>
                      <w:color w:val="auto"/>
                      <w:szCs w:val="21"/>
                    </w:rPr>
                    <w:t>加强通风等措施</w:t>
                  </w:r>
                </w:p>
              </w:tc>
              <w:tc>
                <w:tcPr>
                  <w:tcW w:w="2876" w:type="dxa"/>
                  <w:vAlign w:val="center"/>
                </w:tcPr>
                <w:p>
                  <w:pPr>
                    <w:jc w:val="center"/>
                    <w:rPr>
                      <w:rFonts w:hint="eastAsia"/>
                      <w:color w:val="auto"/>
                      <w:szCs w:val="21"/>
                    </w:rPr>
                  </w:pPr>
                  <w:r>
                    <w:rPr>
                      <w:rFonts w:hint="eastAsia"/>
                      <w:color w:val="auto"/>
                      <w:szCs w:val="21"/>
                    </w:rPr>
                    <w:t>《大气污染物综合排放标准》（GB16297-1996）中表无组织排放标准</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949" w:hRule="atLeast"/>
                <w:jc w:val="center"/>
              </w:trPr>
              <w:tc>
                <w:tcPr>
                  <w:tcW w:w="483" w:type="dxa"/>
                  <w:vMerge w:val="restart"/>
                  <w:vAlign w:val="center"/>
                </w:tcPr>
                <w:p>
                  <w:pPr>
                    <w:jc w:val="center"/>
                    <w:rPr>
                      <w:rFonts w:hint="eastAsia"/>
                      <w:color w:val="auto"/>
                      <w:szCs w:val="21"/>
                    </w:rPr>
                  </w:pPr>
                  <w:r>
                    <w:rPr>
                      <w:rFonts w:hint="eastAsia"/>
                      <w:color w:val="auto"/>
                      <w:szCs w:val="21"/>
                    </w:rPr>
                    <w:t>2</w:t>
                  </w:r>
                </w:p>
              </w:tc>
              <w:tc>
                <w:tcPr>
                  <w:tcW w:w="835" w:type="dxa"/>
                  <w:vMerge w:val="restart"/>
                  <w:vAlign w:val="center"/>
                </w:tcPr>
                <w:p>
                  <w:pPr>
                    <w:jc w:val="center"/>
                    <w:rPr>
                      <w:rFonts w:hint="eastAsia"/>
                      <w:color w:val="auto"/>
                      <w:szCs w:val="21"/>
                    </w:rPr>
                  </w:pPr>
                  <w:r>
                    <w:rPr>
                      <w:rFonts w:hint="eastAsia"/>
                      <w:color w:val="auto"/>
                      <w:szCs w:val="21"/>
                    </w:rPr>
                    <w:t>废水治理设施</w:t>
                  </w:r>
                </w:p>
              </w:tc>
              <w:tc>
                <w:tcPr>
                  <w:tcW w:w="843" w:type="dxa"/>
                  <w:vAlign w:val="center"/>
                </w:tcPr>
                <w:p>
                  <w:pPr>
                    <w:jc w:val="center"/>
                    <w:rPr>
                      <w:rFonts w:hint="eastAsia"/>
                      <w:color w:val="auto"/>
                      <w:szCs w:val="21"/>
                    </w:rPr>
                  </w:pPr>
                  <w:r>
                    <w:rPr>
                      <w:rFonts w:hint="eastAsia"/>
                      <w:color w:val="auto"/>
                      <w:szCs w:val="21"/>
                    </w:rPr>
                    <w:t>生产</w:t>
                  </w:r>
                </w:p>
                <w:p>
                  <w:pPr>
                    <w:jc w:val="center"/>
                    <w:rPr>
                      <w:rFonts w:hint="eastAsia"/>
                      <w:color w:val="auto"/>
                      <w:szCs w:val="21"/>
                    </w:rPr>
                  </w:pPr>
                  <w:r>
                    <w:rPr>
                      <w:rFonts w:hint="eastAsia"/>
                      <w:color w:val="auto"/>
                      <w:szCs w:val="21"/>
                    </w:rPr>
                    <w:t>废水</w:t>
                  </w:r>
                </w:p>
              </w:tc>
              <w:tc>
                <w:tcPr>
                  <w:tcW w:w="2266" w:type="dxa"/>
                  <w:tcBorders>
                    <w:bottom w:val="single" w:color="auto" w:sz="2" w:space="0"/>
                  </w:tcBorders>
                  <w:vAlign w:val="center"/>
                </w:tcPr>
                <w:p>
                  <w:pPr>
                    <w:jc w:val="center"/>
                    <w:rPr>
                      <w:rFonts w:hint="eastAsia"/>
                      <w:color w:val="auto"/>
                      <w:szCs w:val="21"/>
                    </w:rPr>
                  </w:pPr>
                  <w:r>
                    <w:rPr>
                      <w:rFonts w:hint="eastAsia"/>
                      <w:color w:val="auto"/>
                      <w:szCs w:val="21"/>
                    </w:rPr>
                    <w:t>滤池反冲洗废水、沉淀池排泥水经废水污泥处理系统沉淀处理后90%回用于制水，10%处理后排至黄河金</w:t>
                  </w:r>
                </w:p>
              </w:tc>
              <w:tc>
                <w:tcPr>
                  <w:tcW w:w="2876" w:type="dxa"/>
                  <w:tcBorders>
                    <w:bottom w:val="single" w:color="auto" w:sz="4" w:space="0"/>
                  </w:tcBorders>
                  <w:vAlign w:val="center"/>
                </w:tcPr>
                <w:p>
                  <w:pPr>
                    <w:jc w:val="center"/>
                    <w:rPr>
                      <w:rFonts w:hint="eastAsia"/>
                      <w:color w:val="auto"/>
                      <w:szCs w:val="21"/>
                    </w:rPr>
                  </w:pPr>
                  <w:r>
                    <w:rPr>
                      <w:rFonts w:hint="eastAsia"/>
                      <w:color w:val="auto"/>
                      <w:szCs w:val="21"/>
                    </w:rPr>
                    <w:t>《污水综合排放标准》一级标准</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949" w:hRule="atLeast"/>
                <w:jc w:val="center"/>
              </w:trPr>
              <w:tc>
                <w:tcPr>
                  <w:tcW w:w="483" w:type="dxa"/>
                  <w:vMerge w:val="continue"/>
                  <w:vAlign w:val="center"/>
                </w:tcPr>
                <w:p>
                  <w:pPr>
                    <w:jc w:val="center"/>
                    <w:rPr>
                      <w:rFonts w:hint="eastAsia"/>
                      <w:color w:val="auto"/>
                      <w:szCs w:val="21"/>
                    </w:rPr>
                  </w:pPr>
                </w:p>
              </w:tc>
              <w:tc>
                <w:tcPr>
                  <w:tcW w:w="835" w:type="dxa"/>
                  <w:vMerge w:val="continue"/>
                  <w:vAlign w:val="center"/>
                </w:tcPr>
                <w:p>
                  <w:pPr>
                    <w:jc w:val="center"/>
                    <w:rPr>
                      <w:rFonts w:hint="eastAsia"/>
                      <w:color w:val="auto"/>
                      <w:szCs w:val="21"/>
                    </w:rPr>
                  </w:pPr>
                </w:p>
              </w:tc>
              <w:tc>
                <w:tcPr>
                  <w:tcW w:w="843" w:type="dxa"/>
                  <w:vAlign w:val="center"/>
                </w:tcPr>
                <w:p>
                  <w:pPr>
                    <w:jc w:val="center"/>
                    <w:rPr>
                      <w:rFonts w:hint="eastAsia"/>
                      <w:color w:val="auto"/>
                      <w:szCs w:val="21"/>
                    </w:rPr>
                  </w:pPr>
                  <w:r>
                    <w:rPr>
                      <w:rFonts w:hint="eastAsia"/>
                      <w:color w:val="auto"/>
                      <w:szCs w:val="21"/>
                    </w:rPr>
                    <w:t>生活</w:t>
                  </w:r>
                </w:p>
                <w:p>
                  <w:pPr>
                    <w:jc w:val="center"/>
                    <w:rPr>
                      <w:rFonts w:hint="eastAsia"/>
                      <w:color w:val="auto"/>
                      <w:szCs w:val="21"/>
                    </w:rPr>
                  </w:pPr>
                  <w:r>
                    <w:rPr>
                      <w:rFonts w:hint="eastAsia"/>
                      <w:color w:val="auto"/>
                      <w:szCs w:val="21"/>
                    </w:rPr>
                    <w:t>污水</w:t>
                  </w:r>
                </w:p>
              </w:tc>
              <w:tc>
                <w:tcPr>
                  <w:tcW w:w="2266" w:type="dxa"/>
                  <w:tcBorders>
                    <w:bottom w:val="single" w:color="auto" w:sz="2" w:space="0"/>
                  </w:tcBorders>
                  <w:vAlign w:val="center"/>
                </w:tcPr>
                <w:p>
                  <w:pPr>
                    <w:jc w:val="center"/>
                    <w:rPr>
                      <w:rFonts w:hint="eastAsia"/>
                      <w:color w:val="auto"/>
                      <w:szCs w:val="21"/>
                    </w:rPr>
                  </w:pPr>
                  <w:r>
                    <w:rPr>
                      <w:rFonts w:hint="eastAsia"/>
                      <w:color w:val="auto"/>
                      <w:szCs w:val="21"/>
                    </w:rPr>
                    <w:t>废水经隔油池、化粪池处理后用于周边农肥</w:t>
                  </w:r>
                </w:p>
              </w:tc>
              <w:tc>
                <w:tcPr>
                  <w:tcW w:w="2876" w:type="dxa"/>
                  <w:vAlign w:val="center"/>
                </w:tcPr>
                <w:p>
                  <w:pPr>
                    <w:jc w:val="center"/>
                    <w:rPr>
                      <w:rFonts w:hint="eastAsia"/>
                      <w:color w:val="auto"/>
                      <w:szCs w:val="21"/>
                    </w:rPr>
                  </w:pPr>
                  <w:r>
                    <w:rPr>
                      <w:rFonts w:hint="eastAsia"/>
                      <w:color w:val="auto"/>
                      <w:szCs w:val="21"/>
                    </w:rPr>
                    <w:t>用于周边农肥，不外排</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949" w:hRule="atLeast"/>
                <w:jc w:val="center"/>
              </w:trPr>
              <w:tc>
                <w:tcPr>
                  <w:tcW w:w="483" w:type="dxa"/>
                  <w:vMerge w:val="continue"/>
                  <w:vAlign w:val="center"/>
                </w:tcPr>
                <w:p>
                  <w:pPr>
                    <w:jc w:val="center"/>
                    <w:rPr>
                      <w:rFonts w:hint="eastAsia"/>
                      <w:color w:val="auto"/>
                      <w:szCs w:val="21"/>
                    </w:rPr>
                  </w:pPr>
                </w:p>
              </w:tc>
              <w:tc>
                <w:tcPr>
                  <w:tcW w:w="835" w:type="dxa"/>
                  <w:vMerge w:val="continue"/>
                  <w:vAlign w:val="center"/>
                </w:tcPr>
                <w:p>
                  <w:pPr>
                    <w:jc w:val="center"/>
                    <w:rPr>
                      <w:rFonts w:hint="eastAsia"/>
                      <w:color w:val="auto"/>
                      <w:szCs w:val="21"/>
                    </w:rPr>
                  </w:pPr>
                </w:p>
              </w:tc>
              <w:tc>
                <w:tcPr>
                  <w:tcW w:w="843" w:type="dxa"/>
                  <w:vAlign w:val="center"/>
                </w:tcPr>
                <w:p>
                  <w:pPr>
                    <w:jc w:val="center"/>
                    <w:rPr>
                      <w:rFonts w:hint="eastAsia"/>
                      <w:color w:val="auto"/>
                      <w:szCs w:val="21"/>
                    </w:rPr>
                  </w:pPr>
                  <w:r>
                    <w:rPr>
                      <w:rFonts w:hint="eastAsia"/>
                      <w:color w:val="auto"/>
                      <w:szCs w:val="21"/>
                    </w:rPr>
                    <w:t>雨污分流管道</w:t>
                  </w:r>
                </w:p>
              </w:tc>
              <w:tc>
                <w:tcPr>
                  <w:tcW w:w="2266" w:type="dxa"/>
                  <w:tcBorders>
                    <w:bottom w:val="single" w:color="auto" w:sz="2" w:space="0"/>
                  </w:tcBorders>
                  <w:vAlign w:val="center"/>
                </w:tcPr>
                <w:p>
                  <w:pPr>
                    <w:jc w:val="center"/>
                    <w:rPr>
                      <w:rFonts w:hint="eastAsia"/>
                      <w:color w:val="auto"/>
                      <w:szCs w:val="21"/>
                    </w:rPr>
                  </w:pPr>
                  <w:r>
                    <w:rPr>
                      <w:rFonts w:hint="eastAsia"/>
                      <w:color w:val="auto"/>
                      <w:szCs w:val="21"/>
                    </w:rPr>
                    <w:t>按照要求，分别建设一套雨水、污水排放管道</w:t>
                  </w:r>
                </w:p>
              </w:tc>
              <w:tc>
                <w:tcPr>
                  <w:tcW w:w="2876" w:type="dxa"/>
                  <w:vAlign w:val="center"/>
                </w:tcPr>
                <w:p>
                  <w:pPr>
                    <w:jc w:val="center"/>
                    <w:rPr>
                      <w:rFonts w:hint="eastAsia"/>
                      <w:color w:val="auto"/>
                      <w:szCs w:val="21"/>
                    </w:rPr>
                  </w:pPr>
                  <w:r>
                    <w:rPr>
                      <w:rFonts w:hint="eastAsia"/>
                      <w:color w:val="auto"/>
                      <w:szCs w:val="21"/>
                    </w:rPr>
                    <w:t>净水厂厂区雨污分流</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517" w:hRule="atLeast"/>
                <w:jc w:val="center"/>
              </w:trPr>
              <w:tc>
                <w:tcPr>
                  <w:tcW w:w="483" w:type="dxa"/>
                  <w:vAlign w:val="center"/>
                </w:tcPr>
                <w:p>
                  <w:pPr>
                    <w:jc w:val="center"/>
                    <w:rPr>
                      <w:rFonts w:hint="eastAsia"/>
                      <w:color w:val="auto"/>
                      <w:szCs w:val="21"/>
                    </w:rPr>
                  </w:pPr>
                  <w:r>
                    <w:rPr>
                      <w:rFonts w:hint="eastAsia"/>
                      <w:color w:val="auto"/>
                      <w:szCs w:val="21"/>
                    </w:rPr>
                    <w:t>3</w:t>
                  </w:r>
                </w:p>
              </w:tc>
              <w:tc>
                <w:tcPr>
                  <w:tcW w:w="835" w:type="dxa"/>
                  <w:vAlign w:val="center"/>
                </w:tcPr>
                <w:p>
                  <w:pPr>
                    <w:jc w:val="center"/>
                    <w:rPr>
                      <w:rFonts w:hint="eastAsia"/>
                      <w:color w:val="auto"/>
                      <w:szCs w:val="21"/>
                    </w:rPr>
                  </w:pPr>
                  <w:r>
                    <w:rPr>
                      <w:rFonts w:hint="eastAsia"/>
                      <w:color w:val="auto"/>
                      <w:szCs w:val="21"/>
                    </w:rPr>
                    <w:t>噪声防治措施</w:t>
                  </w:r>
                </w:p>
              </w:tc>
              <w:tc>
                <w:tcPr>
                  <w:tcW w:w="843" w:type="dxa"/>
                  <w:vAlign w:val="center"/>
                </w:tcPr>
                <w:p>
                  <w:pPr>
                    <w:jc w:val="center"/>
                    <w:rPr>
                      <w:rFonts w:hint="eastAsia"/>
                      <w:color w:val="auto"/>
                      <w:szCs w:val="21"/>
                    </w:rPr>
                  </w:pPr>
                  <w:r>
                    <w:rPr>
                      <w:rFonts w:hint="eastAsia"/>
                      <w:color w:val="auto"/>
                      <w:szCs w:val="21"/>
                    </w:rPr>
                    <w:t>风机、泵类、发电机</w:t>
                  </w:r>
                </w:p>
              </w:tc>
              <w:tc>
                <w:tcPr>
                  <w:tcW w:w="2266" w:type="dxa"/>
                  <w:vAlign w:val="center"/>
                </w:tcPr>
                <w:p>
                  <w:pPr>
                    <w:jc w:val="center"/>
                    <w:rPr>
                      <w:rFonts w:hint="eastAsia"/>
                      <w:color w:val="auto"/>
                      <w:szCs w:val="21"/>
                    </w:rPr>
                  </w:pPr>
                  <w:r>
                    <w:rPr>
                      <w:rFonts w:hint="eastAsia"/>
                      <w:color w:val="auto"/>
                      <w:szCs w:val="21"/>
                    </w:rPr>
                    <w:t>采取切实可行的隔声减振措施，如加隔振机座、安装隔声罩、安装消声器等</w:t>
                  </w:r>
                </w:p>
              </w:tc>
              <w:tc>
                <w:tcPr>
                  <w:tcW w:w="2876" w:type="dxa"/>
                  <w:vAlign w:val="center"/>
                </w:tcPr>
                <w:p>
                  <w:pPr>
                    <w:jc w:val="center"/>
                    <w:rPr>
                      <w:rFonts w:hint="eastAsia"/>
                      <w:color w:val="auto"/>
                      <w:szCs w:val="21"/>
                    </w:rPr>
                  </w:pPr>
                  <w:r>
                    <w:rPr>
                      <w:rFonts w:hint="eastAsia"/>
                      <w:color w:val="auto"/>
                      <w:szCs w:val="21"/>
                    </w:rPr>
                    <w:t>《工业企业厂界噪声排放标准》（GB12348 -2008）1类标准</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517" w:hRule="atLeast"/>
                <w:jc w:val="center"/>
              </w:trPr>
              <w:tc>
                <w:tcPr>
                  <w:tcW w:w="483" w:type="dxa"/>
                  <w:vMerge w:val="restart"/>
                  <w:vAlign w:val="center"/>
                </w:tcPr>
                <w:p>
                  <w:pPr>
                    <w:jc w:val="center"/>
                    <w:rPr>
                      <w:rFonts w:hint="eastAsia"/>
                      <w:color w:val="auto"/>
                      <w:szCs w:val="21"/>
                    </w:rPr>
                  </w:pPr>
                  <w:r>
                    <w:rPr>
                      <w:rFonts w:hint="eastAsia"/>
                      <w:color w:val="auto"/>
                      <w:szCs w:val="21"/>
                    </w:rPr>
                    <w:t>4</w:t>
                  </w:r>
                </w:p>
              </w:tc>
              <w:tc>
                <w:tcPr>
                  <w:tcW w:w="835" w:type="dxa"/>
                  <w:vMerge w:val="restart"/>
                  <w:vAlign w:val="center"/>
                </w:tcPr>
                <w:p>
                  <w:pPr>
                    <w:jc w:val="center"/>
                    <w:rPr>
                      <w:rFonts w:hint="eastAsia"/>
                      <w:color w:val="auto"/>
                      <w:szCs w:val="21"/>
                    </w:rPr>
                  </w:pPr>
                  <w:r>
                    <w:rPr>
                      <w:rFonts w:hint="eastAsia"/>
                      <w:color w:val="auto"/>
                      <w:szCs w:val="21"/>
                    </w:rPr>
                    <w:t>固废防治措施</w:t>
                  </w:r>
                </w:p>
              </w:tc>
              <w:tc>
                <w:tcPr>
                  <w:tcW w:w="843" w:type="dxa"/>
                  <w:vAlign w:val="center"/>
                </w:tcPr>
                <w:p>
                  <w:pPr>
                    <w:jc w:val="center"/>
                    <w:rPr>
                      <w:rFonts w:hint="eastAsia"/>
                      <w:color w:val="auto"/>
                      <w:szCs w:val="21"/>
                    </w:rPr>
                  </w:pPr>
                  <w:r>
                    <w:rPr>
                      <w:rFonts w:hint="eastAsia"/>
                      <w:color w:val="auto"/>
                      <w:szCs w:val="21"/>
                    </w:rPr>
                    <w:t>危险固废</w:t>
                  </w:r>
                </w:p>
              </w:tc>
              <w:tc>
                <w:tcPr>
                  <w:tcW w:w="2266" w:type="dxa"/>
                  <w:vAlign w:val="center"/>
                </w:tcPr>
                <w:p>
                  <w:pPr>
                    <w:jc w:val="center"/>
                    <w:rPr>
                      <w:rFonts w:hint="eastAsia"/>
                      <w:color w:val="auto"/>
                      <w:szCs w:val="21"/>
                    </w:rPr>
                  </w:pPr>
                  <w:r>
                    <w:rPr>
                      <w:rFonts w:hint="eastAsia"/>
                      <w:color w:val="auto"/>
                      <w:szCs w:val="21"/>
                    </w:rPr>
                    <w:t>暂存场所和有资质单位处理</w:t>
                  </w:r>
                </w:p>
              </w:tc>
              <w:tc>
                <w:tcPr>
                  <w:tcW w:w="2876" w:type="dxa"/>
                  <w:vMerge w:val="restart"/>
                  <w:vAlign w:val="center"/>
                </w:tcPr>
                <w:p>
                  <w:pPr>
                    <w:jc w:val="center"/>
                    <w:rPr>
                      <w:rFonts w:hint="eastAsia"/>
                      <w:color w:val="auto"/>
                      <w:szCs w:val="21"/>
                    </w:rPr>
                  </w:pPr>
                  <w:r>
                    <w:rPr>
                      <w:rFonts w:hint="eastAsia"/>
                      <w:color w:val="auto"/>
                      <w:szCs w:val="21"/>
                    </w:rPr>
                    <w:t>《《一般工业固废贮存、处置场污染物控制标准》（GB18599-2001）、危险固体废物贮存污染控制标准》（GB18597-2001）</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517" w:hRule="atLeast"/>
                <w:jc w:val="center"/>
              </w:trPr>
              <w:tc>
                <w:tcPr>
                  <w:tcW w:w="483" w:type="dxa"/>
                  <w:vMerge w:val="continue"/>
                  <w:vAlign w:val="center"/>
                </w:tcPr>
                <w:p>
                  <w:pPr>
                    <w:jc w:val="center"/>
                    <w:rPr>
                      <w:rFonts w:hint="eastAsia"/>
                      <w:color w:val="auto"/>
                      <w:szCs w:val="21"/>
                    </w:rPr>
                  </w:pPr>
                </w:p>
              </w:tc>
              <w:tc>
                <w:tcPr>
                  <w:tcW w:w="835" w:type="dxa"/>
                  <w:vMerge w:val="continue"/>
                  <w:vAlign w:val="center"/>
                </w:tcPr>
                <w:p>
                  <w:pPr>
                    <w:jc w:val="center"/>
                    <w:rPr>
                      <w:rFonts w:hint="eastAsia"/>
                      <w:color w:val="auto"/>
                      <w:szCs w:val="21"/>
                    </w:rPr>
                  </w:pPr>
                </w:p>
              </w:tc>
              <w:tc>
                <w:tcPr>
                  <w:tcW w:w="843" w:type="dxa"/>
                  <w:vAlign w:val="center"/>
                </w:tcPr>
                <w:p>
                  <w:pPr>
                    <w:jc w:val="center"/>
                    <w:rPr>
                      <w:rFonts w:hint="eastAsia"/>
                      <w:color w:val="auto"/>
                      <w:szCs w:val="21"/>
                    </w:rPr>
                  </w:pPr>
                  <w:r>
                    <w:rPr>
                      <w:rFonts w:hint="eastAsia"/>
                      <w:color w:val="auto"/>
                      <w:szCs w:val="21"/>
                    </w:rPr>
                    <w:t>污泥</w:t>
                  </w:r>
                </w:p>
                <w:p>
                  <w:pPr>
                    <w:jc w:val="center"/>
                    <w:rPr>
                      <w:rFonts w:hint="eastAsia"/>
                      <w:color w:val="auto"/>
                      <w:szCs w:val="21"/>
                    </w:rPr>
                  </w:pPr>
                  <w:r>
                    <w:rPr>
                      <w:rFonts w:hint="eastAsia"/>
                      <w:color w:val="auto"/>
                      <w:szCs w:val="21"/>
                    </w:rPr>
                    <w:t>一般固废</w:t>
                  </w:r>
                </w:p>
              </w:tc>
              <w:tc>
                <w:tcPr>
                  <w:tcW w:w="2266" w:type="dxa"/>
                  <w:vAlign w:val="center"/>
                </w:tcPr>
                <w:p>
                  <w:pPr>
                    <w:jc w:val="center"/>
                    <w:rPr>
                      <w:rFonts w:hint="eastAsia"/>
                      <w:color w:val="auto"/>
                      <w:szCs w:val="21"/>
                    </w:rPr>
                  </w:pPr>
                  <w:r>
                    <w:rPr>
                      <w:rFonts w:hint="eastAsia"/>
                      <w:color w:val="auto"/>
                      <w:szCs w:val="21"/>
                    </w:rPr>
                    <w:t>暂存场所</w:t>
                  </w:r>
                </w:p>
              </w:tc>
              <w:tc>
                <w:tcPr>
                  <w:tcW w:w="2876" w:type="dxa"/>
                  <w:vMerge w:val="continue"/>
                  <w:vAlign w:val="center"/>
                </w:tcPr>
                <w:p>
                  <w:pPr>
                    <w:jc w:val="center"/>
                    <w:rPr>
                      <w:rFonts w:hint="eastAsia"/>
                      <w:color w:val="auto"/>
                      <w:szCs w:val="21"/>
                    </w:rPr>
                  </w:pP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90" w:hRule="atLeast"/>
                <w:jc w:val="center"/>
              </w:trPr>
              <w:tc>
                <w:tcPr>
                  <w:tcW w:w="483" w:type="dxa"/>
                  <w:vMerge w:val="continue"/>
                  <w:vAlign w:val="center"/>
                </w:tcPr>
                <w:p>
                  <w:pPr>
                    <w:jc w:val="center"/>
                    <w:rPr>
                      <w:rFonts w:hint="eastAsia"/>
                      <w:color w:val="auto"/>
                      <w:szCs w:val="21"/>
                    </w:rPr>
                  </w:pPr>
                </w:p>
              </w:tc>
              <w:tc>
                <w:tcPr>
                  <w:tcW w:w="835" w:type="dxa"/>
                  <w:vMerge w:val="continue"/>
                  <w:vAlign w:val="center"/>
                </w:tcPr>
                <w:p>
                  <w:pPr>
                    <w:jc w:val="center"/>
                    <w:rPr>
                      <w:rFonts w:hint="eastAsia"/>
                      <w:color w:val="auto"/>
                      <w:szCs w:val="21"/>
                    </w:rPr>
                  </w:pPr>
                </w:p>
              </w:tc>
              <w:tc>
                <w:tcPr>
                  <w:tcW w:w="843" w:type="dxa"/>
                  <w:vAlign w:val="center"/>
                </w:tcPr>
                <w:p>
                  <w:pPr>
                    <w:jc w:val="center"/>
                    <w:rPr>
                      <w:rFonts w:hint="eastAsia"/>
                      <w:color w:val="auto"/>
                      <w:szCs w:val="21"/>
                    </w:rPr>
                  </w:pPr>
                  <w:r>
                    <w:rPr>
                      <w:rFonts w:hint="eastAsia"/>
                      <w:color w:val="auto"/>
                      <w:szCs w:val="21"/>
                    </w:rPr>
                    <w:t>生活垃圾</w:t>
                  </w:r>
                </w:p>
              </w:tc>
              <w:tc>
                <w:tcPr>
                  <w:tcW w:w="2266" w:type="dxa"/>
                  <w:vAlign w:val="center"/>
                </w:tcPr>
                <w:p>
                  <w:pPr>
                    <w:jc w:val="center"/>
                    <w:rPr>
                      <w:rFonts w:hint="eastAsia"/>
                      <w:color w:val="auto"/>
                      <w:szCs w:val="21"/>
                    </w:rPr>
                  </w:pPr>
                  <w:r>
                    <w:rPr>
                      <w:rFonts w:hint="eastAsia"/>
                      <w:color w:val="auto"/>
                      <w:szCs w:val="21"/>
                    </w:rPr>
                    <w:t>环卫部门统一收集处置</w:t>
                  </w:r>
                </w:p>
              </w:tc>
              <w:tc>
                <w:tcPr>
                  <w:tcW w:w="2876" w:type="dxa"/>
                  <w:vMerge w:val="continue"/>
                  <w:vAlign w:val="center"/>
                </w:tcPr>
                <w:p>
                  <w:pPr>
                    <w:jc w:val="center"/>
                    <w:rPr>
                      <w:rFonts w:hint="eastAsia"/>
                      <w:color w:val="auto"/>
                      <w:szCs w:val="21"/>
                    </w:rPr>
                  </w:pP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90" w:hRule="atLeast"/>
                <w:jc w:val="center"/>
              </w:trPr>
              <w:tc>
                <w:tcPr>
                  <w:tcW w:w="483" w:type="dxa"/>
                  <w:vAlign w:val="center"/>
                </w:tcPr>
                <w:p>
                  <w:pPr>
                    <w:jc w:val="center"/>
                    <w:rPr>
                      <w:rFonts w:hint="eastAsia"/>
                      <w:color w:val="auto"/>
                      <w:szCs w:val="21"/>
                    </w:rPr>
                  </w:pPr>
                  <w:r>
                    <w:rPr>
                      <w:rFonts w:hint="eastAsia"/>
                      <w:color w:val="auto"/>
                      <w:szCs w:val="21"/>
                    </w:rPr>
                    <w:t>5</w:t>
                  </w:r>
                </w:p>
              </w:tc>
              <w:tc>
                <w:tcPr>
                  <w:tcW w:w="835" w:type="dxa"/>
                  <w:vAlign w:val="center"/>
                </w:tcPr>
                <w:p>
                  <w:pPr>
                    <w:jc w:val="center"/>
                    <w:rPr>
                      <w:rFonts w:hint="eastAsia"/>
                      <w:color w:val="auto"/>
                      <w:szCs w:val="21"/>
                    </w:rPr>
                  </w:pPr>
                  <w:r>
                    <w:rPr>
                      <w:rFonts w:hint="eastAsia"/>
                      <w:color w:val="auto"/>
                      <w:szCs w:val="21"/>
                    </w:rPr>
                    <w:t>风险防范措施</w:t>
                  </w:r>
                </w:p>
              </w:tc>
              <w:tc>
                <w:tcPr>
                  <w:tcW w:w="5985" w:type="dxa"/>
                  <w:gridSpan w:val="3"/>
                  <w:vAlign w:val="center"/>
                </w:tcPr>
                <w:p>
                  <w:pPr>
                    <w:jc w:val="center"/>
                    <w:rPr>
                      <w:rFonts w:hint="eastAsia"/>
                      <w:color w:val="auto"/>
                      <w:szCs w:val="21"/>
                    </w:rPr>
                  </w:pPr>
                  <w:r>
                    <w:rPr>
                      <w:rFonts w:hint="eastAsia"/>
                      <w:color w:val="auto"/>
                      <w:szCs w:val="21"/>
                    </w:rPr>
                    <w:t>制定水源地和净水厂的风险应急预案，各项风险保护措施落实完善，建立在线水质监测系统</w:t>
                  </w:r>
                </w:p>
              </w:tc>
              <w:tc>
                <w:tcPr>
                  <w:tcW w:w="979" w:type="dxa"/>
                  <w:vMerge w:val="continue"/>
                  <w:vAlign w:val="top"/>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89" w:hRule="atLeast"/>
                <w:jc w:val="center"/>
              </w:trPr>
              <w:tc>
                <w:tcPr>
                  <w:tcW w:w="483" w:type="dxa"/>
                  <w:vAlign w:val="center"/>
                </w:tcPr>
                <w:p>
                  <w:pPr>
                    <w:jc w:val="center"/>
                    <w:rPr>
                      <w:rFonts w:hint="eastAsia"/>
                      <w:color w:val="auto"/>
                      <w:szCs w:val="21"/>
                    </w:rPr>
                  </w:pPr>
                  <w:r>
                    <w:rPr>
                      <w:rFonts w:hint="eastAsia"/>
                      <w:color w:val="auto"/>
                      <w:szCs w:val="21"/>
                    </w:rPr>
                    <w:t>6</w:t>
                  </w:r>
                </w:p>
              </w:tc>
              <w:tc>
                <w:tcPr>
                  <w:tcW w:w="835" w:type="dxa"/>
                  <w:vAlign w:val="center"/>
                </w:tcPr>
                <w:p>
                  <w:pPr>
                    <w:jc w:val="center"/>
                    <w:rPr>
                      <w:rFonts w:hint="eastAsia"/>
                      <w:color w:val="auto"/>
                      <w:szCs w:val="21"/>
                    </w:rPr>
                  </w:pPr>
                  <w:r>
                    <w:rPr>
                      <w:rFonts w:hint="eastAsia"/>
                      <w:color w:val="auto"/>
                      <w:szCs w:val="21"/>
                    </w:rPr>
                    <w:t>生态保护措施</w:t>
                  </w:r>
                </w:p>
              </w:tc>
              <w:tc>
                <w:tcPr>
                  <w:tcW w:w="5985" w:type="dxa"/>
                  <w:gridSpan w:val="3"/>
                  <w:vAlign w:val="center"/>
                </w:tcPr>
                <w:p>
                  <w:pPr>
                    <w:jc w:val="center"/>
                    <w:rPr>
                      <w:rFonts w:hint="eastAsia"/>
                      <w:color w:val="auto"/>
                      <w:szCs w:val="21"/>
                    </w:rPr>
                  </w:pPr>
                  <w:r>
                    <w:rPr>
                      <w:rFonts w:hint="eastAsia"/>
                      <w:color w:val="auto"/>
                      <w:szCs w:val="21"/>
                    </w:rPr>
                    <w:t>水源保护区禁止建设与水源保护无关的项目；管网沿线植被保护应恢复；净水厂绿化，绿化率</w:t>
                  </w:r>
                  <w:r>
                    <w:rPr>
                      <w:rFonts w:hint="eastAsia"/>
                      <w:color w:val="auto"/>
                      <w:szCs w:val="21"/>
                      <w:lang w:val="en-US" w:eastAsia="zh-CN"/>
                    </w:rPr>
                    <w:t>28.87</w:t>
                  </w:r>
                  <w:r>
                    <w:rPr>
                      <w:rFonts w:hint="eastAsia"/>
                      <w:color w:val="auto"/>
                      <w:szCs w:val="21"/>
                    </w:rPr>
                    <w:t>%</w:t>
                  </w:r>
                </w:p>
              </w:tc>
              <w:tc>
                <w:tcPr>
                  <w:tcW w:w="979" w:type="dxa"/>
                  <w:vMerge w:val="continue"/>
                  <w:vAlign w:val="top"/>
                </w:tcPr>
                <w:p>
                  <w:pPr>
                    <w:jc w:val="center"/>
                    <w:rPr>
                      <w:rFonts w:hint="eastAsia"/>
                      <w:color w:val="auto"/>
                      <w:szCs w:val="21"/>
                    </w:rPr>
                  </w:pPr>
                </w:p>
              </w:tc>
            </w:tr>
          </w:tbl>
          <w:p>
            <w:pPr>
              <w:spacing w:line="360" w:lineRule="auto"/>
              <w:jc w:val="center"/>
              <w:rPr>
                <w:rFonts w:hint="eastAsia" w:hAnsi="宋体"/>
                <w:b/>
                <w:color w:val="auto"/>
                <w:spacing w:val="6"/>
                <w:szCs w:val="21"/>
              </w:rPr>
            </w:pPr>
          </w:p>
          <w:p>
            <w:pPr>
              <w:spacing w:line="360" w:lineRule="auto"/>
              <w:jc w:val="center"/>
              <w:rPr>
                <w:rFonts w:hint="eastAsia" w:hAnsi="宋体"/>
                <w:b/>
                <w:color w:val="auto"/>
                <w:spacing w:val="6"/>
                <w:szCs w:val="21"/>
              </w:rPr>
            </w:pPr>
          </w:p>
          <w:p>
            <w:pPr>
              <w:spacing w:line="360" w:lineRule="auto"/>
              <w:rPr>
                <w:rFonts w:hint="eastAsia"/>
                <w:color w:val="auto"/>
                <w:sz w:val="24"/>
              </w:rPr>
            </w:pPr>
          </w:p>
        </w:tc>
      </w:tr>
    </w:tbl>
    <w:p>
      <w:pPr>
        <w:spacing w:line="360" w:lineRule="auto"/>
        <w:outlineLvl w:val="0"/>
        <w:rPr>
          <w:b/>
          <w:bCs/>
          <w:color w:val="auto"/>
          <w:sz w:val="28"/>
        </w:rPr>
      </w:pPr>
      <w:r>
        <w:rPr>
          <w:b/>
          <w:bCs/>
          <w:color w:val="auto"/>
          <w:sz w:val="28"/>
        </w:rPr>
        <w:br w:type="page"/>
      </w:r>
      <w:r>
        <w:rPr>
          <w:b/>
          <w:bCs/>
          <w:color w:val="auto"/>
          <w:sz w:val="28"/>
        </w:rPr>
        <w:t>建设项目拟采取的防治措施及预期治理效果</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046"/>
        <w:gridCol w:w="1361"/>
        <w:gridCol w:w="316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48" w:type="dxa"/>
            <w:tcBorders>
              <w:top w:val="single" w:color="auto" w:sz="12" w:space="0"/>
              <w:left w:val="single" w:color="auto" w:sz="12" w:space="0"/>
              <w:tl2br w:val="single" w:color="auto" w:sz="4" w:space="0"/>
            </w:tcBorders>
            <w:vAlign w:val="top"/>
          </w:tcPr>
          <w:p>
            <w:pPr>
              <w:adjustRightInd w:val="0"/>
              <w:ind w:left="420" w:leftChars="200"/>
              <w:rPr>
                <w:rFonts w:hint="eastAsia"/>
                <w:color w:val="auto"/>
                <w:szCs w:val="21"/>
              </w:rPr>
            </w:pPr>
            <w:r>
              <w:rPr>
                <w:color w:val="auto"/>
                <w:szCs w:val="21"/>
              </w:rPr>
              <w:t>内容</w:t>
            </w:r>
          </w:p>
          <w:p>
            <w:pPr>
              <w:adjustRightInd w:val="0"/>
              <w:rPr>
                <w:color w:val="auto"/>
                <w:szCs w:val="21"/>
              </w:rPr>
            </w:pPr>
            <w:r>
              <w:rPr>
                <w:color w:val="auto"/>
                <w:szCs w:val="21"/>
              </w:rPr>
              <w:t>类型</w:t>
            </w:r>
          </w:p>
        </w:tc>
        <w:tc>
          <w:tcPr>
            <w:tcW w:w="1046" w:type="dxa"/>
            <w:tcBorders>
              <w:top w:val="single" w:color="auto" w:sz="12" w:space="0"/>
            </w:tcBorders>
            <w:vAlign w:val="center"/>
          </w:tcPr>
          <w:p>
            <w:pPr>
              <w:adjustRightInd w:val="0"/>
              <w:jc w:val="center"/>
              <w:rPr>
                <w:color w:val="auto"/>
                <w:szCs w:val="21"/>
              </w:rPr>
            </w:pPr>
            <w:r>
              <w:rPr>
                <w:color w:val="auto"/>
                <w:szCs w:val="21"/>
              </w:rPr>
              <w:t>排放源</w:t>
            </w:r>
          </w:p>
          <w:p>
            <w:pPr>
              <w:adjustRightInd w:val="0"/>
              <w:jc w:val="center"/>
              <w:rPr>
                <w:color w:val="auto"/>
                <w:szCs w:val="21"/>
              </w:rPr>
            </w:pPr>
            <w:r>
              <w:rPr>
                <w:color w:val="auto"/>
                <w:szCs w:val="21"/>
              </w:rPr>
              <w:t>(编号)</w:t>
            </w:r>
          </w:p>
        </w:tc>
        <w:tc>
          <w:tcPr>
            <w:tcW w:w="1361" w:type="dxa"/>
            <w:tcBorders>
              <w:top w:val="single" w:color="auto" w:sz="12" w:space="0"/>
            </w:tcBorders>
            <w:vAlign w:val="center"/>
          </w:tcPr>
          <w:p>
            <w:pPr>
              <w:adjustRightInd w:val="0"/>
              <w:jc w:val="center"/>
              <w:rPr>
                <w:color w:val="auto"/>
                <w:szCs w:val="21"/>
              </w:rPr>
            </w:pPr>
            <w:r>
              <w:rPr>
                <w:color w:val="auto"/>
                <w:szCs w:val="21"/>
              </w:rPr>
              <w:t>污染物名称</w:t>
            </w:r>
          </w:p>
        </w:tc>
        <w:tc>
          <w:tcPr>
            <w:tcW w:w="3160" w:type="dxa"/>
            <w:tcBorders>
              <w:top w:val="single" w:color="auto" w:sz="12" w:space="0"/>
            </w:tcBorders>
            <w:vAlign w:val="center"/>
          </w:tcPr>
          <w:p>
            <w:pPr>
              <w:adjustRightInd w:val="0"/>
              <w:ind w:firstLine="210" w:firstLineChars="100"/>
              <w:jc w:val="center"/>
              <w:rPr>
                <w:color w:val="auto"/>
                <w:szCs w:val="21"/>
              </w:rPr>
            </w:pPr>
            <w:r>
              <w:rPr>
                <w:color w:val="auto"/>
                <w:szCs w:val="21"/>
              </w:rPr>
              <w:t>防治措施</w:t>
            </w:r>
          </w:p>
        </w:tc>
        <w:tc>
          <w:tcPr>
            <w:tcW w:w="1813" w:type="dxa"/>
            <w:tcBorders>
              <w:top w:val="single" w:color="auto" w:sz="12" w:space="0"/>
              <w:right w:val="single" w:color="auto" w:sz="12" w:space="0"/>
            </w:tcBorders>
            <w:vAlign w:val="center"/>
          </w:tcPr>
          <w:p>
            <w:pPr>
              <w:adjustRightInd w:val="0"/>
              <w:jc w:val="center"/>
              <w:rPr>
                <w:color w:val="auto"/>
                <w:szCs w:val="21"/>
              </w:rPr>
            </w:pPr>
            <w:r>
              <w:rPr>
                <w:color w:val="auto"/>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restart"/>
            <w:tcBorders>
              <w:left w:val="single" w:color="auto" w:sz="12" w:space="0"/>
            </w:tcBorders>
            <w:vAlign w:val="center"/>
          </w:tcPr>
          <w:p>
            <w:pPr>
              <w:adjustRightInd w:val="0"/>
              <w:jc w:val="center"/>
              <w:rPr>
                <w:color w:val="auto"/>
                <w:szCs w:val="21"/>
              </w:rPr>
            </w:pPr>
            <w:r>
              <w:rPr>
                <w:rFonts w:hint="eastAsia"/>
                <w:color w:val="auto"/>
                <w:szCs w:val="21"/>
              </w:rPr>
              <w:t>大气污染物</w:t>
            </w:r>
          </w:p>
        </w:tc>
        <w:tc>
          <w:tcPr>
            <w:tcW w:w="1046" w:type="dxa"/>
            <w:textDirection w:val="lrTb"/>
            <w:vAlign w:val="center"/>
          </w:tcPr>
          <w:p>
            <w:pPr>
              <w:widowControl/>
              <w:jc w:val="center"/>
              <w:rPr>
                <w:rFonts w:hint="eastAsia"/>
                <w:bCs/>
                <w:color w:val="auto"/>
                <w:szCs w:val="21"/>
              </w:rPr>
            </w:pPr>
            <w:r>
              <w:rPr>
                <w:rFonts w:hint="eastAsia"/>
                <w:color w:val="auto"/>
                <w:kern w:val="0"/>
                <w:sz w:val="21"/>
                <w:szCs w:val="21"/>
              </w:rPr>
              <w:t>加药间</w:t>
            </w:r>
          </w:p>
        </w:tc>
        <w:tc>
          <w:tcPr>
            <w:tcW w:w="1361" w:type="dxa"/>
            <w:textDirection w:val="lrTb"/>
            <w:vAlign w:val="center"/>
          </w:tcPr>
          <w:p>
            <w:pPr>
              <w:widowControl/>
              <w:jc w:val="center"/>
              <w:rPr>
                <w:rFonts w:hint="eastAsia"/>
                <w:bCs/>
                <w:color w:val="auto"/>
                <w:szCs w:val="21"/>
              </w:rPr>
            </w:pPr>
            <w:r>
              <w:rPr>
                <w:rFonts w:hint="eastAsia"/>
                <w:color w:val="auto"/>
                <w:kern w:val="0"/>
                <w:sz w:val="21"/>
                <w:szCs w:val="21"/>
              </w:rPr>
              <w:t>盐酸雾</w:t>
            </w:r>
          </w:p>
        </w:tc>
        <w:tc>
          <w:tcPr>
            <w:tcW w:w="3160" w:type="dxa"/>
            <w:textDirection w:val="lrTb"/>
            <w:vAlign w:val="center"/>
          </w:tcPr>
          <w:p>
            <w:pPr>
              <w:widowControl/>
              <w:jc w:val="center"/>
              <w:rPr>
                <w:rFonts w:hint="eastAsia"/>
                <w:color w:val="auto"/>
                <w:szCs w:val="21"/>
              </w:rPr>
            </w:pPr>
            <w:r>
              <w:rPr>
                <w:rFonts w:hint="eastAsia"/>
                <w:color w:val="auto"/>
                <w:kern w:val="0"/>
                <w:sz w:val="21"/>
                <w:szCs w:val="21"/>
              </w:rPr>
              <w:t>将强加药间的通风</w:t>
            </w:r>
          </w:p>
        </w:tc>
        <w:tc>
          <w:tcPr>
            <w:tcW w:w="1813" w:type="dxa"/>
            <w:vMerge w:val="restart"/>
            <w:tcBorders>
              <w:right w:val="single" w:color="auto" w:sz="12" w:space="0"/>
            </w:tcBorders>
            <w:vAlign w:val="center"/>
          </w:tcPr>
          <w:p>
            <w:pPr>
              <w:adjustRightInd w:val="0"/>
              <w:rPr>
                <w:rFonts w:hint="eastAsia" w:eastAsia="宋体"/>
                <w:color w:val="auto"/>
                <w:szCs w:val="21"/>
                <w:lang w:eastAsia="zh-CN"/>
              </w:rPr>
            </w:pPr>
            <w:r>
              <w:rPr>
                <w:rFonts w:hint="eastAsia" w:ascii="宋体" w:hAnsi="宋体"/>
                <w:color w:val="auto"/>
                <w:spacing w:val="6"/>
                <w:szCs w:val="21"/>
                <w:lang w:eastAsia="zh-CN"/>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textDirection w:val="lrTb"/>
            <w:vAlign w:val="center"/>
          </w:tcPr>
          <w:p>
            <w:pPr>
              <w:widowControl/>
              <w:jc w:val="center"/>
              <w:rPr>
                <w:rFonts w:hint="eastAsia"/>
                <w:bCs/>
                <w:color w:val="auto"/>
                <w:szCs w:val="21"/>
              </w:rPr>
            </w:pPr>
            <w:r>
              <w:rPr>
                <w:rFonts w:hint="eastAsia"/>
                <w:color w:val="auto"/>
                <w:kern w:val="0"/>
                <w:sz w:val="21"/>
                <w:szCs w:val="21"/>
              </w:rPr>
              <w:t>发电机尾气kg/a</w:t>
            </w:r>
          </w:p>
        </w:tc>
        <w:tc>
          <w:tcPr>
            <w:tcW w:w="1361" w:type="dxa"/>
            <w:textDirection w:val="lrTb"/>
            <w:vAlign w:val="center"/>
          </w:tcPr>
          <w:p>
            <w:pPr>
              <w:widowControl/>
              <w:snapToGrid w:val="0"/>
              <w:jc w:val="center"/>
              <w:rPr>
                <w:rFonts w:hint="eastAsia"/>
                <w:color w:val="auto"/>
                <w:kern w:val="0"/>
                <w:sz w:val="21"/>
                <w:szCs w:val="21"/>
              </w:rPr>
            </w:pPr>
            <w:r>
              <w:rPr>
                <w:color w:val="auto"/>
                <w:kern w:val="0"/>
                <w:sz w:val="21"/>
                <w:szCs w:val="21"/>
              </w:rPr>
              <w:t>SO</w:t>
            </w:r>
            <w:r>
              <w:rPr>
                <w:color w:val="auto"/>
                <w:kern w:val="0"/>
                <w:sz w:val="21"/>
                <w:szCs w:val="21"/>
                <w:vertAlign w:val="subscript"/>
              </w:rPr>
              <w:t>2</w:t>
            </w:r>
          </w:p>
          <w:p>
            <w:pPr>
              <w:widowControl/>
              <w:snapToGrid w:val="0"/>
              <w:jc w:val="center"/>
              <w:rPr>
                <w:rFonts w:hint="eastAsia"/>
                <w:color w:val="auto"/>
                <w:kern w:val="0"/>
                <w:sz w:val="21"/>
                <w:szCs w:val="21"/>
              </w:rPr>
            </w:pPr>
            <w:r>
              <w:rPr>
                <w:color w:val="auto"/>
                <w:kern w:val="0"/>
                <w:sz w:val="21"/>
                <w:szCs w:val="21"/>
              </w:rPr>
              <w:t>CO</w:t>
            </w:r>
          </w:p>
          <w:p>
            <w:pPr>
              <w:widowControl/>
              <w:snapToGrid w:val="0"/>
              <w:jc w:val="center"/>
              <w:rPr>
                <w:rFonts w:hint="eastAsia"/>
                <w:color w:val="auto"/>
                <w:kern w:val="0"/>
                <w:sz w:val="21"/>
                <w:szCs w:val="21"/>
              </w:rPr>
            </w:pPr>
            <w:r>
              <w:rPr>
                <w:rFonts w:hint="eastAsia"/>
                <w:color w:val="auto"/>
                <w:kern w:val="0"/>
                <w:sz w:val="21"/>
                <w:szCs w:val="21"/>
              </w:rPr>
              <w:t>烟尘</w:t>
            </w:r>
          </w:p>
          <w:p>
            <w:pPr>
              <w:widowControl/>
              <w:snapToGrid w:val="0"/>
              <w:jc w:val="center"/>
              <w:rPr>
                <w:rFonts w:hint="eastAsia"/>
                <w:bCs/>
                <w:color w:val="auto"/>
                <w:szCs w:val="21"/>
              </w:rPr>
            </w:pPr>
            <w:r>
              <w:rPr>
                <w:color w:val="auto"/>
                <w:kern w:val="0"/>
                <w:sz w:val="21"/>
                <w:szCs w:val="21"/>
              </w:rPr>
              <w:t>NO</w:t>
            </w:r>
            <w:r>
              <w:rPr>
                <w:color w:val="auto"/>
                <w:kern w:val="0"/>
                <w:sz w:val="21"/>
                <w:szCs w:val="21"/>
                <w:vertAlign w:val="subscript"/>
              </w:rPr>
              <w:t>2</w:t>
            </w:r>
          </w:p>
        </w:tc>
        <w:tc>
          <w:tcPr>
            <w:tcW w:w="3160" w:type="dxa"/>
            <w:textDirection w:val="lrTb"/>
            <w:vAlign w:val="center"/>
          </w:tcPr>
          <w:p>
            <w:pPr>
              <w:widowControl/>
              <w:jc w:val="center"/>
              <w:rPr>
                <w:rFonts w:hint="eastAsia"/>
                <w:color w:val="auto"/>
                <w:szCs w:val="21"/>
              </w:rPr>
            </w:pPr>
            <w:r>
              <w:rPr>
                <w:rFonts w:hint="eastAsia"/>
                <w:color w:val="auto"/>
                <w:kern w:val="0"/>
                <w:sz w:val="21"/>
                <w:szCs w:val="21"/>
              </w:rPr>
              <w:t>由专用管道引至所在建筑物楼顶高空排放</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textDirection w:val="lrTb"/>
            <w:vAlign w:val="center"/>
          </w:tcPr>
          <w:p>
            <w:pPr>
              <w:widowControl/>
              <w:jc w:val="center"/>
              <w:rPr>
                <w:rFonts w:hint="eastAsia"/>
                <w:color w:val="auto"/>
                <w:kern w:val="0"/>
                <w:sz w:val="21"/>
                <w:szCs w:val="21"/>
              </w:rPr>
            </w:pPr>
            <w:r>
              <w:rPr>
                <w:rFonts w:hint="eastAsia"/>
                <w:color w:val="auto"/>
                <w:kern w:val="0"/>
                <w:sz w:val="21"/>
                <w:szCs w:val="21"/>
              </w:rPr>
              <w:t>食堂</w:t>
            </w:r>
          </w:p>
          <w:p>
            <w:pPr>
              <w:widowControl/>
              <w:jc w:val="center"/>
              <w:rPr>
                <w:rFonts w:hint="eastAsia"/>
                <w:color w:val="auto"/>
                <w:szCs w:val="21"/>
              </w:rPr>
            </w:pPr>
            <w:r>
              <w:rPr>
                <w:rFonts w:hint="eastAsia"/>
                <w:color w:val="auto"/>
                <w:kern w:val="0"/>
                <w:sz w:val="21"/>
                <w:szCs w:val="21"/>
              </w:rPr>
              <w:t>油烟</w:t>
            </w:r>
          </w:p>
        </w:tc>
        <w:tc>
          <w:tcPr>
            <w:tcW w:w="1361" w:type="dxa"/>
            <w:textDirection w:val="lrTb"/>
            <w:vAlign w:val="center"/>
          </w:tcPr>
          <w:p>
            <w:pPr>
              <w:widowControl/>
              <w:jc w:val="center"/>
              <w:rPr>
                <w:bCs/>
                <w:color w:val="auto"/>
                <w:szCs w:val="21"/>
              </w:rPr>
            </w:pPr>
            <w:r>
              <w:rPr>
                <w:rFonts w:hint="eastAsia"/>
                <w:color w:val="auto"/>
                <w:kern w:val="0"/>
                <w:sz w:val="21"/>
                <w:szCs w:val="21"/>
              </w:rPr>
              <w:t>油烟</w:t>
            </w:r>
          </w:p>
        </w:tc>
        <w:tc>
          <w:tcPr>
            <w:tcW w:w="3160" w:type="dxa"/>
            <w:textDirection w:val="lrTb"/>
            <w:vAlign w:val="center"/>
          </w:tcPr>
          <w:p>
            <w:pPr>
              <w:widowControl/>
              <w:jc w:val="center"/>
              <w:rPr>
                <w:rFonts w:hint="eastAsia" w:ascii="宋体" w:hAnsi="宋体"/>
                <w:color w:val="auto"/>
                <w:szCs w:val="21"/>
              </w:rPr>
            </w:pPr>
            <w:r>
              <w:rPr>
                <w:rFonts w:hint="eastAsia"/>
                <w:color w:val="auto"/>
                <w:kern w:val="0"/>
                <w:sz w:val="21"/>
                <w:szCs w:val="21"/>
              </w:rPr>
              <w:t>排气扇外排</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restart"/>
            <w:tcBorders>
              <w:left w:val="single" w:color="auto" w:sz="12" w:space="0"/>
            </w:tcBorders>
            <w:textDirection w:val="lrTb"/>
            <w:vAlign w:val="center"/>
          </w:tcPr>
          <w:p>
            <w:pPr>
              <w:adjustRightInd w:val="0"/>
              <w:jc w:val="center"/>
              <w:rPr>
                <w:rFonts w:hint="eastAsia" w:eastAsia="宋体"/>
                <w:color w:val="auto"/>
                <w:szCs w:val="21"/>
                <w:lang w:eastAsia="zh-CN"/>
              </w:rPr>
            </w:pPr>
            <w:r>
              <w:rPr>
                <w:rFonts w:hint="eastAsia"/>
                <w:color w:val="auto"/>
                <w:szCs w:val="21"/>
                <w:lang w:eastAsia="zh-CN"/>
              </w:rPr>
              <w:t>水污染物</w:t>
            </w:r>
          </w:p>
        </w:tc>
        <w:tc>
          <w:tcPr>
            <w:tcW w:w="1046" w:type="dxa"/>
            <w:vAlign w:val="center"/>
          </w:tcPr>
          <w:p>
            <w:pPr>
              <w:adjustRightInd w:val="0"/>
              <w:jc w:val="center"/>
              <w:rPr>
                <w:rFonts w:hint="eastAsia" w:eastAsia="宋体"/>
                <w:color w:val="auto"/>
                <w:szCs w:val="21"/>
                <w:lang w:eastAsia="zh-CN"/>
              </w:rPr>
            </w:pPr>
            <w:r>
              <w:rPr>
                <w:rFonts w:hint="eastAsia"/>
                <w:color w:val="auto"/>
                <w:szCs w:val="21"/>
                <w:lang w:eastAsia="zh-CN"/>
              </w:rPr>
              <w:t>生活废水</w:t>
            </w:r>
          </w:p>
        </w:tc>
        <w:tc>
          <w:tcPr>
            <w:tcW w:w="1361" w:type="dxa"/>
            <w:textDirection w:val="lrTb"/>
            <w:vAlign w:val="center"/>
          </w:tcPr>
          <w:p>
            <w:pPr>
              <w:widowControl/>
              <w:jc w:val="center"/>
              <w:rPr>
                <w:color w:val="auto"/>
                <w:kern w:val="0"/>
                <w:sz w:val="21"/>
                <w:szCs w:val="21"/>
              </w:rPr>
            </w:pPr>
            <w:r>
              <w:rPr>
                <w:color w:val="auto"/>
                <w:kern w:val="0"/>
                <w:sz w:val="21"/>
                <w:szCs w:val="21"/>
              </w:rPr>
              <w:t>COD</w:t>
            </w:r>
          </w:p>
          <w:p>
            <w:pPr>
              <w:widowControl/>
              <w:jc w:val="center"/>
              <w:rPr>
                <w:color w:val="auto"/>
                <w:kern w:val="0"/>
                <w:sz w:val="21"/>
                <w:szCs w:val="21"/>
              </w:rPr>
            </w:pPr>
            <w:r>
              <w:rPr>
                <w:color w:val="auto"/>
                <w:kern w:val="0"/>
                <w:sz w:val="21"/>
                <w:szCs w:val="21"/>
              </w:rPr>
              <w:t>BOD</w:t>
            </w:r>
            <w:r>
              <w:rPr>
                <w:color w:val="auto"/>
                <w:kern w:val="0"/>
                <w:sz w:val="21"/>
                <w:szCs w:val="21"/>
                <w:vertAlign w:val="subscript"/>
              </w:rPr>
              <w:t>5</w:t>
            </w:r>
          </w:p>
          <w:p>
            <w:pPr>
              <w:widowControl/>
              <w:jc w:val="center"/>
              <w:rPr>
                <w:color w:val="auto"/>
                <w:kern w:val="0"/>
                <w:sz w:val="21"/>
                <w:szCs w:val="21"/>
              </w:rPr>
            </w:pPr>
            <w:r>
              <w:rPr>
                <w:color w:val="auto"/>
                <w:kern w:val="0"/>
                <w:sz w:val="21"/>
                <w:szCs w:val="21"/>
              </w:rPr>
              <w:t>SS</w:t>
            </w:r>
          </w:p>
          <w:p>
            <w:pPr>
              <w:widowControl/>
              <w:jc w:val="center"/>
              <w:rPr>
                <w:bCs/>
                <w:color w:val="auto"/>
                <w:szCs w:val="21"/>
              </w:rPr>
            </w:pPr>
            <w:r>
              <w:rPr>
                <w:color w:val="auto"/>
                <w:kern w:val="0"/>
                <w:sz w:val="21"/>
                <w:szCs w:val="21"/>
              </w:rPr>
              <w:t>NH</w:t>
            </w:r>
            <w:r>
              <w:rPr>
                <w:color w:val="auto"/>
                <w:kern w:val="0"/>
                <w:sz w:val="21"/>
                <w:szCs w:val="21"/>
                <w:vertAlign w:val="subscript"/>
              </w:rPr>
              <w:t>3</w:t>
            </w:r>
            <w:r>
              <w:rPr>
                <w:color w:val="auto"/>
                <w:kern w:val="0"/>
                <w:sz w:val="21"/>
                <w:szCs w:val="21"/>
              </w:rPr>
              <w:t>-N</w:t>
            </w:r>
          </w:p>
        </w:tc>
        <w:tc>
          <w:tcPr>
            <w:tcW w:w="3160" w:type="dxa"/>
            <w:textDirection w:val="lrTb"/>
            <w:vAlign w:val="center"/>
          </w:tcPr>
          <w:p>
            <w:pPr>
              <w:widowControl/>
              <w:jc w:val="center"/>
              <w:rPr>
                <w:rFonts w:hint="eastAsia" w:ascii="宋体" w:hAnsi="宋体"/>
                <w:color w:val="auto"/>
                <w:szCs w:val="21"/>
              </w:rPr>
            </w:pPr>
            <w:r>
              <w:rPr>
                <w:rFonts w:hint="eastAsia"/>
                <w:color w:val="auto"/>
                <w:kern w:val="0"/>
                <w:sz w:val="21"/>
                <w:szCs w:val="21"/>
              </w:rPr>
              <w:t>隔油池、化粪池预处理后用于周边农肥</w:t>
            </w:r>
          </w:p>
        </w:tc>
        <w:tc>
          <w:tcPr>
            <w:tcW w:w="1813" w:type="dxa"/>
            <w:tcBorders>
              <w:right w:val="single" w:color="auto" w:sz="12" w:space="0"/>
            </w:tcBorders>
            <w:vAlign w:val="center"/>
          </w:tcPr>
          <w:p>
            <w:pPr>
              <w:adjustRightInd w:val="0"/>
              <w:rPr>
                <w:color w:val="auto"/>
                <w:szCs w:val="21"/>
              </w:rPr>
            </w:pPr>
            <w:r>
              <w:rPr>
                <w:rFonts w:hint="eastAsia"/>
                <w:color w:val="auto"/>
                <w:szCs w:val="21"/>
              </w:rPr>
              <w:t>用于周边农肥，不外排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lrTb"/>
            <w:vAlign w:val="center"/>
          </w:tcPr>
          <w:p>
            <w:pPr>
              <w:adjustRightInd w:val="0"/>
              <w:jc w:val="center"/>
              <w:rPr>
                <w:rFonts w:hint="eastAsia"/>
                <w:color w:val="auto"/>
                <w:szCs w:val="21"/>
              </w:rPr>
            </w:pPr>
          </w:p>
        </w:tc>
        <w:tc>
          <w:tcPr>
            <w:tcW w:w="1046" w:type="dxa"/>
            <w:textDirection w:val="lrTb"/>
            <w:vAlign w:val="center"/>
          </w:tcPr>
          <w:p>
            <w:pPr>
              <w:widowControl/>
              <w:jc w:val="left"/>
              <w:rPr>
                <w:rFonts w:hint="eastAsia"/>
                <w:color w:val="auto"/>
                <w:szCs w:val="21"/>
              </w:rPr>
            </w:pPr>
            <w:r>
              <w:rPr>
                <w:rFonts w:hint="eastAsia"/>
                <w:color w:val="auto"/>
                <w:kern w:val="0"/>
                <w:sz w:val="21"/>
                <w:szCs w:val="21"/>
              </w:rPr>
              <w:t>沉淀池排泥水</w:t>
            </w:r>
          </w:p>
        </w:tc>
        <w:tc>
          <w:tcPr>
            <w:tcW w:w="1361" w:type="dxa"/>
            <w:textDirection w:val="lrTb"/>
            <w:vAlign w:val="center"/>
          </w:tcPr>
          <w:p>
            <w:pPr>
              <w:widowControl/>
              <w:jc w:val="center"/>
              <w:rPr>
                <w:color w:val="auto"/>
                <w:kern w:val="0"/>
                <w:sz w:val="21"/>
                <w:szCs w:val="21"/>
              </w:rPr>
            </w:pPr>
            <w:r>
              <w:rPr>
                <w:color w:val="auto"/>
                <w:kern w:val="0"/>
                <w:sz w:val="21"/>
                <w:szCs w:val="21"/>
              </w:rPr>
              <w:t>COD</w:t>
            </w:r>
          </w:p>
          <w:p>
            <w:pPr>
              <w:widowControl/>
              <w:jc w:val="center"/>
              <w:rPr>
                <w:bCs/>
                <w:color w:val="auto"/>
                <w:szCs w:val="21"/>
              </w:rPr>
            </w:pPr>
            <w:r>
              <w:rPr>
                <w:color w:val="auto"/>
                <w:kern w:val="0"/>
                <w:sz w:val="21"/>
                <w:szCs w:val="21"/>
              </w:rPr>
              <w:t>SS</w:t>
            </w:r>
          </w:p>
        </w:tc>
        <w:tc>
          <w:tcPr>
            <w:tcW w:w="3160" w:type="dxa"/>
            <w:vMerge w:val="restart"/>
            <w:textDirection w:val="lrTb"/>
            <w:vAlign w:val="center"/>
          </w:tcPr>
          <w:p>
            <w:pPr>
              <w:jc w:val="left"/>
              <w:rPr>
                <w:rFonts w:hint="eastAsia" w:ascii="宋体" w:hAnsi="宋体"/>
                <w:color w:val="auto"/>
                <w:szCs w:val="21"/>
              </w:rPr>
            </w:pPr>
            <w:r>
              <w:rPr>
                <w:rFonts w:hint="eastAsia"/>
                <w:color w:val="auto"/>
                <w:sz w:val="21"/>
                <w:szCs w:val="21"/>
              </w:rPr>
              <w:t>沉淀池排泥水经污泥浓缩和脱水产生的废水与反冲洗水一起排放废水沉淀池沉淀处理后90%回用于原水，10%达标排放至黄金河</w:t>
            </w:r>
          </w:p>
        </w:tc>
        <w:tc>
          <w:tcPr>
            <w:tcW w:w="1813" w:type="dxa"/>
            <w:vMerge w:val="restart"/>
            <w:tcBorders>
              <w:right w:val="single" w:color="auto" w:sz="12" w:space="0"/>
            </w:tcBorders>
            <w:textDirection w:val="lrTb"/>
            <w:vAlign w:val="center"/>
          </w:tcPr>
          <w:p>
            <w:pPr>
              <w:jc w:val="center"/>
              <w:rPr>
                <w:color w:val="auto"/>
                <w:szCs w:val="21"/>
              </w:rPr>
            </w:pPr>
            <w:r>
              <w:rPr>
                <w:rFonts w:hint="eastAsia"/>
                <w:color w:val="auto"/>
                <w:szCs w:val="21"/>
              </w:rPr>
              <w:t>《污水综合排放标准》一级标准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lrTb"/>
            <w:vAlign w:val="center"/>
          </w:tcPr>
          <w:p>
            <w:pPr>
              <w:adjustRightInd w:val="0"/>
              <w:jc w:val="center"/>
              <w:rPr>
                <w:rFonts w:hint="eastAsia"/>
                <w:color w:val="auto"/>
                <w:szCs w:val="21"/>
              </w:rPr>
            </w:pPr>
          </w:p>
        </w:tc>
        <w:tc>
          <w:tcPr>
            <w:tcW w:w="1046" w:type="dxa"/>
            <w:textDirection w:val="lrTb"/>
            <w:vAlign w:val="center"/>
          </w:tcPr>
          <w:p>
            <w:pPr>
              <w:jc w:val="center"/>
              <w:rPr>
                <w:rFonts w:hint="eastAsia"/>
                <w:color w:val="auto"/>
                <w:sz w:val="21"/>
                <w:szCs w:val="21"/>
              </w:rPr>
            </w:pPr>
            <w:r>
              <w:rPr>
                <w:rFonts w:hint="eastAsia"/>
                <w:color w:val="auto"/>
                <w:sz w:val="21"/>
                <w:szCs w:val="21"/>
              </w:rPr>
              <w:t>滤池反</w:t>
            </w:r>
          </w:p>
          <w:p>
            <w:pPr>
              <w:jc w:val="center"/>
              <w:rPr>
                <w:rFonts w:hint="eastAsia"/>
                <w:color w:val="auto"/>
                <w:szCs w:val="21"/>
              </w:rPr>
            </w:pPr>
            <w:r>
              <w:rPr>
                <w:rFonts w:hint="eastAsia"/>
                <w:color w:val="auto"/>
                <w:sz w:val="21"/>
                <w:szCs w:val="21"/>
              </w:rPr>
              <w:t>冲洗水</w:t>
            </w:r>
          </w:p>
        </w:tc>
        <w:tc>
          <w:tcPr>
            <w:tcW w:w="1361" w:type="dxa"/>
            <w:textDirection w:val="lrTb"/>
            <w:vAlign w:val="center"/>
          </w:tcPr>
          <w:p>
            <w:pPr>
              <w:widowControl/>
              <w:jc w:val="center"/>
              <w:rPr>
                <w:color w:val="auto"/>
                <w:kern w:val="0"/>
                <w:sz w:val="21"/>
                <w:szCs w:val="21"/>
              </w:rPr>
            </w:pPr>
            <w:r>
              <w:rPr>
                <w:color w:val="auto"/>
                <w:kern w:val="0"/>
                <w:sz w:val="21"/>
                <w:szCs w:val="21"/>
              </w:rPr>
              <w:t>COD</w:t>
            </w:r>
          </w:p>
          <w:p>
            <w:pPr>
              <w:widowControl/>
              <w:jc w:val="center"/>
              <w:rPr>
                <w:bCs/>
                <w:color w:val="auto"/>
                <w:szCs w:val="21"/>
              </w:rPr>
            </w:pPr>
            <w:r>
              <w:rPr>
                <w:color w:val="auto"/>
                <w:kern w:val="0"/>
                <w:sz w:val="21"/>
                <w:szCs w:val="21"/>
              </w:rPr>
              <w:t>SS</w:t>
            </w:r>
          </w:p>
        </w:tc>
        <w:tc>
          <w:tcPr>
            <w:tcW w:w="3160" w:type="dxa"/>
            <w:vMerge w:val="continue"/>
            <w:vAlign w:val="center"/>
          </w:tcPr>
          <w:p>
            <w:pPr>
              <w:adjustRightInd w:val="0"/>
              <w:rPr>
                <w:rFonts w:hint="eastAsia" w:ascii="宋体" w:hAnsi="宋体"/>
                <w:color w:val="auto"/>
                <w:szCs w:val="21"/>
              </w:rPr>
            </w:pP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restart"/>
            <w:tcBorders>
              <w:left w:val="single" w:color="auto" w:sz="12" w:space="0"/>
            </w:tcBorders>
            <w:textDirection w:val="lrTb"/>
            <w:vAlign w:val="center"/>
          </w:tcPr>
          <w:p>
            <w:pPr>
              <w:adjustRightInd w:val="0"/>
              <w:jc w:val="center"/>
              <w:rPr>
                <w:rFonts w:hint="eastAsia" w:eastAsia="宋体"/>
                <w:color w:val="auto"/>
                <w:szCs w:val="21"/>
                <w:lang w:eastAsia="zh-CN"/>
              </w:rPr>
            </w:pPr>
            <w:r>
              <w:rPr>
                <w:rFonts w:hint="eastAsia"/>
                <w:color w:val="auto"/>
                <w:szCs w:val="21"/>
                <w:lang w:eastAsia="zh-CN"/>
              </w:rPr>
              <w:t>固废废弃物</w:t>
            </w:r>
          </w:p>
        </w:tc>
        <w:tc>
          <w:tcPr>
            <w:tcW w:w="1046" w:type="dxa"/>
            <w:vMerge w:val="restart"/>
            <w:vAlign w:val="center"/>
          </w:tcPr>
          <w:p>
            <w:pPr>
              <w:adjustRightInd w:val="0"/>
              <w:jc w:val="center"/>
              <w:rPr>
                <w:rFonts w:hint="eastAsia" w:eastAsia="宋体"/>
                <w:color w:val="auto"/>
                <w:szCs w:val="21"/>
                <w:lang w:eastAsia="zh-CN"/>
              </w:rPr>
            </w:pPr>
            <w:r>
              <w:rPr>
                <w:rFonts w:hint="eastAsia"/>
                <w:color w:val="auto"/>
                <w:szCs w:val="21"/>
                <w:lang w:eastAsia="zh-CN"/>
              </w:rPr>
              <w:t>净水厂</w:t>
            </w:r>
          </w:p>
        </w:tc>
        <w:tc>
          <w:tcPr>
            <w:tcW w:w="1361" w:type="dxa"/>
            <w:textDirection w:val="lrTb"/>
            <w:vAlign w:val="center"/>
          </w:tcPr>
          <w:p>
            <w:pPr>
              <w:widowControl/>
              <w:jc w:val="center"/>
              <w:rPr>
                <w:bCs/>
                <w:color w:val="auto"/>
                <w:szCs w:val="21"/>
              </w:rPr>
            </w:pPr>
            <w:r>
              <w:rPr>
                <w:color w:val="auto"/>
                <w:kern w:val="0"/>
                <w:sz w:val="21"/>
                <w:szCs w:val="21"/>
              </w:rPr>
              <w:t>生活垃圾</w:t>
            </w:r>
          </w:p>
        </w:tc>
        <w:tc>
          <w:tcPr>
            <w:tcW w:w="3160" w:type="dxa"/>
            <w:textDirection w:val="lrTb"/>
            <w:vAlign w:val="center"/>
          </w:tcPr>
          <w:p>
            <w:pPr>
              <w:spacing w:line="240" w:lineRule="atLeast"/>
              <w:jc w:val="center"/>
              <w:rPr>
                <w:rFonts w:hint="eastAsia" w:ascii="宋体" w:hAnsi="宋体"/>
                <w:color w:val="auto"/>
                <w:szCs w:val="21"/>
              </w:rPr>
            </w:pPr>
            <w:r>
              <w:rPr>
                <w:color w:val="auto"/>
                <w:sz w:val="21"/>
                <w:szCs w:val="21"/>
              </w:rPr>
              <w:t>环卫部门</w:t>
            </w:r>
          </w:p>
        </w:tc>
        <w:tc>
          <w:tcPr>
            <w:tcW w:w="1813" w:type="dxa"/>
            <w:vMerge w:val="restart"/>
            <w:tcBorders>
              <w:right w:val="single" w:color="auto" w:sz="12" w:space="0"/>
            </w:tcBorders>
            <w:textDirection w:val="lrTb"/>
            <w:vAlign w:val="center"/>
          </w:tcPr>
          <w:p>
            <w:pPr>
              <w:jc w:val="center"/>
              <w:rPr>
                <w:color w:val="auto"/>
                <w:szCs w:val="21"/>
              </w:rPr>
            </w:pPr>
            <w:r>
              <w:rPr>
                <w:rFonts w:hint="eastAsia"/>
                <w:color w:val="auto"/>
                <w:szCs w:val="21"/>
              </w:rPr>
              <w:t>可得到妥善处置，对环境影响小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vMerge w:val="continue"/>
            <w:vAlign w:val="center"/>
          </w:tcPr>
          <w:p>
            <w:pPr>
              <w:adjustRightInd w:val="0"/>
              <w:jc w:val="center"/>
              <w:rPr>
                <w:rFonts w:hint="eastAsia"/>
                <w:color w:val="auto"/>
                <w:szCs w:val="21"/>
              </w:rPr>
            </w:pPr>
          </w:p>
        </w:tc>
        <w:tc>
          <w:tcPr>
            <w:tcW w:w="1361" w:type="dxa"/>
            <w:textDirection w:val="lrTb"/>
            <w:vAlign w:val="center"/>
          </w:tcPr>
          <w:p>
            <w:pPr>
              <w:widowControl/>
              <w:jc w:val="center"/>
              <w:rPr>
                <w:bCs/>
                <w:color w:val="auto"/>
                <w:szCs w:val="21"/>
              </w:rPr>
            </w:pPr>
            <w:r>
              <w:rPr>
                <w:rFonts w:hint="eastAsia"/>
                <w:color w:val="auto"/>
                <w:sz w:val="21"/>
                <w:szCs w:val="21"/>
              </w:rPr>
              <w:t>干化污泥</w:t>
            </w:r>
          </w:p>
        </w:tc>
        <w:tc>
          <w:tcPr>
            <w:tcW w:w="3160" w:type="dxa"/>
            <w:textDirection w:val="lrTb"/>
            <w:vAlign w:val="center"/>
          </w:tcPr>
          <w:p>
            <w:pPr>
              <w:spacing w:line="240" w:lineRule="atLeast"/>
              <w:jc w:val="center"/>
              <w:rPr>
                <w:rFonts w:hint="eastAsia" w:ascii="宋体" w:hAnsi="宋体"/>
                <w:color w:val="auto"/>
                <w:szCs w:val="21"/>
              </w:rPr>
            </w:pPr>
            <w:r>
              <w:rPr>
                <w:rFonts w:hint="eastAsia"/>
                <w:color w:val="auto"/>
                <w:sz w:val="21"/>
                <w:szCs w:val="21"/>
              </w:rPr>
              <w:t>送垃圾填埋场填埋</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vMerge w:val="continue"/>
            <w:vAlign w:val="center"/>
          </w:tcPr>
          <w:p>
            <w:pPr>
              <w:adjustRightInd w:val="0"/>
              <w:jc w:val="center"/>
              <w:rPr>
                <w:rFonts w:hint="eastAsia"/>
                <w:color w:val="auto"/>
                <w:szCs w:val="21"/>
              </w:rPr>
            </w:pPr>
          </w:p>
        </w:tc>
        <w:tc>
          <w:tcPr>
            <w:tcW w:w="1361" w:type="dxa"/>
            <w:textDirection w:val="lrTb"/>
            <w:vAlign w:val="center"/>
          </w:tcPr>
          <w:p>
            <w:pPr>
              <w:widowControl/>
              <w:jc w:val="center"/>
              <w:rPr>
                <w:bCs/>
                <w:color w:val="auto"/>
                <w:szCs w:val="21"/>
              </w:rPr>
            </w:pPr>
            <w:r>
              <w:rPr>
                <w:rFonts w:hint="eastAsia"/>
                <w:color w:val="auto"/>
                <w:sz w:val="21"/>
                <w:szCs w:val="21"/>
              </w:rPr>
              <w:t>检验室废液</w:t>
            </w:r>
          </w:p>
        </w:tc>
        <w:tc>
          <w:tcPr>
            <w:tcW w:w="3160" w:type="dxa"/>
            <w:textDirection w:val="lrTb"/>
            <w:vAlign w:val="center"/>
          </w:tcPr>
          <w:p>
            <w:pPr>
              <w:spacing w:line="240" w:lineRule="atLeast"/>
              <w:jc w:val="center"/>
              <w:rPr>
                <w:rFonts w:hint="eastAsia" w:ascii="宋体" w:hAnsi="宋体"/>
                <w:color w:val="auto"/>
                <w:szCs w:val="21"/>
              </w:rPr>
            </w:pPr>
            <w:r>
              <w:rPr>
                <w:color w:val="auto"/>
                <w:sz w:val="21"/>
                <w:szCs w:val="21"/>
              </w:rPr>
              <w:t>有资质的单位</w:t>
            </w:r>
            <w:r>
              <w:rPr>
                <w:rFonts w:hint="eastAsia"/>
                <w:color w:val="auto"/>
                <w:sz w:val="21"/>
                <w:szCs w:val="21"/>
              </w:rPr>
              <w:t>处理</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vMerge w:val="continue"/>
            <w:vAlign w:val="center"/>
          </w:tcPr>
          <w:p>
            <w:pPr>
              <w:adjustRightInd w:val="0"/>
              <w:jc w:val="center"/>
              <w:rPr>
                <w:rFonts w:hint="eastAsia"/>
                <w:color w:val="auto"/>
                <w:szCs w:val="21"/>
              </w:rPr>
            </w:pPr>
          </w:p>
        </w:tc>
        <w:tc>
          <w:tcPr>
            <w:tcW w:w="1361" w:type="dxa"/>
            <w:textDirection w:val="lrTb"/>
            <w:vAlign w:val="center"/>
          </w:tcPr>
          <w:p>
            <w:pPr>
              <w:widowControl/>
              <w:jc w:val="right"/>
              <w:rPr>
                <w:rFonts w:hint="eastAsia"/>
                <w:color w:val="auto"/>
                <w:sz w:val="21"/>
                <w:szCs w:val="21"/>
              </w:rPr>
            </w:pPr>
            <w:r>
              <w:rPr>
                <w:rFonts w:hint="eastAsia"/>
                <w:color w:val="auto"/>
                <w:sz w:val="21"/>
                <w:szCs w:val="21"/>
              </w:rPr>
              <w:t>废弃试剂、</w:t>
            </w:r>
          </w:p>
          <w:p>
            <w:pPr>
              <w:widowControl/>
              <w:jc w:val="center"/>
              <w:rPr>
                <w:bCs/>
                <w:color w:val="auto"/>
                <w:szCs w:val="21"/>
              </w:rPr>
            </w:pPr>
            <w:r>
              <w:rPr>
                <w:rFonts w:hint="eastAsia"/>
                <w:color w:val="auto"/>
                <w:sz w:val="21"/>
                <w:szCs w:val="21"/>
              </w:rPr>
              <w:t>药品</w:t>
            </w:r>
          </w:p>
        </w:tc>
        <w:tc>
          <w:tcPr>
            <w:tcW w:w="3160" w:type="dxa"/>
            <w:textDirection w:val="lrTb"/>
            <w:vAlign w:val="center"/>
          </w:tcPr>
          <w:p>
            <w:pPr>
              <w:spacing w:line="240" w:lineRule="atLeast"/>
              <w:jc w:val="center"/>
              <w:rPr>
                <w:rFonts w:hint="eastAsia" w:ascii="宋体" w:hAnsi="宋体"/>
                <w:color w:val="auto"/>
                <w:szCs w:val="21"/>
              </w:rPr>
            </w:pPr>
            <w:r>
              <w:rPr>
                <w:color w:val="auto"/>
                <w:sz w:val="21"/>
                <w:szCs w:val="21"/>
              </w:rPr>
              <w:t>有资质的单位</w:t>
            </w:r>
            <w:r>
              <w:rPr>
                <w:rFonts w:hint="eastAsia"/>
                <w:color w:val="auto"/>
                <w:sz w:val="21"/>
                <w:szCs w:val="21"/>
              </w:rPr>
              <w:t>处理</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vMerge w:val="continue"/>
            <w:tcBorders>
              <w:left w:val="single" w:color="auto" w:sz="12" w:space="0"/>
            </w:tcBorders>
            <w:textDirection w:val="tbRlV"/>
            <w:vAlign w:val="center"/>
          </w:tcPr>
          <w:p>
            <w:pPr>
              <w:adjustRightInd w:val="0"/>
              <w:jc w:val="center"/>
              <w:rPr>
                <w:rFonts w:hint="eastAsia"/>
                <w:color w:val="auto"/>
                <w:szCs w:val="21"/>
              </w:rPr>
            </w:pPr>
          </w:p>
        </w:tc>
        <w:tc>
          <w:tcPr>
            <w:tcW w:w="1046" w:type="dxa"/>
            <w:vMerge w:val="continue"/>
            <w:vAlign w:val="center"/>
          </w:tcPr>
          <w:p>
            <w:pPr>
              <w:adjustRightInd w:val="0"/>
              <w:jc w:val="center"/>
              <w:rPr>
                <w:rFonts w:hint="eastAsia"/>
                <w:color w:val="auto"/>
                <w:szCs w:val="21"/>
              </w:rPr>
            </w:pPr>
          </w:p>
        </w:tc>
        <w:tc>
          <w:tcPr>
            <w:tcW w:w="1361" w:type="dxa"/>
            <w:textDirection w:val="lrTb"/>
            <w:vAlign w:val="center"/>
          </w:tcPr>
          <w:p>
            <w:pPr>
              <w:widowControl/>
              <w:jc w:val="center"/>
              <w:rPr>
                <w:bCs/>
                <w:color w:val="auto"/>
                <w:szCs w:val="21"/>
              </w:rPr>
            </w:pPr>
            <w:r>
              <w:rPr>
                <w:rFonts w:hint="eastAsia"/>
                <w:color w:val="auto"/>
                <w:sz w:val="21"/>
                <w:szCs w:val="21"/>
              </w:rPr>
              <w:t>消毒残液</w:t>
            </w:r>
          </w:p>
        </w:tc>
        <w:tc>
          <w:tcPr>
            <w:tcW w:w="3160" w:type="dxa"/>
            <w:textDirection w:val="lrTb"/>
            <w:vAlign w:val="center"/>
          </w:tcPr>
          <w:p>
            <w:pPr>
              <w:spacing w:line="240" w:lineRule="atLeast"/>
              <w:jc w:val="center"/>
              <w:rPr>
                <w:rFonts w:hint="eastAsia" w:ascii="宋体" w:hAnsi="宋体"/>
                <w:color w:val="auto"/>
                <w:szCs w:val="21"/>
              </w:rPr>
            </w:pPr>
            <w:r>
              <w:rPr>
                <w:rFonts w:hint="eastAsia"/>
                <w:color w:val="auto"/>
                <w:sz w:val="21"/>
                <w:szCs w:val="21"/>
              </w:rPr>
              <w:t>厂家定期回收处理</w:t>
            </w:r>
          </w:p>
        </w:tc>
        <w:tc>
          <w:tcPr>
            <w:tcW w:w="1813" w:type="dxa"/>
            <w:vMerge w:val="continue"/>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trPr>
        <w:tc>
          <w:tcPr>
            <w:tcW w:w="1148" w:type="dxa"/>
            <w:tcBorders>
              <w:left w:val="single" w:color="auto" w:sz="12" w:space="0"/>
            </w:tcBorders>
            <w:textDirection w:val="lrTb"/>
            <w:vAlign w:val="center"/>
          </w:tcPr>
          <w:p>
            <w:pPr>
              <w:adjustRightInd w:val="0"/>
              <w:jc w:val="center"/>
              <w:rPr>
                <w:rFonts w:hint="eastAsia" w:eastAsia="宋体"/>
                <w:color w:val="auto"/>
                <w:szCs w:val="21"/>
                <w:lang w:eastAsia="zh-CN"/>
              </w:rPr>
            </w:pPr>
            <w:r>
              <w:rPr>
                <w:rFonts w:hint="eastAsia"/>
                <w:color w:val="auto"/>
                <w:szCs w:val="21"/>
                <w:lang w:eastAsia="zh-CN"/>
              </w:rPr>
              <w:t>噪声</w:t>
            </w:r>
          </w:p>
        </w:tc>
        <w:tc>
          <w:tcPr>
            <w:tcW w:w="7380" w:type="dxa"/>
            <w:gridSpan w:val="4"/>
            <w:tcBorders>
              <w:right w:val="single" w:color="auto" w:sz="12" w:space="0"/>
            </w:tcBorders>
            <w:vAlign w:val="center"/>
          </w:tcPr>
          <w:p>
            <w:pPr>
              <w:adjustRightInd w:val="0"/>
              <w:rPr>
                <w:color w:val="auto"/>
                <w:szCs w:val="21"/>
              </w:rPr>
            </w:pPr>
            <w:r>
              <w:rPr>
                <w:rFonts w:hint="eastAsia" w:ascii="宋体" w:hAnsi="宋体"/>
                <w:color w:val="auto"/>
                <w:szCs w:val="21"/>
              </w:rPr>
              <w:t>对噪声机械设备采取低噪声设备、基础减震、隔声 屏障等措施处理，并保持其良好的工况；采取上述措施后</w:t>
            </w:r>
            <w:r>
              <w:rPr>
                <w:rFonts w:hint="eastAsia"/>
                <w:color w:val="auto"/>
                <w:szCs w:val="21"/>
              </w:rPr>
              <w:t>噪声满足</w:t>
            </w:r>
            <w:r>
              <w:rPr>
                <w:rFonts w:hint="eastAsia"/>
                <w:bCs/>
                <w:color w:val="auto"/>
                <w:szCs w:val="21"/>
              </w:rPr>
              <w:t>《建筑施工场界环境噪声排放标准》（</w:t>
            </w:r>
            <w:r>
              <w:rPr>
                <w:bCs/>
                <w:color w:val="auto"/>
                <w:szCs w:val="21"/>
              </w:rPr>
              <w:t>GB12523-2011</w:t>
            </w:r>
            <w:r>
              <w:rPr>
                <w:rFonts w:hint="eastAsia"/>
                <w:bCs/>
                <w:color w:val="auto"/>
                <w:szCs w:val="21"/>
              </w:rPr>
              <w:t>）</w:t>
            </w:r>
            <w:r>
              <w:rPr>
                <w:rFonts w:hint="eastAsia"/>
                <w:color w:val="auto"/>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1148" w:type="dxa"/>
            <w:tcBorders>
              <w:left w:val="single" w:color="auto" w:sz="12" w:space="0"/>
            </w:tcBorders>
            <w:vAlign w:val="center"/>
          </w:tcPr>
          <w:p>
            <w:pPr>
              <w:adjustRightInd w:val="0"/>
              <w:jc w:val="center"/>
              <w:rPr>
                <w:color w:val="auto"/>
                <w:szCs w:val="21"/>
              </w:rPr>
            </w:pPr>
            <w:r>
              <w:rPr>
                <w:color w:val="auto"/>
                <w:szCs w:val="21"/>
              </w:rPr>
              <w:t>其它</w:t>
            </w:r>
          </w:p>
        </w:tc>
        <w:tc>
          <w:tcPr>
            <w:tcW w:w="7380" w:type="dxa"/>
            <w:gridSpan w:val="4"/>
            <w:tcBorders>
              <w:right w:val="single" w:color="auto" w:sz="12" w:space="0"/>
            </w:tcBorders>
            <w:vAlign w:val="center"/>
          </w:tcPr>
          <w:p>
            <w:pPr>
              <w:adjustRightIn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trPr>
        <w:tc>
          <w:tcPr>
            <w:tcW w:w="8528" w:type="dxa"/>
            <w:gridSpan w:val="5"/>
            <w:tcBorders>
              <w:left w:val="single" w:color="auto" w:sz="12" w:space="0"/>
              <w:bottom w:val="single" w:color="auto" w:sz="12" w:space="0"/>
              <w:right w:val="single" w:color="auto" w:sz="12" w:space="0"/>
            </w:tcBorders>
            <w:vAlign w:val="top"/>
          </w:tcPr>
          <w:p>
            <w:pPr>
              <w:adjustRightInd w:val="0"/>
              <w:spacing w:line="360" w:lineRule="auto"/>
              <w:rPr>
                <w:color w:val="auto"/>
                <w:sz w:val="24"/>
              </w:rPr>
            </w:pPr>
            <w:r>
              <w:rPr>
                <w:color w:val="auto"/>
                <w:sz w:val="24"/>
              </w:rPr>
              <w:t>生态保护措施及预期效果：</w:t>
            </w:r>
          </w:p>
          <w:p>
            <w:pPr>
              <w:adjustRightInd w:val="0"/>
              <w:spacing w:line="360" w:lineRule="auto"/>
              <w:ind w:firstLine="420" w:firstLineChars="200"/>
              <w:rPr>
                <w:rFonts w:hint="eastAsia"/>
                <w:color w:val="auto"/>
                <w:szCs w:val="21"/>
              </w:rPr>
            </w:pPr>
            <w:r>
              <w:rPr>
                <w:rFonts w:hint="eastAsia"/>
                <w:color w:val="auto"/>
                <w:szCs w:val="21"/>
              </w:rPr>
              <w:t>施工单位合理安排好施工计划，文明施工，避免对施工场外部农田和林地的破坏，影响农田生态和保护区生境。弃土堆放（或开挖）施工将表层腐殖土移至一旁，并采取水土流失防治措施，施工结束后，再将表层土壤覆回土地表面，并于施工结束的当年进行复耕或绿化，减少地表裸露时间。对工程临时占用的非耕地土地资源，在工程完工后，按其原有地貌进行恢复，保护工程周边林木。管道施工避开雨季施工，规范施工，严格管理。</w:t>
            </w:r>
          </w:p>
          <w:p>
            <w:pPr>
              <w:adjustRightInd w:val="0"/>
              <w:spacing w:line="360" w:lineRule="auto"/>
              <w:ind w:firstLine="420" w:firstLineChars="200"/>
              <w:rPr>
                <w:rFonts w:hint="eastAsia"/>
                <w:color w:val="auto"/>
                <w:szCs w:val="21"/>
              </w:rPr>
            </w:pPr>
            <w:r>
              <w:rPr>
                <w:rFonts w:hint="eastAsia"/>
                <w:color w:val="auto"/>
                <w:szCs w:val="21"/>
              </w:rPr>
              <w:t>采取以上措施后，项目施工不会对生态环境产生明显影响。</w:t>
            </w:r>
          </w:p>
          <w:p>
            <w:pPr>
              <w:adjustRightInd w:val="0"/>
              <w:ind w:firstLine="420" w:firstLineChars="200"/>
              <w:rPr>
                <w:rFonts w:hint="eastAsia"/>
                <w:color w:val="auto"/>
                <w:szCs w:val="21"/>
              </w:rPr>
            </w:pPr>
          </w:p>
          <w:p>
            <w:pPr>
              <w:adjustRightInd w:val="0"/>
              <w:ind w:firstLine="420" w:firstLineChars="200"/>
              <w:rPr>
                <w:rFonts w:hint="eastAsia"/>
                <w:color w:val="auto"/>
                <w:szCs w:val="21"/>
              </w:rPr>
            </w:pPr>
          </w:p>
          <w:p>
            <w:pPr>
              <w:adjustRightInd w:val="0"/>
              <w:ind w:firstLine="420" w:firstLineChars="200"/>
              <w:rPr>
                <w:rFonts w:hint="eastAsia"/>
                <w:color w:val="auto"/>
                <w:szCs w:val="21"/>
              </w:rPr>
            </w:pPr>
          </w:p>
          <w:p>
            <w:pPr>
              <w:adjustRightInd w:val="0"/>
              <w:ind w:firstLine="420" w:firstLineChars="200"/>
              <w:rPr>
                <w:rFonts w:hint="eastAsia"/>
                <w:color w:val="auto"/>
                <w:szCs w:val="21"/>
              </w:rPr>
            </w:pPr>
          </w:p>
          <w:p>
            <w:pPr>
              <w:adjustRightInd w:val="0"/>
              <w:ind w:firstLine="420" w:firstLineChars="200"/>
              <w:rPr>
                <w:rFonts w:hint="eastAsia"/>
                <w:color w:val="auto"/>
                <w:szCs w:val="21"/>
              </w:rPr>
            </w:pPr>
          </w:p>
          <w:p>
            <w:pPr>
              <w:adjustRightInd w:val="0"/>
              <w:ind w:firstLine="420" w:firstLineChars="200"/>
              <w:rPr>
                <w:rFonts w:hint="eastAsia"/>
                <w:color w:val="auto"/>
                <w:szCs w:val="21"/>
              </w:rPr>
            </w:pPr>
          </w:p>
          <w:p>
            <w:pPr>
              <w:adjustRightInd w:val="0"/>
              <w:ind w:firstLine="420" w:firstLineChars="200"/>
              <w:rPr>
                <w:rFonts w:hint="eastAsia"/>
                <w:bCs/>
                <w:color w:val="auto"/>
                <w:szCs w:val="21"/>
              </w:rPr>
            </w:pPr>
          </w:p>
        </w:tc>
      </w:tr>
    </w:tbl>
    <w:p>
      <w:pPr>
        <w:pStyle w:val="22"/>
        <w:numPr>
          <w:ilvl w:val="0"/>
          <w:numId w:val="0"/>
        </w:numPr>
        <w:ind w:leftChars="0"/>
        <w:rPr>
          <w:rFonts w:hint="eastAsia"/>
          <w:lang w:val="en-US" w:eastAsia="zh-CN"/>
        </w:rPr>
        <w:sectPr>
          <w:headerReference r:id="rId3" w:type="default"/>
          <w:footerReference r:id="rId4" w:type="default"/>
          <w:footerReference r:id="rId5" w:type="even"/>
          <w:pgSz w:w="11906" w:h="16838"/>
          <w:pgMar w:top="1559" w:right="1797" w:bottom="1440" w:left="1797" w:header="851" w:footer="992" w:gutter="0"/>
          <w:pgBorders>
            <w:top w:val="none" w:sz="0" w:space="0"/>
            <w:left w:val="none" w:sz="0" w:space="0"/>
            <w:bottom w:val="none" w:sz="0" w:space="0"/>
            <w:right w:val="none" w:sz="0" w:space="0"/>
          </w:pgBorders>
          <w:pgNumType w:fmt="numberInDash" w:start="1"/>
          <w:cols w:space="425" w:num="1"/>
          <w:docGrid w:type="linesAndChars" w:linePitch="312" w:charSpace="0"/>
        </w:sectPr>
      </w:pPr>
    </w:p>
    <w:p>
      <w:pPr>
        <w:pStyle w:val="22"/>
        <w:numPr>
          <w:ilvl w:val="0"/>
          <w:numId w:val="0"/>
        </w:numPr>
        <w:ind w:leftChars="0"/>
        <w:rPr>
          <w:rFonts w:hint="eastAsia" w:ascii="Times New Roman" w:hAnsi="Times New Roman" w:eastAsia="宋体" w:cs="Times New Roman"/>
          <w:b/>
          <w:bCs/>
          <w:color w:val="auto"/>
          <w:kern w:val="2"/>
          <w:sz w:val="28"/>
          <w:szCs w:val="24"/>
          <w:lang w:val="en-US" w:eastAsia="zh-CN" w:bidi="ar-SA"/>
        </w:rPr>
      </w:pPr>
      <w:r>
        <w:rPr>
          <w:rFonts w:hint="eastAsia" w:ascii="Times New Roman" w:hAnsi="Times New Roman" w:eastAsia="宋体" w:cs="Times New Roman"/>
          <w:b/>
          <w:bCs/>
          <w:color w:val="auto"/>
          <w:kern w:val="2"/>
          <w:sz w:val="28"/>
          <w:szCs w:val="24"/>
          <w:lang w:val="en-US" w:eastAsia="zh-CN" w:bidi="ar-SA"/>
        </w:rPr>
        <w:t>公众参与</w:t>
      </w:r>
    </w:p>
    <w:tbl>
      <w:tblPr>
        <w:tblStyle w:val="15"/>
        <w:tblW w:w="928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287" w:type="dxa"/>
            <w:tcBorders>
              <w:tl2br w:val="nil"/>
              <w:tr2bl w:val="nil"/>
            </w:tcBorders>
            <w:vAlign w:val="top"/>
          </w:tcPr>
          <w:p>
            <w:pPr>
              <w:adjustRightInd w:val="0"/>
              <w:spacing w:line="360" w:lineRule="auto"/>
              <w:rPr>
                <w:rFonts w:hint="eastAsia"/>
                <w:b/>
                <w:bCs/>
                <w:color w:val="auto"/>
                <w:sz w:val="24"/>
                <w:lang w:val="en-US" w:eastAsia="zh-CN"/>
              </w:rPr>
            </w:pPr>
            <w:bookmarkStart w:id="19" w:name="_Toc420932053"/>
            <w:r>
              <w:rPr>
                <w:rFonts w:hint="eastAsia"/>
                <w:b/>
                <w:bCs/>
                <w:color w:val="auto"/>
                <w:sz w:val="24"/>
                <w:lang w:val="en-US" w:eastAsia="zh-CN"/>
              </w:rPr>
              <w:t>1、公众参与调查目的</w:t>
            </w:r>
          </w:p>
          <w:p>
            <w:pPr>
              <w:adjustRightInd w:val="0"/>
              <w:spacing w:line="360" w:lineRule="auto"/>
              <w:ind w:firstLine="480" w:firstLineChars="200"/>
              <w:rPr>
                <w:color w:val="auto"/>
                <w:sz w:val="24"/>
                <w:u w:val="none"/>
              </w:rPr>
            </w:pPr>
            <w:r>
              <w:rPr>
                <w:color w:val="auto"/>
                <w:sz w:val="24"/>
                <w:u w:val="none"/>
              </w:rPr>
              <w:t>按照《环境影响评价公众参与暂行办法》的有关规定，</w:t>
            </w:r>
            <w:r>
              <w:rPr>
                <w:rFonts w:hint="eastAsia"/>
                <w:color w:val="auto"/>
                <w:sz w:val="24"/>
                <w:u w:val="none"/>
              </w:rPr>
              <w:t>本项目</w:t>
            </w:r>
            <w:r>
              <w:rPr>
                <w:color w:val="auto"/>
                <w:sz w:val="24"/>
                <w:u w:val="none"/>
              </w:rPr>
              <w:t>应当征求建设项目所在地居民的意见，了解公众对项目建设的态度、意见和要求，使可能受到影响的公众利益得到考虑，在此基础上进一步改进环保设施，减轻项目的环境影响。</w:t>
            </w:r>
          </w:p>
          <w:p>
            <w:pPr>
              <w:adjustRightInd w:val="0"/>
              <w:spacing w:line="360" w:lineRule="auto"/>
              <w:rPr>
                <w:rFonts w:hint="eastAsia"/>
                <w:b/>
                <w:bCs/>
                <w:color w:val="auto"/>
                <w:sz w:val="24"/>
                <w:lang w:val="en-US" w:eastAsia="zh-CN"/>
              </w:rPr>
            </w:pPr>
            <w:r>
              <w:rPr>
                <w:rFonts w:hint="eastAsia"/>
                <w:b/>
                <w:bCs/>
                <w:color w:val="auto"/>
                <w:sz w:val="24"/>
                <w:lang w:val="en-US" w:eastAsia="zh-CN"/>
              </w:rPr>
              <w:t>2、调查方法及对象</w:t>
            </w:r>
          </w:p>
          <w:p>
            <w:pPr>
              <w:adjustRightInd w:val="0"/>
              <w:spacing w:line="360" w:lineRule="auto"/>
              <w:ind w:firstLine="480" w:firstLineChars="200"/>
              <w:rPr>
                <w:color w:val="auto"/>
                <w:sz w:val="24"/>
                <w:u w:val="none"/>
              </w:rPr>
            </w:pPr>
            <w:r>
              <w:rPr>
                <w:color w:val="auto"/>
                <w:sz w:val="24"/>
                <w:u w:val="none"/>
              </w:rPr>
              <w:t>公众参与调查的方法是采取问卷式调查方式，问卷内容详见附件公众参与调查表，调查时间201</w:t>
            </w:r>
            <w:r>
              <w:rPr>
                <w:rFonts w:hint="eastAsia"/>
                <w:color w:val="auto"/>
                <w:sz w:val="24"/>
                <w:u w:val="none"/>
              </w:rPr>
              <w:t>7</w:t>
            </w:r>
            <w:r>
              <w:rPr>
                <w:color w:val="auto"/>
                <w:sz w:val="24"/>
                <w:u w:val="none"/>
              </w:rPr>
              <w:t>年</w:t>
            </w:r>
            <w:r>
              <w:rPr>
                <w:rFonts w:hint="eastAsia"/>
                <w:color w:val="auto"/>
                <w:sz w:val="24"/>
                <w:u w:val="none"/>
                <w:lang w:val="en-US" w:eastAsia="zh-CN"/>
              </w:rPr>
              <w:t>1</w:t>
            </w:r>
            <w:r>
              <w:rPr>
                <w:color w:val="auto"/>
                <w:sz w:val="24"/>
                <w:u w:val="none"/>
              </w:rPr>
              <w:t>月</w:t>
            </w:r>
            <w:r>
              <w:rPr>
                <w:rFonts w:hint="eastAsia"/>
                <w:color w:val="auto"/>
                <w:sz w:val="24"/>
                <w:u w:val="none"/>
                <w:lang w:val="en-US" w:eastAsia="zh-CN"/>
              </w:rPr>
              <w:t>4</w:t>
            </w:r>
            <w:r>
              <w:rPr>
                <w:color w:val="auto"/>
                <w:sz w:val="24"/>
                <w:u w:val="none"/>
              </w:rPr>
              <w:t>日。本次调查</w:t>
            </w:r>
            <w:r>
              <w:rPr>
                <w:rFonts w:hint="eastAsia"/>
                <w:color w:val="auto"/>
                <w:sz w:val="24"/>
                <w:u w:val="none"/>
              </w:rPr>
              <w:t>建设单位</w:t>
            </w:r>
            <w:r>
              <w:rPr>
                <w:color w:val="auto"/>
                <w:sz w:val="24"/>
                <w:u w:val="none"/>
              </w:rPr>
              <w:t>共发放</w:t>
            </w:r>
            <w:r>
              <w:rPr>
                <w:rFonts w:hint="eastAsia"/>
                <w:color w:val="auto"/>
                <w:sz w:val="24"/>
                <w:u w:val="none"/>
                <w:lang w:eastAsia="zh-CN"/>
              </w:rPr>
              <w:t>个人</w:t>
            </w:r>
            <w:r>
              <w:rPr>
                <w:color w:val="auto"/>
                <w:sz w:val="24"/>
                <w:u w:val="none"/>
              </w:rPr>
              <w:t>问卷</w:t>
            </w:r>
            <w:r>
              <w:rPr>
                <w:rFonts w:hint="eastAsia"/>
                <w:color w:val="auto"/>
                <w:sz w:val="24"/>
                <w:u w:val="none"/>
                <w:lang w:val="en-US" w:eastAsia="zh-CN"/>
              </w:rPr>
              <w:t>16</w:t>
            </w:r>
            <w:r>
              <w:rPr>
                <w:color w:val="auto"/>
                <w:sz w:val="24"/>
                <w:u w:val="none"/>
              </w:rPr>
              <w:t>份</w:t>
            </w:r>
            <w:r>
              <w:rPr>
                <w:rFonts w:hint="eastAsia"/>
                <w:color w:val="auto"/>
                <w:sz w:val="24"/>
                <w:u w:val="none"/>
                <w:lang w:eastAsia="zh-CN"/>
              </w:rPr>
              <w:t>，团体问卷</w:t>
            </w:r>
            <w:r>
              <w:rPr>
                <w:rFonts w:hint="eastAsia"/>
                <w:color w:val="auto"/>
                <w:sz w:val="24"/>
                <w:u w:val="none"/>
                <w:lang w:val="en-US" w:eastAsia="zh-CN"/>
              </w:rPr>
              <w:t>12份</w:t>
            </w:r>
            <w:r>
              <w:rPr>
                <w:rFonts w:hint="eastAsia"/>
                <w:color w:val="auto"/>
                <w:sz w:val="24"/>
                <w:u w:val="none"/>
              </w:rPr>
              <w:t>，</w:t>
            </w:r>
            <w:r>
              <w:rPr>
                <w:color w:val="auto"/>
                <w:sz w:val="24"/>
                <w:u w:val="none"/>
              </w:rPr>
              <w:t>均收回。调查问卷主要是采取走访各家各户</w:t>
            </w:r>
            <w:r>
              <w:rPr>
                <w:rFonts w:hint="eastAsia"/>
                <w:color w:val="auto"/>
                <w:sz w:val="24"/>
                <w:u w:val="none"/>
                <w:lang w:eastAsia="zh-CN"/>
              </w:rPr>
              <w:t>及各相关团体</w:t>
            </w:r>
            <w:r>
              <w:rPr>
                <w:color w:val="auto"/>
                <w:sz w:val="24"/>
                <w:u w:val="none"/>
              </w:rPr>
              <w:t>，上门发放个人公众参与调查表，并当场回收填好的公众参与调查问卷。</w:t>
            </w:r>
          </w:p>
          <w:p>
            <w:pPr>
              <w:adjustRightInd w:val="0"/>
              <w:spacing w:line="360" w:lineRule="auto"/>
              <w:rPr>
                <w:rFonts w:hint="eastAsia"/>
                <w:b/>
                <w:bCs/>
                <w:color w:val="auto"/>
                <w:sz w:val="24"/>
                <w:lang w:val="en-US" w:eastAsia="zh-CN"/>
              </w:rPr>
            </w:pPr>
            <w:r>
              <w:rPr>
                <w:rFonts w:hint="eastAsia"/>
                <w:b/>
                <w:bCs/>
                <w:color w:val="auto"/>
                <w:sz w:val="24"/>
                <w:lang w:val="en-US" w:eastAsia="zh-CN"/>
              </w:rPr>
              <w:t>3、被调查对象基本情况</w:t>
            </w:r>
          </w:p>
          <w:p>
            <w:pPr>
              <w:spacing w:line="360" w:lineRule="auto"/>
              <w:jc w:val="center"/>
              <w:rPr>
                <w:b/>
                <w:color w:val="auto"/>
                <w:szCs w:val="21"/>
                <w:u w:val="none"/>
              </w:rPr>
            </w:pPr>
            <w:r>
              <w:rPr>
                <w:b/>
                <w:color w:val="auto"/>
                <w:szCs w:val="21"/>
                <w:u w:val="none"/>
              </w:rPr>
              <w:t>表</w:t>
            </w:r>
            <w:r>
              <w:rPr>
                <w:rFonts w:hint="eastAsia"/>
                <w:b/>
                <w:color w:val="auto"/>
                <w:szCs w:val="21"/>
                <w:u w:val="none"/>
                <w:lang w:val="en-US" w:eastAsia="zh-CN"/>
              </w:rPr>
              <w:t>41</w:t>
            </w:r>
            <w:r>
              <w:rPr>
                <w:b/>
                <w:color w:val="auto"/>
                <w:szCs w:val="21"/>
                <w:u w:val="none"/>
              </w:rPr>
              <w:t xml:space="preserve">  公众参与</w:t>
            </w:r>
            <w:r>
              <w:rPr>
                <w:rFonts w:hint="eastAsia"/>
                <w:b/>
                <w:color w:val="auto"/>
                <w:szCs w:val="21"/>
                <w:u w:val="none"/>
              </w:rPr>
              <w:t>个人</w:t>
            </w:r>
            <w:r>
              <w:rPr>
                <w:b/>
                <w:color w:val="auto"/>
                <w:szCs w:val="21"/>
                <w:u w:val="none"/>
              </w:rPr>
              <w:t>情况表</w:t>
            </w:r>
          </w:p>
          <w:tbl>
            <w:tblPr>
              <w:tblStyle w:val="14"/>
              <w:tblW w:w="906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093"/>
              <w:gridCol w:w="828"/>
              <w:gridCol w:w="763"/>
              <w:gridCol w:w="2288"/>
              <w:gridCol w:w="1611"/>
              <w:gridCol w:w="16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0" w:space="0"/>
                    <w:bottom w:val="single" w:color="auto" w:sz="4" w:space="0"/>
                    <w:right w:val="single" w:color="auto" w:sz="4" w:space="0"/>
                  </w:tcBorders>
                  <w:vAlign w:val="center"/>
                </w:tcPr>
                <w:p>
                  <w:pPr>
                    <w:jc w:val="center"/>
                    <w:rPr>
                      <w:bCs/>
                      <w:color w:val="auto"/>
                      <w:szCs w:val="21"/>
                      <w:u w:val="none"/>
                    </w:rPr>
                  </w:pPr>
                  <w:r>
                    <w:rPr>
                      <w:bCs/>
                      <w:color w:val="auto"/>
                      <w:szCs w:val="21"/>
                      <w:u w:val="none"/>
                    </w:rPr>
                    <w:t>序号</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21"/>
                      <w:u w:val="none"/>
                    </w:rPr>
                  </w:pPr>
                  <w:r>
                    <w:rPr>
                      <w:bCs/>
                      <w:color w:val="auto"/>
                      <w:szCs w:val="21"/>
                      <w:u w:val="none"/>
                    </w:rPr>
                    <w:t>姓名</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性别</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年龄</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单位或住址</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文化程度</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21"/>
                      <w:u w:val="none"/>
                    </w:rPr>
                  </w:pPr>
                  <w:r>
                    <w:rPr>
                      <w:bCs/>
                      <w:color w:val="auto"/>
                      <w:szCs w:val="21"/>
                      <w:u w:val="none"/>
                    </w:rPr>
                    <w:t>1</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姜党科</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44</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平江县长寿镇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13874048406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21"/>
                      <w:u w:val="none"/>
                    </w:rPr>
                  </w:pPr>
                  <w:r>
                    <w:rPr>
                      <w:bCs/>
                      <w:color w:val="auto"/>
                      <w:szCs w:val="21"/>
                      <w:u w:val="none"/>
                    </w:rPr>
                    <w:t>2</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崔世伟</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35</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平江县南江镇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lang w:val="en-US" w:eastAsia="zh-CN"/>
                    </w:rPr>
                    <w:t>13575020686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3</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唐文</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48</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平江县城关镇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13974008944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4</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李校星</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平江县城关镇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13874049415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5</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余照兴</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37</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平江县南江镇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13762778158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6</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向海洋</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42</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w:t>
                  </w:r>
                  <w:r>
                    <w:rPr>
                      <w:rFonts w:hint="eastAsia"/>
                      <w:bCs/>
                      <w:color w:val="auto"/>
                      <w:szCs w:val="21"/>
                      <w:u w:val="none"/>
                      <w:lang w:eastAsia="zh-CN"/>
                    </w:rPr>
                    <w:t>伍市镇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13017220665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7</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向庭</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27</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平江县伍市镇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15115042868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8</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陈梦龙</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30</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平江县福寿山镇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15873048748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9</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李之春</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39</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平江县城关镇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15873069888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10</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曾进良</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36</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平江县加义镇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15074069347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11</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杨仁安</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49</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平江县长寿镇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18273048688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12</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曾运得</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51</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13808409146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贺有山</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41</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平江县瓦江镇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13786073129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14</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赖光军</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42</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平江县向家镇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13973023684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余世星</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女</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40</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平江县城关镇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本科</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13974009616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16</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雄国</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男</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47</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平江县安定镇</w:t>
                  </w:r>
                </w:p>
              </w:tc>
              <w:tc>
                <w:tcPr>
                  <w:tcW w:w="16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大专</w:t>
                  </w:r>
                </w:p>
              </w:tc>
              <w:tc>
                <w:tcPr>
                  <w:tcW w:w="16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13575083509</w:t>
                  </w:r>
                </w:p>
              </w:tc>
            </w:tr>
          </w:tbl>
          <w:p>
            <w:pPr>
              <w:spacing w:line="360" w:lineRule="auto"/>
              <w:jc w:val="center"/>
              <w:rPr>
                <w:b/>
                <w:color w:val="auto"/>
                <w:szCs w:val="21"/>
                <w:u w:val="none"/>
              </w:rPr>
            </w:pPr>
            <w:r>
              <w:rPr>
                <w:b/>
                <w:color w:val="auto"/>
                <w:szCs w:val="21"/>
                <w:u w:val="none"/>
              </w:rPr>
              <w:t>表</w:t>
            </w:r>
            <w:r>
              <w:rPr>
                <w:rFonts w:hint="eastAsia"/>
                <w:b/>
                <w:color w:val="auto"/>
                <w:szCs w:val="21"/>
                <w:u w:val="none"/>
                <w:lang w:val="en-US" w:eastAsia="zh-CN"/>
              </w:rPr>
              <w:t>42</w:t>
            </w:r>
            <w:r>
              <w:rPr>
                <w:b/>
                <w:color w:val="auto"/>
                <w:szCs w:val="21"/>
                <w:u w:val="none"/>
              </w:rPr>
              <w:t xml:space="preserve">  公众参与</w:t>
            </w:r>
            <w:r>
              <w:rPr>
                <w:rFonts w:hint="eastAsia"/>
                <w:b/>
                <w:color w:val="auto"/>
                <w:szCs w:val="21"/>
                <w:u w:val="none"/>
                <w:lang w:eastAsia="zh-CN"/>
              </w:rPr>
              <w:t>团体</w:t>
            </w:r>
            <w:r>
              <w:rPr>
                <w:b/>
                <w:color w:val="auto"/>
                <w:szCs w:val="21"/>
                <w:u w:val="none"/>
              </w:rPr>
              <w:t>情况表</w:t>
            </w:r>
          </w:p>
          <w:tbl>
            <w:tblPr>
              <w:tblStyle w:val="14"/>
              <w:tblW w:w="906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252"/>
              <w:gridCol w:w="2287"/>
              <w:gridCol w:w="239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0" w:space="0"/>
                    <w:bottom w:val="single" w:color="auto" w:sz="4" w:space="0"/>
                    <w:right w:val="single" w:color="auto" w:sz="4" w:space="0"/>
                  </w:tcBorders>
                  <w:vAlign w:val="center"/>
                </w:tcPr>
                <w:p>
                  <w:pPr>
                    <w:jc w:val="center"/>
                    <w:rPr>
                      <w:bCs/>
                      <w:color w:val="auto"/>
                      <w:szCs w:val="21"/>
                      <w:u w:val="none"/>
                    </w:rPr>
                  </w:pPr>
                  <w:r>
                    <w:rPr>
                      <w:bCs/>
                      <w:color w:val="auto"/>
                      <w:szCs w:val="21"/>
                      <w:u w:val="none"/>
                    </w:rPr>
                    <w:t>序号</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单位</w:t>
                  </w:r>
                  <w:r>
                    <w:rPr>
                      <w:rFonts w:hint="eastAsia"/>
                      <w:bCs/>
                      <w:color w:val="auto"/>
                      <w:szCs w:val="21"/>
                      <w:u w:val="none"/>
                      <w:lang w:eastAsia="zh-CN"/>
                    </w:rPr>
                    <w:t>名称</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联系人</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21"/>
                      <w:u w:val="none"/>
                    </w:rPr>
                  </w:pPr>
                  <w:r>
                    <w:rPr>
                      <w:bCs/>
                      <w:color w:val="auto"/>
                      <w:szCs w:val="21"/>
                      <w:u w:val="none"/>
                    </w:rPr>
                    <w:t>1</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平江县城关镇人民政府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林平湖</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0730-6223249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21"/>
                      <w:u w:val="none"/>
                    </w:rPr>
                  </w:pPr>
                  <w:r>
                    <w:rPr>
                      <w:bCs/>
                      <w:color w:val="auto"/>
                      <w:szCs w:val="21"/>
                      <w:u w:val="none"/>
                    </w:rPr>
                    <w:t>2</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平江县三市镇人民政府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13017220665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3</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平江县伍市镇人民政府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黄秋成</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13487722318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4</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平江县安定镇人民政府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彭建国</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13575023589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5</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平江县福寿山镇人民政府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余防根</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0730-6340098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6</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平江县三湘乡人民政府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李大春</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15873069888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7</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平江县加义镇人民政府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曾进良</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15274069347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8</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平江县长寿镇人民政府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余刚要</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13762035717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9</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平江县瓦江镇人民政府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贺有山</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13786073129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10</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平江县向家镇人民政府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赖光军</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13973023684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11</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平江县浩口镇人民政府</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姜党科</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13874048406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szCs w:val="21"/>
                      <w:u w:val="none"/>
                    </w:rPr>
                  </w:pPr>
                  <w:r>
                    <w:rPr>
                      <w:rFonts w:hint="eastAsia"/>
                      <w:bCs/>
                      <w:color w:val="auto"/>
                      <w:szCs w:val="21"/>
                      <w:u w:val="none"/>
                    </w:rPr>
                    <w:t>12</w:t>
                  </w:r>
                </w:p>
              </w:tc>
              <w:tc>
                <w:tcPr>
                  <w:tcW w:w="3252"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eastAsia="zh-CN"/>
                    </w:rPr>
                  </w:pPr>
                  <w:r>
                    <w:rPr>
                      <w:rFonts w:hint="eastAsia"/>
                      <w:bCs/>
                      <w:color w:val="auto"/>
                      <w:szCs w:val="21"/>
                      <w:u w:val="none"/>
                      <w:lang w:eastAsia="zh-CN"/>
                    </w:rPr>
                    <w:t>福寿山</w:t>
                  </w:r>
                  <w:r>
                    <w:rPr>
                      <w:rFonts w:hint="eastAsia"/>
                      <w:bCs/>
                      <w:color w:val="auto"/>
                      <w:szCs w:val="21"/>
                      <w:u w:val="none"/>
                      <w:lang w:val="en-US" w:eastAsia="zh-CN"/>
                    </w:rPr>
                    <w:t>-汨罗江国家级风景名胜区管理委员会</w:t>
                  </w:r>
                </w:p>
              </w:tc>
              <w:tc>
                <w:tcPr>
                  <w:tcW w:w="22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w:t>
                  </w:r>
                </w:p>
              </w:tc>
              <w:tc>
                <w:tcPr>
                  <w:tcW w:w="239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21"/>
                      <w:u w:val="none"/>
                      <w:lang w:val="en-US" w:eastAsia="zh-CN"/>
                    </w:rPr>
                  </w:pPr>
                  <w:r>
                    <w:rPr>
                      <w:rFonts w:hint="eastAsia"/>
                      <w:bCs/>
                      <w:color w:val="auto"/>
                      <w:szCs w:val="21"/>
                      <w:u w:val="none"/>
                      <w:lang w:val="en-US" w:eastAsia="zh-CN"/>
                    </w:rPr>
                    <w:t>07306286999</w:t>
                  </w:r>
                </w:p>
              </w:tc>
            </w:tr>
          </w:tbl>
          <w:p>
            <w:pPr>
              <w:adjustRightInd w:val="0"/>
              <w:spacing w:line="360" w:lineRule="auto"/>
              <w:rPr>
                <w:rFonts w:hint="eastAsia"/>
                <w:b/>
                <w:bCs/>
                <w:color w:val="auto"/>
                <w:sz w:val="24"/>
                <w:lang w:val="en-US" w:eastAsia="zh-CN"/>
              </w:rPr>
            </w:pPr>
            <w:r>
              <w:rPr>
                <w:rFonts w:hint="eastAsia"/>
                <w:b/>
                <w:bCs/>
                <w:color w:val="auto"/>
                <w:sz w:val="24"/>
                <w:lang w:val="en-US" w:eastAsia="zh-CN"/>
              </w:rPr>
              <w:t>4、公众参与调查结果统计</w:t>
            </w:r>
          </w:p>
          <w:p>
            <w:pPr>
              <w:spacing w:line="360" w:lineRule="auto"/>
              <w:ind w:firstLine="480" w:firstLineChars="200"/>
              <w:rPr>
                <w:b/>
                <w:color w:val="auto"/>
                <w:szCs w:val="21"/>
                <w:u w:val="none"/>
              </w:rPr>
            </w:pPr>
            <w:r>
              <w:rPr>
                <w:color w:val="auto"/>
                <w:sz w:val="24"/>
                <w:u w:val="none"/>
              </w:rPr>
              <w:t>个人公众参与调查结果统计见下表：</w:t>
            </w:r>
          </w:p>
          <w:p>
            <w:pPr>
              <w:spacing w:line="360" w:lineRule="auto"/>
              <w:jc w:val="center"/>
              <w:rPr>
                <w:b/>
                <w:color w:val="auto"/>
                <w:szCs w:val="21"/>
                <w:u w:val="none"/>
              </w:rPr>
            </w:pPr>
            <w:r>
              <w:rPr>
                <w:b/>
                <w:color w:val="auto"/>
                <w:szCs w:val="21"/>
                <w:u w:val="none"/>
              </w:rPr>
              <w:t>表</w:t>
            </w:r>
            <w:r>
              <w:rPr>
                <w:rFonts w:hint="eastAsia"/>
                <w:b/>
                <w:color w:val="auto"/>
                <w:szCs w:val="21"/>
                <w:u w:val="none"/>
                <w:lang w:val="en-US" w:eastAsia="zh-CN"/>
              </w:rPr>
              <w:t>43</w:t>
            </w:r>
            <w:r>
              <w:rPr>
                <w:b/>
                <w:color w:val="auto"/>
                <w:szCs w:val="21"/>
                <w:u w:val="none"/>
              </w:rPr>
              <w:t xml:space="preserve">  个人公众参与调查结果统计表</w:t>
            </w:r>
          </w:p>
          <w:tbl>
            <w:tblPr>
              <w:tblStyle w:val="14"/>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812"/>
              <w:gridCol w:w="2582"/>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896" w:type="dxa"/>
                  <w:gridSpan w:val="2"/>
                  <w:vMerge w:val="restart"/>
                  <w:vAlign w:val="center"/>
                </w:tcPr>
                <w:p>
                  <w:pPr>
                    <w:widowControl/>
                    <w:jc w:val="center"/>
                    <w:rPr>
                      <w:b/>
                      <w:bCs/>
                      <w:color w:val="auto"/>
                      <w:kern w:val="0"/>
                      <w:szCs w:val="21"/>
                      <w:u w:val="none"/>
                    </w:rPr>
                  </w:pPr>
                  <w:r>
                    <w:rPr>
                      <w:b/>
                      <w:bCs/>
                      <w:color w:val="auto"/>
                      <w:kern w:val="0"/>
                      <w:szCs w:val="21"/>
                      <w:u w:val="none"/>
                    </w:rPr>
                    <w:t>调查内容</w:t>
                  </w:r>
                </w:p>
              </w:tc>
              <w:tc>
                <w:tcPr>
                  <w:tcW w:w="5165" w:type="dxa"/>
                  <w:gridSpan w:val="2"/>
                  <w:vAlign w:val="center"/>
                </w:tcPr>
                <w:p>
                  <w:pPr>
                    <w:widowControl/>
                    <w:jc w:val="center"/>
                    <w:rPr>
                      <w:b/>
                      <w:bCs/>
                      <w:color w:val="auto"/>
                      <w:kern w:val="0"/>
                      <w:szCs w:val="21"/>
                      <w:u w:val="none"/>
                    </w:rPr>
                  </w:pPr>
                  <w:r>
                    <w:rPr>
                      <w:b/>
                      <w:bCs/>
                      <w:color w:val="auto"/>
                      <w:kern w:val="0"/>
                      <w:szCs w:val="21"/>
                      <w:u w:val="none"/>
                    </w:rPr>
                    <w:t>调查结果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896" w:type="dxa"/>
                  <w:gridSpan w:val="2"/>
                  <w:vMerge w:val="continue"/>
                  <w:vAlign w:val="center"/>
                </w:tcPr>
                <w:p>
                  <w:pPr>
                    <w:widowControl/>
                    <w:jc w:val="left"/>
                    <w:rPr>
                      <w:b/>
                      <w:bCs/>
                      <w:color w:val="auto"/>
                      <w:kern w:val="0"/>
                      <w:szCs w:val="21"/>
                      <w:u w:val="none"/>
                    </w:rPr>
                  </w:pPr>
                </w:p>
              </w:tc>
              <w:tc>
                <w:tcPr>
                  <w:tcW w:w="2582" w:type="dxa"/>
                  <w:vAlign w:val="center"/>
                </w:tcPr>
                <w:p>
                  <w:pPr>
                    <w:widowControl/>
                    <w:jc w:val="center"/>
                    <w:rPr>
                      <w:b/>
                      <w:bCs/>
                      <w:color w:val="auto"/>
                      <w:kern w:val="0"/>
                      <w:szCs w:val="21"/>
                      <w:u w:val="none"/>
                    </w:rPr>
                  </w:pPr>
                  <w:r>
                    <w:rPr>
                      <w:b/>
                      <w:bCs/>
                      <w:color w:val="auto"/>
                      <w:kern w:val="0"/>
                      <w:szCs w:val="21"/>
                      <w:u w:val="none"/>
                    </w:rPr>
                    <w:t>人数</w:t>
                  </w:r>
                </w:p>
              </w:tc>
              <w:tc>
                <w:tcPr>
                  <w:tcW w:w="2583" w:type="dxa"/>
                  <w:vAlign w:val="center"/>
                </w:tcPr>
                <w:p>
                  <w:pPr>
                    <w:widowControl/>
                    <w:jc w:val="center"/>
                    <w:rPr>
                      <w:b/>
                      <w:bCs/>
                      <w:color w:val="auto"/>
                      <w:kern w:val="0"/>
                      <w:szCs w:val="21"/>
                      <w:u w:val="none"/>
                    </w:rPr>
                  </w:pPr>
                  <w:r>
                    <w:rPr>
                      <w:b/>
                      <w:bCs/>
                      <w:color w:val="auto"/>
                      <w:kern w:val="0"/>
                      <w:szCs w:val="21"/>
                      <w:u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restart"/>
                  <w:vAlign w:val="center"/>
                </w:tcPr>
                <w:p>
                  <w:pPr>
                    <w:widowControl/>
                    <w:jc w:val="center"/>
                    <w:rPr>
                      <w:rFonts w:hint="eastAsia"/>
                      <w:color w:val="auto"/>
                      <w:kern w:val="0"/>
                      <w:szCs w:val="21"/>
                      <w:u w:val="none"/>
                    </w:rPr>
                  </w:pPr>
                  <w:r>
                    <w:rPr>
                      <w:rFonts w:hint="eastAsia"/>
                      <w:color w:val="auto"/>
                      <w:kern w:val="0"/>
                      <w:szCs w:val="21"/>
                      <w:u w:val="none"/>
                    </w:rPr>
                    <w:t>您是否知道</w:t>
                  </w:r>
                  <w:r>
                    <w:rPr>
                      <w:rFonts w:hint="eastAsia"/>
                      <w:color w:val="auto"/>
                      <w:kern w:val="0"/>
                      <w:szCs w:val="21"/>
                      <w:u w:val="none"/>
                      <w:lang w:val="en-US" w:eastAsia="zh-CN"/>
                    </w:rPr>
                    <w:t>/了解</w:t>
                  </w:r>
                  <w:r>
                    <w:rPr>
                      <w:rFonts w:hint="eastAsia"/>
                      <w:color w:val="auto"/>
                      <w:kern w:val="0"/>
                      <w:szCs w:val="21"/>
                      <w:u w:val="none"/>
                    </w:rPr>
                    <w:t>本项目的</w:t>
                  </w:r>
                  <w:r>
                    <w:rPr>
                      <w:rFonts w:hint="eastAsia"/>
                      <w:color w:val="auto"/>
                      <w:kern w:val="0"/>
                      <w:szCs w:val="21"/>
                      <w:u w:val="none"/>
                      <w:lang w:eastAsia="zh-CN"/>
                    </w:rPr>
                    <w:t>基本情况</w:t>
                  </w: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不了解</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center"/>
                    <w:rPr>
                      <w:rFonts w:hint="eastAsia"/>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知道一点</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很清楚</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restart"/>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您是通过哪种渠道了解该项目的信息</w:t>
                  </w: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环评公示</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8</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网站</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7</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43.75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不清楚</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restart"/>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您对现有生活环境中最不满意的因素为</w:t>
                  </w: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大气</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地表水</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4</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21.05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噪声</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固废</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3</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其他</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restart"/>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根据您掌握的情况，认为本项目对环境影响主要来自于</w:t>
                  </w:r>
                </w:p>
              </w:tc>
              <w:tc>
                <w:tcPr>
                  <w:tcW w:w="1812" w:type="dxa"/>
                  <w:textDirection w:val="lrTb"/>
                  <w:vAlign w:val="center"/>
                </w:tcPr>
                <w:p>
                  <w:pPr>
                    <w:widowControl/>
                    <w:jc w:val="center"/>
                    <w:rPr>
                      <w:rFonts w:hint="eastAsia"/>
                      <w:color w:val="auto"/>
                      <w:kern w:val="0"/>
                      <w:szCs w:val="21"/>
                      <w:u w:val="none"/>
                    </w:rPr>
                  </w:pPr>
                  <w:r>
                    <w:rPr>
                      <w:rFonts w:hint="eastAsia"/>
                      <w:color w:val="auto"/>
                      <w:kern w:val="0"/>
                      <w:szCs w:val="21"/>
                      <w:u w:val="none"/>
                      <w:lang w:eastAsia="zh-CN"/>
                    </w:rPr>
                    <w:t>废水</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8</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center"/>
                    <w:rPr>
                      <w:color w:val="auto"/>
                      <w:kern w:val="0"/>
                      <w:szCs w:val="21"/>
                      <w:u w:val="none"/>
                    </w:rPr>
                  </w:pPr>
                </w:p>
              </w:tc>
              <w:tc>
                <w:tcPr>
                  <w:tcW w:w="1812" w:type="dxa"/>
                  <w:textDirection w:val="lrTb"/>
                  <w:vAlign w:val="center"/>
                </w:tcPr>
                <w:p>
                  <w:pPr>
                    <w:widowControl/>
                    <w:jc w:val="center"/>
                    <w:rPr>
                      <w:color w:val="auto"/>
                      <w:kern w:val="0"/>
                      <w:szCs w:val="21"/>
                      <w:u w:val="none"/>
                    </w:rPr>
                  </w:pPr>
                  <w:r>
                    <w:rPr>
                      <w:rFonts w:hint="eastAsia"/>
                      <w:color w:val="auto"/>
                      <w:kern w:val="0"/>
                      <w:szCs w:val="21"/>
                      <w:u w:val="none"/>
                      <w:lang w:eastAsia="zh-CN"/>
                    </w:rPr>
                    <w:t>废气</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textDirection w:val="lrTb"/>
                  <w:vAlign w:val="center"/>
                </w:tcPr>
                <w:p>
                  <w:pPr>
                    <w:widowControl/>
                    <w:jc w:val="center"/>
                    <w:rPr>
                      <w:color w:val="auto"/>
                      <w:kern w:val="0"/>
                      <w:szCs w:val="21"/>
                      <w:u w:val="none"/>
                    </w:rPr>
                  </w:pPr>
                  <w:r>
                    <w:rPr>
                      <w:rFonts w:hint="eastAsia"/>
                      <w:color w:val="auto"/>
                      <w:kern w:val="0"/>
                      <w:szCs w:val="21"/>
                      <w:u w:val="none"/>
                      <w:lang w:eastAsia="zh-CN"/>
                    </w:rPr>
                    <w:t>噪声</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textDirection w:val="lrTb"/>
                  <w:vAlign w:val="center"/>
                </w:tcPr>
                <w:p>
                  <w:pPr>
                    <w:widowControl/>
                    <w:jc w:val="center"/>
                    <w:rPr>
                      <w:color w:val="auto"/>
                      <w:kern w:val="0"/>
                      <w:szCs w:val="21"/>
                      <w:u w:val="none"/>
                    </w:rPr>
                  </w:pPr>
                  <w:r>
                    <w:rPr>
                      <w:rFonts w:hint="eastAsia"/>
                      <w:color w:val="auto"/>
                      <w:kern w:val="0"/>
                      <w:szCs w:val="21"/>
                      <w:u w:val="none"/>
                      <w:lang w:eastAsia="zh-CN"/>
                    </w:rPr>
                    <w:t>固废</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center"/>
                    <w:rPr>
                      <w:color w:val="auto"/>
                      <w:kern w:val="0"/>
                      <w:szCs w:val="21"/>
                      <w:u w:val="none"/>
                    </w:rPr>
                  </w:pPr>
                </w:p>
              </w:tc>
              <w:tc>
                <w:tcPr>
                  <w:tcW w:w="1812" w:type="dxa"/>
                  <w:textDirection w:val="lrTb"/>
                  <w:vAlign w:val="center"/>
                </w:tcPr>
                <w:p>
                  <w:pPr>
                    <w:widowControl/>
                    <w:jc w:val="center"/>
                    <w:rPr>
                      <w:rFonts w:hint="eastAsia"/>
                      <w:color w:val="auto"/>
                      <w:kern w:val="0"/>
                      <w:szCs w:val="21"/>
                      <w:u w:val="none"/>
                    </w:rPr>
                  </w:pPr>
                  <w:r>
                    <w:rPr>
                      <w:rFonts w:hint="eastAsia"/>
                      <w:color w:val="auto"/>
                      <w:kern w:val="0"/>
                      <w:szCs w:val="21"/>
                      <w:u w:val="none"/>
                      <w:lang w:eastAsia="zh-CN"/>
                    </w:rPr>
                    <w:t>其他</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7</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43.75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restart"/>
                  <w:vAlign w:val="center"/>
                </w:tcPr>
                <w:p>
                  <w:pPr>
                    <w:widowControl/>
                    <w:jc w:val="center"/>
                    <w:rPr>
                      <w:rFonts w:hint="eastAsia" w:eastAsia="宋体"/>
                      <w:color w:val="auto"/>
                      <w:kern w:val="0"/>
                      <w:szCs w:val="21"/>
                      <w:u w:val="none"/>
                      <w:lang w:eastAsia="zh-CN"/>
                    </w:rPr>
                  </w:pPr>
                  <w:r>
                    <w:rPr>
                      <w:rFonts w:hint="eastAsia"/>
                      <w:color w:val="auto"/>
                      <w:kern w:val="0"/>
                      <w:szCs w:val="21"/>
                      <w:u w:val="none"/>
                      <w:lang w:eastAsia="zh-CN"/>
                    </w:rPr>
                    <w:t>从环保角度出发，您对该项目持何种态度</w:t>
                  </w:r>
                </w:p>
              </w:tc>
              <w:tc>
                <w:tcPr>
                  <w:tcW w:w="1812" w:type="dxa"/>
                  <w:vAlign w:val="center"/>
                </w:tcPr>
                <w:p>
                  <w:pPr>
                    <w:widowControl/>
                    <w:jc w:val="center"/>
                    <w:rPr>
                      <w:rFonts w:hint="eastAsia"/>
                      <w:color w:val="auto"/>
                      <w:kern w:val="0"/>
                      <w:szCs w:val="21"/>
                      <w:u w:val="none"/>
                    </w:rPr>
                  </w:pPr>
                  <w:r>
                    <w:rPr>
                      <w:rFonts w:hint="eastAsia"/>
                      <w:color w:val="auto"/>
                      <w:kern w:val="0"/>
                      <w:szCs w:val="21"/>
                      <w:u w:val="none"/>
                    </w:rPr>
                    <w:t>支持</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16</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84" w:type="dxa"/>
                  <w:vMerge w:val="continue"/>
                  <w:vAlign w:val="center"/>
                </w:tcPr>
                <w:p>
                  <w:pPr>
                    <w:widowControl/>
                    <w:jc w:val="left"/>
                    <w:rPr>
                      <w:color w:val="auto"/>
                      <w:kern w:val="0"/>
                      <w:szCs w:val="21"/>
                      <w:u w:val="none"/>
                    </w:rPr>
                  </w:pPr>
                </w:p>
              </w:tc>
              <w:tc>
                <w:tcPr>
                  <w:tcW w:w="1812" w:type="dxa"/>
                  <w:vAlign w:val="center"/>
                </w:tcPr>
                <w:p>
                  <w:pPr>
                    <w:widowControl/>
                    <w:jc w:val="center"/>
                    <w:rPr>
                      <w:rFonts w:hint="eastAsia"/>
                      <w:color w:val="auto"/>
                      <w:kern w:val="0"/>
                      <w:szCs w:val="21"/>
                      <w:u w:val="none"/>
                    </w:rPr>
                  </w:pPr>
                  <w:r>
                    <w:rPr>
                      <w:rFonts w:hint="eastAsia"/>
                      <w:color w:val="auto"/>
                      <w:kern w:val="0"/>
                      <w:szCs w:val="21"/>
                      <w:u w:val="none"/>
                    </w:rPr>
                    <w:t>反对</w:t>
                  </w:r>
                </w:p>
              </w:tc>
              <w:tc>
                <w:tcPr>
                  <w:tcW w:w="2582"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c>
                <w:tcPr>
                  <w:tcW w:w="2583" w:type="dxa"/>
                  <w:vAlign w:val="center"/>
                </w:tcPr>
                <w:p>
                  <w:pPr>
                    <w:widowControl/>
                    <w:jc w:val="center"/>
                    <w:rPr>
                      <w:rFonts w:hint="eastAsia" w:eastAsia="宋体"/>
                      <w:color w:val="auto"/>
                      <w:kern w:val="0"/>
                      <w:szCs w:val="21"/>
                      <w:u w:val="none"/>
                      <w:lang w:val="en-US" w:eastAsia="zh-CN"/>
                    </w:rPr>
                  </w:pPr>
                  <w:r>
                    <w:rPr>
                      <w:rFonts w:hint="eastAsia"/>
                      <w:color w:val="auto"/>
                      <w:kern w:val="0"/>
                      <w:szCs w:val="21"/>
                      <w:u w:val="none"/>
                      <w:lang w:val="en-US" w:eastAsia="zh-CN"/>
                    </w:rPr>
                    <w:t>0</w:t>
                  </w:r>
                </w:p>
              </w:tc>
            </w:tr>
          </w:tbl>
          <w:p>
            <w:pPr>
              <w:spacing w:line="360" w:lineRule="auto"/>
              <w:outlineLvl w:val="1"/>
              <w:rPr>
                <w:color w:val="auto"/>
                <w:szCs w:val="21"/>
                <w:u w:val="none"/>
              </w:rPr>
            </w:pPr>
            <w:r>
              <w:rPr>
                <w:color w:val="auto"/>
                <w:sz w:val="24"/>
                <w:u w:val="none"/>
              </w:rPr>
              <w:t xml:space="preserve">   </w:t>
            </w:r>
            <w:r>
              <w:rPr>
                <w:color w:val="auto"/>
                <w:szCs w:val="21"/>
                <w:u w:val="none"/>
              </w:rPr>
              <w:t>（注：各选项的具体内容详见附件公众参与调查表，本次调查允许公众进行多项内容的选择）。</w:t>
            </w:r>
          </w:p>
          <w:p>
            <w:pPr>
              <w:spacing w:line="360" w:lineRule="auto"/>
              <w:ind w:firstLine="480" w:firstLineChars="200"/>
              <w:rPr>
                <w:rFonts w:hint="eastAsia"/>
                <w:color w:val="auto"/>
                <w:sz w:val="24"/>
                <w:u w:val="none"/>
                <w:lang w:eastAsia="zh-CN"/>
              </w:rPr>
            </w:pPr>
            <w:r>
              <w:rPr>
                <w:rFonts w:hint="eastAsia"/>
                <w:color w:val="auto"/>
                <w:sz w:val="24"/>
                <w:u w:val="none"/>
                <w:lang w:eastAsia="zh-CN"/>
              </w:rPr>
              <w:t>团体调查单位均支持本项目建设，具体详见附件所示，收集整理团体及个人对本项目的环保建议如下：</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1</w:t>
            </w:r>
            <w:r>
              <w:rPr>
                <w:rFonts w:hint="eastAsia"/>
                <w:color w:val="auto"/>
                <w:sz w:val="24"/>
                <w:u w:val="none"/>
                <w:lang w:eastAsia="zh-CN"/>
              </w:rPr>
              <w:t>）优化设计方案、确保工程优质高效完成</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2</w:t>
            </w:r>
            <w:r>
              <w:rPr>
                <w:rFonts w:hint="eastAsia"/>
                <w:color w:val="auto"/>
                <w:sz w:val="24"/>
                <w:u w:val="none"/>
                <w:lang w:eastAsia="zh-CN"/>
              </w:rPr>
              <w:t>）努力保护水源、加强森林保护、移民搬迁水口周边常住居民</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3</w:t>
            </w:r>
            <w:r>
              <w:rPr>
                <w:rFonts w:hint="eastAsia"/>
                <w:color w:val="auto"/>
                <w:sz w:val="24"/>
                <w:u w:val="none"/>
                <w:lang w:eastAsia="zh-CN"/>
              </w:rPr>
              <w:t>）要求无废气、无废水</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4</w:t>
            </w:r>
            <w:r>
              <w:rPr>
                <w:rFonts w:hint="eastAsia"/>
                <w:color w:val="auto"/>
                <w:sz w:val="24"/>
                <w:u w:val="none"/>
                <w:lang w:eastAsia="zh-CN"/>
              </w:rPr>
              <w:t>）保护管道沿线和农田植被、防止遭到破坏</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5</w:t>
            </w:r>
            <w:r>
              <w:rPr>
                <w:rFonts w:hint="eastAsia"/>
                <w:color w:val="auto"/>
                <w:sz w:val="24"/>
                <w:u w:val="none"/>
                <w:lang w:eastAsia="zh-CN"/>
              </w:rPr>
              <w:t>）确保不影响黄金洞湿地公园建设和沿线农田灌溉</w:t>
            </w:r>
          </w:p>
          <w:p>
            <w:pPr>
              <w:spacing w:line="360" w:lineRule="auto"/>
              <w:ind w:firstLine="480" w:firstLineChars="200"/>
              <w:rPr>
                <w:rFonts w:hint="eastAsia"/>
                <w:color w:val="auto"/>
                <w:sz w:val="24"/>
                <w:u w:val="none"/>
                <w:lang w:eastAsia="zh-CN"/>
              </w:rPr>
            </w:pPr>
            <w:r>
              <w:rPr>
                <w:rFonts w:hint="eastAsia"/>
                <w:color w:val="auto"/>
                <w:sz w:val="24"/>
                <w:u w:val="none"/>
                <w:lang w:eastAsia="zh-CN"/>
              </w:rPr>
              <w:t>（</w:t>
            </w:r>
            <w:r>
              <w:rPr>
                <w:rFonts w:hint="eastAsia"/>
                <w:color w:val="auto"/>
                <w:sz w:val="24"/>
                <w:u w:val="none"/>
                <w:lang w:val="en-US" w:eastAsia="zh-CN"/>
              </w:rPr>
              <w:t>6</w:t>
            </w:r>
            <w:r>
              <w:rPr>
                <w:rFonts w:hint="eastAsia"/>
                <w:color w:val="auto"/>
                <w:sz w:val="24"/>
                <w:u w:val="none"/>
                <w:lang w:eastAsia="zh-CN"/>
              </w:rPr>
              <w:t>）注意保护植被、完工要在表面种植植物，防止水土流失</w:t>
            </w:r>
          </w:p>
          <w:p>
            <w:pPr>
              <w:adjustRightInd w:val="0"/>
              <w:spacing w:line="360" w:lineRule="auto"/>
              <w:rPr>
                <w:rFonts w:hint="eastAsia"/>
                <w:b/>
                <w:bCs/>
                <w:color w:val="auto"/>
                <w:sz w:val="24"/>
                <w:u w:val="none"/>
                <w:lang w:val="en-US" w:eastAsia="zh-CN"/>
              </w:rPr>
            </w:pPr>
            <w:r>
              <w:rPr>
                <w:rFonts w:hint="eastAsia"/>
                <w:b/>
                <w:bCs/>
                <w:color w:val="auto"/>
                <w:sz w:val="24"/>
                <w:u w:val="none"/>
                <w:lang w:val="en-US" w:eastAsia="zh-CN"/>
              </w:rPr>
              <w:t>5、公众参与结论</w:t>
            </w:r>
          </w:p>
          <w:p>
            <w:pPr>
              <w:spacing w:line="360" w:lineRule="auto"/>
              <w:ind w:firstLine="480" w:firstLineChars="200"/>
              <w:rPr>
                <w:color w:val="auto"/>
                <w:sz w:val="24"/>
                <w:u w:val="none"/>
              </w:rPr>
            </w:pPr>
            <w:r>
              <w:rPr>
                <w:color w:val="auto"/>
                <w:sz w:val="24"/>
                <w:u w:val="none"/>
              </w:rPr>
              <w:t>从公众参与调查结果来看，被调查对象均对本项目有一定的了解，同时项目建设对周边区域的民众生活</w:t>
            </w:r>
            <w:r>
              <w:rPr>
                <w:rFonts w:hint="eastAsia"/>
                <w:color w:val="auto"/>
                <w:sz w:val="24"/>
                <w:u w:val="none"/>
              </w:rPr>
              <w:t>的影响主要为噪声影响</w:t>
            </w:r>
            <w:r>
              <w:rPr>
                <w:color w:val="auto"/>
                <w:sz w:val="24"/>
                <w:u w:val="none"/>
              </w:rPr>
              <w:t>，被调查公众和团体对本项目均持支持态度。</w:t>
            </w:r>
          </w:p>
          <w:p>
            <w:pPr>
              <w:spacing w:line="360" w:lineRule="auto"/>
              <w:ind w:firstLine="480" w:firstLineChars="200"/>
              <w:rPr>
                <w:rFonts w:hint="eastAsia"/>
                <w:color w:val="auto"/>
                <w:sz w:val="24"/>
                <w:u w:val="none"/>
                <w:lang w:val="en-US" w:eastAsia="zh-CN"/>
              </w:rPr>
            </w:pPr>
            <w:r>
              <w:rPr>
                <w:color w:val="auto"/>
                <w:sz w:val="24"/>
                <w:u w:val="none"/>
              </w:rPr>
              <w:t>本评价认为：建设方应严格执行国家有关环保治理措施规定和本报告表中提出的建议措施，确保外排污染物达标排放，且不对周围环境造成太大影响。</w:t>
            </w:r>
          </w:p>
          <w:bookmarkEnd w:id="19"/>
          <w:p>
            <w:pPr>
              <w:numPr>
                <w:ilvl w:val="0"/>
                <w:numId w:val="0"/>
              </w:numPr>
              <w:overflowPunct w:val="0"/>
              <w:autoSpaceDE w:val="0"/>
              <w:autoSpaceDN w:val="0"/>
              <w:adjustRightInd w:val="0"/>
              <w:snapToGrid w:val="0"/>
              <w:spacing w:line="360" w:lineRule="auto"/>
              <w:textAlignment w:val="baseline"/>
              <w:rPr>
                <w:rFonts w:hint="default" w:ascii="Times New Roman" w:hAnsi="Times New Roman" w:cs="Times New Roman"/>
                <w:spacing w:val="-4"/>
                <w:kern w:val="0"/>
                <w:sz w:val="24"/>
                <w:szCs w:val="20"/>
              </w:rPr>
            </w:pPr>
          </w:p>
          <w:p>
            <w:pPr>
              <w:spacing w:before="120" w:beforeLines="50"/>
              <w:jc w:val="center"/>
              <w:rPr>
                <w:b/>
                <w:snapToGrid w:val="0"/>
                <w:kern w:val="0"/>
                <w:szCs w:val="21"/>
              </w:rPr>
            </w:pPr>
          </w:p>
          <w:p>
            <w:pPr>
              <w:spacing w:before="120" w:beforeLines="50"/>
              <w:jc w:val="center"/>
              <w:rPr>
                <w:b/>
                <w:snapToGrid w:val="0"/>
                <w:kern w:val="0"/>
                <w:szCs w:val="21"/>
              </w:rPr>
            </w:pPr>
          </w:p>
          <w:p>
            <w:pPr>
              <w:spacing w:line="360" w:lineRule="auto"/>
              <w:ind w:firstLine="480" w:firstLineChars="200"/>
              <w:rPr>
                <w:rFonts w:hint="eastAsia"/>
                <w:kern w:val="0"/>
                <w:sz w:val="24"/>
                <w:szCs w:val="20"/>
                <w:lang w:val="en-US" w:eastAsia="zh-CN" w:bidi="en-US"/>
              </w:rPr>
            </w:pPr>
          </w:p>
        </w:tc>
      </w:tr>
    </w:tbl>
    <w:p>
      <w:pPr>
        <w:spacing w:line="360" w:lineRule="auto"/>
        <w:outlineLvl w:val="0"/>
        <w:rPr>
          <w:b/>
          <w:bCs/>
          <w:color w:val="auto"/>
          <w:sz w:val="28"/>
        </w:rPr>
      </w:pPr>
      <w:r>
        <w:rPr>
          <w:b/>
          <w:bCs/>
          <w:color w:val="auto"/>
          <w:sz w:val="28"/>
        </w:rPr>
        <w:br w:type="page"/>
      </w:r>
      <w:r>
        <w:rPr>
          <w:b/>
          <w:bCs/>
          <w:color w:val="auto"/>
          <w:sz w:val="28"/>
        </w:rPr>
        <w:t>结论与建议</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3" w:hRule="atLeast"/>
        </w:trPr>
        <w:tc>
          <w:tcPr>
            <w:tcW w:w="8528" w:type="dxa"/>
            <w:vAlign w:val="top"/>
          </w:tcPr>
          <w:p>
            <w:pPr>
              <w:adjustRightInd w:val="0"/>
              <w:spacing w:line="360" w:lineRule="auto"/>
              <w:rPr>
                <w:rFonts w:hint="eastAsia"/>
                <w:b/>
                <w:bCs/>
                <w:color w:val="auto"/>
                <w:sz w:val="24"/>
              </w:rPr>
            </w:pPr>
            <w:r>
              <w:rPr>
                <w:b/>
                <w:bCs/>
                <w:color w:val="auto"/>
                <w:sz w:val="24"/>
              </w:rPr>
              <w:t>1</w:t>
            </w:r>
            <w:r>
              <w:rPr>
                <w:rFonts w:hint="eastAsia"/>
                <w:b/>
                <w:bCs/>
                <w:color w:val="auto"/>
                <w:sz w:val="24"/>
              </w:rPr>
              <w:t>、</w:t>
            </w:r>
            <w:r>
              <w:rPr>
                <w:b/>
                <w:bCs/>
                <w:color w:val="auto"/>
                <w:sz w:val="24"/>
              </w:rPr>
              <w:t>结论</w:t>
            </w:r>
          </w:p>
          <w:p>
            <w:pPr>
              <w:adjustRightInd w:val="0"/>
              <w:spacing w:line="360" w:lineRule="auto"/>
              <w:rPr>
                <w:rFonts w:hint="eastAsia"/>
                <w:b/>
                <w:bCs/>
                <w:color w:val="auto"/>
                <w:sz w:val="24"/>
              </w:rPr>
            </w:pPr>
            <w:r>
              <w:rPr>
                <w:rFonts w:hint="eastAsia"/>
                <w:b/>
                <w:bCs/>
                <w:color w:val="auto"/>
                <w:sz w:val="24"/>
              </w:rPr>
              <w:t>1.1项目背景</w:t>
            </w:r>
          </w:p>
          <w:p>
            <w:pPr>
              <w:spacing w:line="360" w:lineRule="auto"/>
              <w:ind w:firstLine="480" w:firstLineChars="200"/>
              <w:rPr>
                <w:rFonts w:hint="eastAsia"/>
                <w:color w:val="auto"/>
                <w:sz w:val="24"/>
              </w:rPr>
            </w:pPr>
            <w:r>
              <w:rPr>
                <w:rFonts w:hint="eastAsia"/>
                <w:color w:val="auto"/>
                <w:sz w:val="24"/>
              </w:rPr>
              <w:t>平江县县城设有自来水厂一座，</w:t>
            </w:r>
            <w:r>
              <w:rPr>
                <w:color w:val="auto"/>
                <w:sz w:val="24"/>
              </w:rPr>
              <w:t>位于县城西北侧的铁炉巷，其供水能力为</w:t>
            </w:r>
            <w:r>
              <w:rPr>
                <w:rFonts w:hint="eastAsia"/>
                <w:color w:val="auto"/>
                <w:sz w:val="24"/>
              </w:rPr>
              <w:t>3</w:t>
            </w:r>
            <w:r>
              <w:rPr>
                <w:color w:val="auto"/>
                <w:sz w:val="24"/>
              </w:rPr>
              <w:t>.0×10</w:t>
            </w:r>
            <w:r>
              <w:rPr>
                <w:color w:val="auto"/>
                <w:sz w:val="24"/>
                <w:vertAlign w:val="superscript"/>
              </w:rPr>
              <w:t>4</w:t>
            </w:r>
            <w:r>
              <w:rPr>
                <w:rFonts w:hint="eastAsia"/>
                <w:color w:val="auto"/>
                <w:sz w:val="24"/>
                <w:lang w:eastAsia="zh-CN"/>
              </w:rPr>
              <w:t>m³</w:t>
            </w:r>
            <w:r>
              <w:rPr>
                <w:color w:val="auto"/>
                <w:sz w:val="24"/>
              </w:rPr>
              <w:t>/d</w:t>
            </w:r>
            <w:r>
              <w:rPr>
                <w:rFonts w:hint="eastAsia"/>
                <w:color w:val="auto"/>
                <w:sz w:val="24"/>
              </w:rPr>
              <w:t>；除县城水厂之外，平江县还有22座镇（乡）级水厂及130座村级供水站，共解决供水人口43.85万，占全县总人口的40.55%，全县未解决饮水总人数为64.282万人，涉及村为536个。</w:t>
            </w:r>
          </w:p>
          <w:p>
            <w:pPr>
              <w:spacing w:line="360" w:lineRule="auto"/>
              <w:ind w:firstLine="480" w:firstLineChars="200"/>
              <w:rPr>
                <w:rFonts w:hint="eastAsia"/>
                <w:color w:val="auto"/>
                <w:sz w:val="24"/>
              </w:rPr>
            </w:pPr>
            <w:r>
              <w:rPr>
                <w:color w:val="auto"/>
                <w:sz w:val="24"/>
              </w:rPr>
              <w:t>同时由于平江县</w:t>
            </w:r>
            <w:r>
              <w:rPr>
                <w:rFonts w:hint="eastAsia"/>
                <w:color w:val="auto"/>
                <w:sz w:val="24"/>
              </w:rPr>
              <w:t>现有</w:t>
            </w:r>
            <w:r>
              <w:rPr>
                <w:color w:val="auto"/>
                <w:sz w:val="24"/>
              </w:rPr>
              <w:t>供水设施简陋或根本没有供水设施，直接从河道、坑塘、山泉、浅井取水饮用，</w:t>
            </w:r>
            <w:r>
              <w:rPr>
                <w:rFonts w:hint="eastAsia"/>
                <w:color w:val="auto"/>
                <w:sz w:val="24"/>
              </w:rPr>
              <w:t>区域内的溪河属湘江水系，年径流量有限且受季节影响较大，虽然平江降雨量充沛，但分布不均，大部分降水集中在雨季阶段，地下水脉断裂并向深部渗漏造成地上无水可供；平江县金属矿多年无序开采，地下巷道犬牙交错，而且逐年向地下深部开采，改变了地下水的流向，丧失了土地蕴藏水分的功能。因此，以溪河等地表河流水作为引用水源时</w:t>
            </w:r>
            <w:r>
              <w:rPr>
                <w:color w:val="auto"/>
                <w:sz w:val="24"/>
              </w:rPr>
              <w:t>水源保证率低，季节性缺水严重，干旱季节缺水时仍需远距离挑水或拉水。</w:t>
            </w:r>
            <w:r>
              <w:rPr>
                <w:rFonts w:hint="eastAsia"/>
                <w:color w:val="auto"/>
                <w:sz w:val="24"/>
              </w:rPr>
              <w:t>改革开放以来受经济利益驱动，加上林业管理体制的问题，树木难成林，山地涵养水分功能下降，泉水断涌，溪水断流，大河枯水，形成干旱无水吃，下雨成涝灾的局面。历史以来一些水资源丰富的山区也出现了缺水的现象。</w:t>
            </w:r>
          </w:p>
          <w:p>
            <w:pPr>
              <w:spacing w:line="360" w:lineRule="auto"/>
              <w:ind w:firstLine="480" w:firstLineChars="200"/>
              <w:rPr>
                <w:rFonts w:hint="eastAsia"/>
                <w:color w:val="auto"/>
                <w:sz w:val="24"/>
                <w:lang w:eastAsia="zh-CN"/>
              </w:rPr>
            </w:pPr>
            <w:r>
              <w:rPr>
                <w:rFonts w:hint="eastAsia"/>
                <w:color w:val="auto"/>
                <w:sz w:val="24"/>
              </w:rPr>
              <w:t>为了改善居民缺水、用污染水的现状，保障居民用水安全、可靠，平江县自来水公司根据</w:t>
            </w:r>
            <w:r>
              <w:rPr>
                <w:color w:val="auto"/>
                <w:sz w:val="24"/>
              </w:rPr>
              <w:t>《</w:t>
            </w:r>
            <w:r>
              <w:rPr>
                <w:rFonts w:hint="eastAsia"/>
                <w:color w:val="auto"/>
                <w:sz w:val="24"/>
              </w:rPr>
              <w:t>平江县城乡供水一体化规划</w:t>
            </w:r>
            <w:r>
              <w:rPr>
                <w:color w:val="auto"/>
                <w:sz w:val="24"/>
              </w:rPr>
              <w:t>》中提出的</w:t>
            </w:r>
            <w:r>
              <w:rPr>
                <w:rFonts w:hint="eastAsia"/>
                <w:color w:val="auto"/>
                <w:sz w:val="24"/>
              </w:rPr>
              <w:t>“统一</w:t>
            </w:r>
            <w:r>
              <w:rPr>
                <w:color w:val="auto"/>
                <w:sz w:val="24"/>
              </w:rPr>
              <w:t>供水为主、分散供水为辅的原则</w:t>
            </w:r>
            <w:r>
              <w:rPr>
                <w:rFonts w:hint="eastAsia"/>
                <w:color w:val="auto"/>
                <w:sz w:val="24"/>
              </w:rPr>
              <w:t>”，在平江县东南部的长寿镇实施平江县东部供水枢纽工程，该工程以黄金洞水库为水源地，建设一座供水能力为5</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r>
              <w:rPr>
                <w:rFonts w:hint="eastAsia"/>
                <w:color w:val="auto"/>
                <w:sz w:val="24"/>
              </w:rPr>
              <w:t>的净水厂</w:t>
            </w:r>
            <w:r>
              <w:rPr>
                <w:rFonts w:hint="eastAsia"/>
                <w:color w:val="auto"/>
                <w:sz w:val="24"/>
                <w:lang w:eastAsia="zh-CN"/>
              </w:rPr>
              <w:t>（根据实际调研，目前实际长寿水厂一期供水能力为</w:t>
            </w:r>
            <w:r>
              <w:rPr>
                <w:rFonts w:hint="eastAsia"/>
                <w:color w:val="auto"/>
                <w:sz w:val="24"/>
                <w:lang w:val="en-US" w:eastAsia="zh-CN"/>
              </w:rPr>
              <w:t>1.5</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r>
              <w:rPr>
                <w:rFonts w:hint="eastAsia"/>
                <w:color w:val="auto"/>
                <w:sz w:val="24"/>
              </w:rPr>
              <w:t>，工程供水服务范围包括长寿镇、木金乡、加义镇、三市镇、安定镇、城关镇6个乡镇；该项目主要建设内容包括取水工程、引水工程、净水厂工程和配水工程四部分。岳阳市环境保护局于2014年6月30日以“岳环评[2014]39号”文对该项目进行了批复。根据项目环境影响报告书及环评批复可知，</w:t>
            </w:r>
            <w:r>
              <w:rPr>
                <w:rFonts w:hint="eastAsia"/>
                <w:color w:val="auto"/>
                <w:sz w:val="24"/>
                <w:lang w:eastAsia="zh-CN"/>
              </w:rPr>
              <w:t>该</w:t>
            </w:r>
            <w:r>
              <w:rPr>
                <w:rFonts w:hint="eastAsia"/>
                <w:color w:val="auto"/>
                <w:sz w:val="24"/>
              </w:rPr>
              <w:t>项目主要建设内容包括取水工程、引水工程、净水厂工程和配水工程四部分。取水工程主要构（建）筑物有启闭塔和五层拍门；</w:t>
            </w:r>
            <w:r>
              <w:rPr>
                <w:rFonts w:hint="eastAsia"/>
                <w:color w:val="auto"/>
                <w:sz w:val="24"/>
                <w:lang w:eastAsia="zh-CN"/>
              </w:rPr>
              <w:t>饮水工程</w:t>
            </w:r>
            <w:r>
              <w:rPr>
                <w:rFonts w:hint="eastAsia"/>
                <w:color w:val="auto"/>
                <w:sz w:val="24"/>
              </w:rPr>
              <w:t>采用压力管道将黄金洞水库水源水引至位于国富村、宝枫村的财源坑净化场地</w:t>
            </w:r>
            <w:r>
              <w:rPr>
                <w:rFonts w:hint="eastAsia"/>
                <w:color w:val="auto"/>
                <w:sz w:val="24"/>
                <w:lang w:eastAsia="zh-CN"/>
              </w:rPr>
              <w:t>；</w:t>
            </w:r>
            <w:r>
              <w:rPr>
                <w:rFonts w:hint="eastAsia"/>
                <w:color w:val="auto"/>
                <w:sz w:val="24"/>
              </w:rPr>
              <w:t>净水厂工程主要构（建）筑物有门卫、综合楼、水处理工艺建筑及加药间等</w:t>
            </w:r>
            <w:r>
              <w:rPr>
                <w:rFonts w:hint="eastAsia"/>
                <w:color w:val="auto"/>
                <w:sz w:val="24"/>
                <w:lang w:eastAsia="zh-CN"/>
              </w:rPr>
              <w:t>；</w:t>
            </w:r>
            <w:r>
              <w:rPr>
                <w:rFonts w:hint="eastAsia"/>
                <w:color w:val="auto"/>
                <w:sz w:val="24"/>
              </w:rPr>
              <w:t>配水工程的建设内容为从长寿净水厂沿S308、G106铺设DN</w:t>
            </w:r>
            <w:r>
              <w:rPr>
                <w:rFonts w:hint="eastAsia"/>
                <w:color w:val="auto"/>
                <w:sz w:val="24"/>
                <w:lang w:val="en-US" w:eastAsia="zh-CN"/>
              </w:rPr>
              <w:t>1100-1200</w:t>
            </w:r>
            <w:r>
              <w:rPr>
                <w:rFonts w:hint="eastAsia"/>
                <w:color w:val="auto"/>
                <w:sz w:val="24"/>
              </w:rPr>
              <w:t>球墨铸铁管49780m至平江县城，为配水管线区域供水。该工程于2012年6月开工建设，至今已基本完成了引水工程及净水厂的土建施工，但相应的配水工程尚未建成</w:t>
            </w:r>
            <w:r>
              <w:rPr>
                <w:rFonts w:hint="eastAsia"/>
                <w:color w:val="auto"/>
                <w:sz w:val="24"/>
                <w:lang w:eastAsia="zh-CN"/>
              </w:rPr>
              <w:t>。</w:t>
            </w:r>
          </w:p>
          <w:p>
            <w:pPr>
              <w:spacing w:line="360" w:lineRule="auto"/>
              <w:ind w:firstLine="480" w:firstLineChars="200"/>
              <w:rPr>
                <w:rFonts w:hint="eastAsia"/>
                <w:color w:val="auto"/>
                <w:sz w:val="24"/>
                <w:lang w:eastAsia="zh-CN"/>
              </w:rPr>
            </w:pPr>
            <w:r>
              <w:rPr>
                <w:rFonts w:hint="eastAsia"/>
                <w:color w:val="auto"/>
                <w:sz w:val="24"/>
                <w:lang w:eastAsia="zh-CN"/>
              </w:rPr>
              <w:t>为进一步覆盖平江县境内</w:t>
            </w:r>
            <w:r>
              <w:rPr>
                <w:rFonts w:hint="eastAsia"/>
                <w:color w:val="auto"/>
                <w:sz w:val="24"/>
              </w:rPr>
              <w:t>城关镇（原汉昌镇）、三阳乡、安定镇、三市镇、加义镇、长寿镇、木金乡、梅仙镇、余坪镇（原余坪乡）、瓮江镇、浯口镇、伍市镇、向家镇、福寿山镇（原西村乡）等S308沿线</w:t>
            </w:r>
            <w:r>
              <w:rPr>
                <w:rFonts w:hint="eastAsia"/>
                <w:color w:val="auto"/>
                <w:sz w:val="24"/>
                <w:lang w:eastAsia="zh-CN"/>
              </w:rPr>
              <w:t>乡镇，切实改善平江县域境内居民的饮用水安全，平江县供水枢纽建设开发有限公司拟延长平江县东部供水枢纽工程配水工程，将该配水工程铺设至平江县东部的向家镇，共扩建配水管道</w:t>
            </w:r>
            <w:r>
              <w:rPr>
                <w:rFonts w:hint="eastAsia"/>
                <w:color w:val="auto"/>
                <w:sz w:val="24"/>
              </w:rPr>
              <w:t>60467m</w:t>
            </w:r>
            <w:r>
              <w:rPr>
                <w:rFonts w:hint="eastAsia"/>
                <w:color w:val="auto"/>
                <w:sz w:val="24"/>
                <w:lang w:eastAsia="zh-CN"/>
              </w:rPr>
              <w:t>。同时根据供水量预测拟扩建现有长寿水厂，将水厂总规增加至</w:t>
            </w:r>
            <w:r>
              <w:rPr>
                <w:rFonts w:hint="eastAsia"/>
                <w:color w:val="auto"/>
                <w:sz w:val="24"/>
                <w:lang w:val="en-US" w:eastAsia="zh-CN"/>
              </w:rPr>
              <w:t>10.0</w:t>
            </w:r>
            <w:r>
              <w:rPr>
                <w:rFonts w:hint="eastAsia"/>
                <w:color w:val="auto"/>
                <w:sz w:val="24"/>
                <w:lang w:eastAsia="zh-CN"/>
              </w:rPr>
              <w:t>×10</w:t>
            </w:r>
            <w:r>
              <w:rPr>
                <w:rFonts w:hint="eastAsia"/>
                <w:color w:val="auto"/>
                <w:sz w:val="24"/>
                <w:vertAlign w:val="superscript"/>
                <w:lang w:eastAsia="zh-CN"/>
              </w:rPr>
              <w:t>4</w:t>
            </w:r>
            <w:r>
              <w:rPr>
                <w:rFonts w:hint="eastAsia"/>
                <w:color w:val="auto"/>
                <w:sz w:val="24"/>
                <w:lang w:eastAsia="zh-CN"/>
              </w:rPr>
              <w:t>m³/d。</w:t>
            </w:r>
          </w:p>
          <w:p>
            <w:pPr>
              <w:adjustRightInd w:val="0"/>
              <w:spacing w:line="360" w:lineRule="auto"/>
              <w:rPr>
                <w:rFonts w:hint="eastAsia"/>
                <w:b/>
                <w:bCs/>
                <w:color w:val="auto"/>
                <w:sz w:val="24"/>
              </w:rPr>
            </w:pPr>
            <w:r>
              <w:rPr>
                <w:b/>
                <w:bCs/>
                <w:color w:val="auto"/>
                <w:sz w:val="24"/>
              </w:rPr>
              <w:t>1</w:t>
            </w:r>
            <w:r>
              <w:rPr>
                <w:b/>
                <w:color w:val="auto"/>
                <w:sz w:val="24"/>
              </w:rPr>
              <w:t>.</w:t>
            </w:r>
            <w:r>
              <w:rPr>
                <w:rFonts w:hint="eastAsia"/>
                <w:b/>
                <w:bCs/>
                <w:color w:val="auto"/>
                <w:sz w:val="24"/>
              </w:rPr>
              <w:t>2 与产业政策的符合性</w:t>
            </w:r>
          </w:p>
          <w:p>
            <w:pPr>
              <w:spacing w:line="360" w:lineRule="auto"/>
              <w:ind w:firstLine="480" w:firstLineChars="200"/>
              <w:rPr>
                <w:rFonts w:hint="eastAsia"/>
                <w:color w:val="auto"/>
                <w:sz w:val="24"/>
              </w:rPr>
            </w:pPr>
            <w:r>
              <w:rPr>
                <w:rFonts w:hint="eastAsia"/>
                <w:color w:val="auto"/>
                <w:sz w:val="24"/>
              </w:rPr>
              <w:t>根据《产业结构调整指导目录（2011年本）》（国家发展和改革委员会2011第9号）及《</w:t>
            </w:r>
            <w:r>
              <w:rPr>
                <w:rFonts w:hint="eastAsia"/>
                <w:bCs/>
                <w:color w:val="auto"/>
                <w:sz w:val="24"/>
              </w:rPr>
              <w:t>国家发展改革委关于修改&lt;产业结构调整指导目录</w:t>
            </w:r>
            <w:r>
              <w:rPr>
                <w:rFonts w:hint="eastAsia"/>
                <w:color w:val="auto"/>
                <w:sz w:val="24"/>
              </w:rPr>
              <w:t>（2011年本）</w:t>
            </w:r>
            <w:r>
              <w:rPr>
                <w:rFonts w:hint="eastAsia"/>
                <w:bCs/>
                <w:color w:val="auto"/>
                <w:sz w:val="24"/>
              </w:rPr>
              <w:t>&gt;有关条款的决定</w:t>
            </w:r>
            <w:r>
              <w:rPr>
                <w:rFonts w:hint="eastAsia"/>
                <w:color w:val="auto"/>
                <w:sz w:val="24"/>
              </w:rPr>
              <w:t>》可知，本项目属于指导目录中规定的鼓励类中的二十二城市基础设施 “城镇供排水管网工程、供水水源及净水厂工程”，符合国家产业政策。</w:t>
            </w:r>
          </w:p>
          <w:p>
            <w:pPr>
              <w:adjustRightInd w:val="0"/>
              <w:spacing w:line="360" w:lineRule="auto"/>
              <w:rPr>
                <w:rFonts w:hint="eastAsia"/>
                <w:b/>
                <w:bCs/>
                <w:color w:val="auto"/>
                <w:sz w:val="24"/>
              </w:rPr>
            </w:pPr>
            <w:r>
              <w:rPr>
                <w:rFonts w:hint="eastAsia"/>
                <w:b/>
                <w:color w:val="auto"/>
                <w:sz w:val="24"/>
              </w:rPr>
              <w:t>1.3 项目选址的合理性</w:t>
            </w:r>
          </w:p>
          <w:p>
            <w:pPr>
              <w:spacing w:line="360" w:lineRule="auto"/>
              <w:ind w:firstLine="480" w:firstLineChars="200"/>
              <w:rPr>
                <w:rFonts w:hint="eastAsia" w:hAnsi="宋体"/>
                <w:color w:val="auto"/>
                <w:sz w:val="24"/>
                <w:u w:val="none"/>
              </w:rPr>
            </w:pPr>
            <w:r>
              <w:rPr>
                <w:color w:val="auto"/>
                <w:sz w:val="24"/>
                <w:u w:val="none"/>
              </w:rPr>
              <w:t>项目</w:t>
            </w:r>
            <w:r>
              <w:rPr>
                <w:rFonts w:hint="eastAsia"/>
                <w:color w:val="auto"/>
                <w:sz w:val="24"/>
                <w:u w:val="none"/>
              </w:rPr>
              <w:t>净水厂选址</w:t>
            </w:r>
            <w:r>
              <w:rPr>
                <w:color w:val="auto"/>
                <w:sz w:val="24"/>
                <w:u w:val="none"/>
              </w:rPr>
              <w:t>于</w:t>
            </w:r>
            <w:r>
              <w:rPr>
                <w:rFonts w:hint="eastAsia"/>
                <w:color w:val="auto"/>
                <w:sz w:val="24"/>
                <w:u w:val="none"/>
              </w:rPr>
              <w:t>长寿镇</w:t>
            </w:r>
            <w:r>
              <w:rPr>
                <w:rFonts w:hint="eastAsia"/>
                <w:color w:val="auto"/>
                <w:sz w:val="24"/>
                <w:u w:val="none"/>
                <w:lang w:eastAsia="zh-CN"/>
              </w:rPr>
              <w:t>长寿</w:t>
            </w:r>
            <w:r>
              <w:rPr>
                <w:rFonts w:hint="eastAsia"/>
                <w:color w:val="auto"/>
                <w:sz w:val="24"/>
                <w:u w:val="none"/>
              </w:rPr>
              <w:t>村，本项目的建设符合城乡规划要求，同时对照《禁止和限制用地目录》（2012年）可知，项目用地未在禁止和限制用地范围内，因此，本项目用地合法可行。从环境空气影响角度看，项目所在地环境空气质量现状较好。且项目投入运营后，废气产生量很少，对周边其他环境空气敏感点的影响较小；从声环境影响角度看，项目投入运营后，工程噪声源对周边声环境敏感点的影响不大。</w:t>
            </w:r>
            <w:r>
              <w:rPr>
                <w:color w:val="auto"/>
                <w:sz w:val="24"/>
                <w:u w:val="none"/>
              </w:rPr>
              <w:t>项目产生的“三废”经处理后均达标排放，不改变区域环境功能级别。</w:t>
            </w:r>
            <w:r>
              <w:rPr>
                <w:rFonts w:hAnsi="宋体"/>
                <w:color w:val="auto"/>
                <w:sz w:val="24"/>
                <w:u w:val="none"/>
              </w:rPr>
              <w:t>该区域无自然保护区、文物景观、水源地等环境敏感点，是较为理想的建厂地点。</w:t>
            </w:r>
          </w:p>
          <w:p>
            <w:pPr>
              <w:spacing w:line="360" w:lineRule="auto"/>
              <w:ind w:firstLine="480" w:firstLineChars="200"/>
              <w:rPr>
                <w:rFonts w:hint="eastAsia"/>
                <w:color w:val="auto"/>
                <w:sz w:val="24"/>
              </w:rPr>
            </w:pPr>
            <w:r>
              <w:rPr>
                <w:rFonts w:hint="eastAsia"/>
                <w:color w:val="auto"/>
                <w:sz w:val="24"/>
              </w:rPr>
              <w:t>项目</w:t>
            </w:r>
            <w:r>
              <w:rPr>
                <w:rFonts w:hint="eastAsia"/>
                <w:color w:val="auto"/>
                <w:sz w:val="24"/>
                <w:lang w:eastAsia="zh-CN"/>
              </w:rPr>
              <w:t>配水管网</w:t>
            </w:r>
            <w:r>
              <w:rPr>
                <w:rFonts w:hint="eastAsia"/>
                <w:color w:val="auto"/>
                <w:sz w:val="24"/>
              </w:rPr>
              <w:t>伴随平江县境内现有道路进行铺设，不单独另行选线，在局部关键部位根据现场实际情况穿越河流和三头，最大程度的降低管线长度，并减少水头损失，保证重力自流供水的要求。</w:t>
            </w:r>
          </w:p>
          <w:p>
            <w:pPr>
              <w:spacing w:line="360" w:lineRule="auto"/>
              <w:ind w:firstLine="480" w:firstLineChars="200"/>
              <w:rPr>
                <w:rFonts w:hint="eastAsia"/>
                <w:color w:val="auto"/>
                <w:sz w:val="24"/>
              </w:rPr>
            </w:pPr>
            <w:r>
              <w:rPr>
                <w:rFonts w:hint="eastAsia"/>
                <w:color w:val="auto"/>
                <w:sz w:val="24"/>
                <w:lang w:eastAsia="zh-CN"/>
              </w:rPr>
              <w:t>项目线路随</w:t>
            </w:r>
            <w:r>
              <w:rPr>
                <w:rFonts w:hint="eastAsia"/>
                <w:color w:val="auto"/>
                <w:sz w:val="24"/>
                <w:lang w:val="en-US" w:eastAsia="zh-CN"/>
              </w:rPr>
              <w:t>S308省道穿越</w:t>
            </w:r>
            <w:r>
              <w:rPr>
                <w:rFonts w:hint="eastAsia"/>
                <w:color w:val="auto"/>
                <w:sz w:val="24"/>
                <w:lang w:eastAsia="zh-CN"/>
              </w:rPr>
              <w:t>福寿山</w:t>
            </w:r>
            <w:r>
              <w:rPr>
                <w:rFonts w:hint="eastAsia"/>
                <w:color w:val="auto"/>
                <w:sz w:val="24"/>
                <w:lang w:val="en-US" w:eastAsia="zh-CN"/>
              </w:rPr>
              <w:t>-汨罗江国家级风景名胜区，不新增占用风景区用地，</w:t>
            </w:r>
            <w:r>
              <w:rPr>
                <w:rFonts w:hint="eastAsia"/>
                <w:color w:val="auto"/>
                <w:sz w:val="24"/>
              </w:rPr>
              <w:t>项目线路路经区域不涉及自然保护、文物古迹、基本农田保护区等敏感点。</w:t>
            </w:r>
          </w:p>
          <w:p>
            <w:pPr>
              <w:adjustRightInd w:val="0"/>
              <w:spacing w:line="360" w:lineRule="auto"/>
              <w:ind w:firstLine="480" w:firstLineChars="200"/>
              <w:rPr>
                <w:rFonts w:hint="eastAsia"/>
                <w:bCs/>
                <w:color w:val="auto"/>
                <w:sz w:val="24"/>
              </w:rPr>
            </w:pPr>
            <w:r>
              <w:rPr>
                <w:rFonts w:hint="eastAsia"/>
                <w:color w:val="auto"/>
                <w:sz w:val="24"/>
              </w:rPr>
              <w:t>根据以上分析，项目选址符合相关规划要求，与周围环境相容，选址可行。</w:t>
            </w:r>
          </w:p>
          <w:p>
            <w:pPr>
              <w:adjustRightInd w:val="0"/>
              <w:spacing w:line="360" w:lineRule="auto"/>
              <w:rPr>
                <w:b/>
                <w:bCs/>
                <w:color w:val="auto"/>
                <w:sz w:val="24"/>
              </w:rPr>
            </w:pPr>
            <w:r>
              <w:rPr>
                <w:b/>
                <w:bCs/>
                <w:color w:val="auto"/>
                <w:sz w:val="24"/>
              </w:rPr>
              <w:t>1</w:t>
            </w:r>
            <w:r>
              <w:rPr>
                <w:b/>
                <w:color w:val="auto"/>
                <w:sz w:val="24"/>
              </w:rPr>
              <w:t>.</w:t>
            </w:r>
            <w:r>
              <w:rPr>
                <w:rFonts w:hint="eastAsia"/>
                <w:b/>
                <w:bCs/>
                <w:color w:val="auto"/>
                <w:sz w:val="24"/>
              </w:rPr>
              <w:t xml:space="preserve">4 </w:t>
            </w:r>
            <w:r>
              <w:rPr>
                <w:b/>
                <w:bCs/>
                <w:color w:val="auto"/>
                <w:sz w:val="24"/>
              </w:rPr>
              <w:t>环境质量现状结论</w:t>
            </w:r>
          </w:p>
          <w:p>
            <w:pPr>
              <w:adjustRightInd w:val="0"/>
              <w:spacing w:line="360" w:lineRule="auto"/>
              <w:ind w:firstLine="480" w:firstLineChars="200"/>
              <w:rPr>
                <w:rFonts w:hint="eastAsia"/>
                <w:bCs/>
                <w:color w:val="auto"/>
                <w:sz w:val="24"/>
              </w:rPr>
            </w:pPr>
            <w:r>
              <w:rPr>
                <w:bCs/>
                <w:color w:val="auto"/>
                <w:sz w:val="24"/>
              </w:rPr>
              <w:t>（1）环境空气质量：</w:t>
            </w:r>
            <w:r>
              <w:rPr>
                <w:rFonts w:hint="eastAsia"/>
                <w:color w:val="auto"/>
                <w:sz w:val="24"/>
              </w:rPr>
              <w:t>本项目配水管线沿线区域内各监测点中SO</w:t>
            </w:r>
            <w:r>
              <w:rPr>
                <w:rFonts w:hint="eastAsia"/>
                <w:color w:val="auto"/>
                <w:sz w:val="24"/>
                <w:vertAlign w:val="subscript"/>
              </w:rPr>
              <w:t>2</w:t>
            </w:r>
            <w:r>
              <w:rPr>
                <w:rFonts w:hint="eastAsia"/>
                <w:color w:val="auto"/>
                <w:sz w:val="24"/>
              </w:rPr>
              <w:t>、NO</w:t>
            </w:r>
            <w:r>
              <w:rPr>
                <w:rFonts w:hint="eastAsia"/>
                <w:color w:val="auto"/>
                <w:sz w:val="24"/>
                <w:vertAlign w:val="subscript"/>
              </w:rPr>
              <w:t>2</w:t>
            </w:r>
            <w:r>
              <w:rPr>
                <w:rFonts w:hint="eastAsia"/>
                <w:color w:val="auto"/>
                <w:sz w:val="24"/>
              </w:rPr>
              <w:t>、TSP、PM</w:t>
            </w:r>
            <w:r>
              <w:rPr>
                <w:rFonts w:hint="eastAsia"/>
                <w:color w:val="auto"/>
                <w:sz w:val="24"/>
                <w:vertAlign w:val="subscript"/>
              </w:rPr>
              <w:t>10</w:t>
            </w:r>
            <w:r>
              <w:rPr>
                <w:rFonts w:hint="eastAsia"/>
                <w:color w:val="auto"/>
                <w:sz w:val="24"/>
              </w:rPr>
              <w:t>的各监测值均可满足《环境空气质量标准》（GB3095-2012）中二级标准要求，说明区域</w:t>
            </w:r>
            <w:r>
              <w:rPr>
                <w:color w:val="auto"/>
                <w:sz w:val="24"/>
              </w:rPr>
              <w:t>环境空气质量现状良好</w:t>
            </w:r>
            <w:r>
              <w:rPr>
                <w:rFonts w:hint="eastAsia"/>
                <w:color w:val="auto"/>
                <w:sz w:val="24"/>
              </w:rPr>
              <w:t>。</w:t>
            </w:r>
          </w:p>
          <w:p>
            <w:pPr>
              <w:adjustRightInd w:val="0"/>
              <w:spacing w:line="360" w:lineRule="auto"/>
              <w:ind w:firstLine="480" w:firstLineChars="200"/>
              <w:rPr>
                <w:rFonts w:hint="eastAsia"/>
                <w:bCs/>
                <w:color w:val="auto"/>
                <w:sz w:val="24"/>
              </w:rPr>
            </w:pPr>
            <w:r>
              <w:rPr>
                <w:bCs/>
                <w:color w:val="auto"/>
                <w:sz w:val="24"/>
              </w:rPr>
              <w:t>（2）水环境质量：</w:t>
            </w:r>
            <w:r>
              <w:rPr>
                <w:color w:val="auto"/>
                <w:sz w:val="24"/>
              </w:rPr>
              <w:t>汨罗江</w:t>
            </w:r>
            <w:r>
              <w:rPr>
                <w:rFonts w:hint="eastAsia"/>
                <w:color w:val="auto"/>
                <w:sz w:val="24"/>
              </w:rPr>
              <w:t>断面</w:t>
            </w:r>
            <w:r>
              <w:rPr>
                <w:color w:val="auto"/>
                <w:sz w:val="24"/>
              </w:rPr>
              <w:t>各监测因子指标均能达到《地表水环境质量标准》（GB3838-2002）中的</w:t>
            </w:r>
            <w:r>
              <w:rPr>
                <w:rFonts w:hint="eastAsia" w:ascii="宋体" w:hAnsi="宋体" w:cs="宋体"/>
                <w:color w:val="auto"/>
                <w:sz w:val="24"/>
              </w:rPr>
              <w:t>Ⅲ</w:t>
            </w:r>
            <w:r>
              <w:rPr>
                <w:color w:val="auto"/>
                <w:sz w:val="24"/>
              </w:rPr>
              <w:t>类水质标准要求，符合相应的水功能区划要求。</w:t>
            </w:r>
          </w:p>
          <w:p>
            <w:pPr>
              <w:adjustRightInd w:val="0"/>
              <w:spacing w:line="360" w:lineRule="auto"/>
              <w:ind w:firstLine="480" w:firstLineChars="200"/>
              <w:rPr>
                <w:bCs/>
                <w:color w:val="auto"/>
                <w:sz w:val="24"/>
              </w:rPr>
            </w:pPr>
            <w:r>
              <w:rPr>
                <w:bCs/>
                <w:color w:val="auto"/>
                <w:sz w:val="24"/>
              </w:rPr>
              <w:t>（</w:t>
            </w:r>
            <w:r>
              <w:rPr>
                <w:rFonts w:hint="eastAsia"/>
                <w:bCs/>
                <w:color w:val="auto"/>
                <w:sz w:val="24"/>
              </w:rPr>
              <w:t>3</w:t>
            </w:r>
            <w:r>
              <w:rPr>
                <w:bCs/>
                <w:color w:val="auto"/>
                <w:sz w:val="24"/>
              </w:rPr>
              <w:t>）声环境质量：</w:t>
            </w:r>
            <w:r>
              <w:rPr>
                <w:rFonts w:hint="eastAsia"/>
                <w:color w:val="auto"/>
                <w:sz w:val="24"/>
              </w:rPr>
              <w:t>本项目本项目配水管道沿线区域</w:t>
            </w:r>
            <w:r>
              <w:rPr>
                <w:rFonts w:hint="eastAsia"/>
                <w:snapToGrid w:val="0"/>
                <w:color w:val="auto"/>
                <w:kern w:val="0"/>
                <w:sz w:val="24"/>
              </w:rPr>
              <w:t>各监测点昼、夜间噪声监测值均满足《声环境质量标准》（GB3096-2008）中2类和4a标准要求。</w:t>
            </w:r>
          </w:p>
          <w:p>
            <w:pPr>
              <w:adjustRightInd w:val="0"/>
              <w:spacing w:line="360" w:lineRule="auto"/>
              <w:ind w:firstLine="480" w:firstLineChars="200"/>
              <w:rPr>
                <w:rFonts w:hint="eastAsia"/>
                <w:color w:val="auto"/>
                <w:sz w:val="24"/>
              </w:rPr>
            </w:pPr>
            <w:r>
              <w:rPr>
                <w:bCs/>
                <w:color w:val="auto"/>
                <w:sz w:val="24"/>
              </w:rPr>
              <w:t>（</w:t>
            </w:r>
            <w:r>
              <w:rPr>
                <w:rFonts w:hint="eastAsia"/>
                <w:bCs/>
                <w:color w:val="auto"/>
                <w:sz w:val="24"/>
              </w:rPr>
              <w:t>4</w:t>
            </w:r>
            <w:r>
              <w:rPr>
                <w:bCs/>
                <w:color w:val="auto"/>
                <w:sz w:val="24"/>
              </w:rPr>
              <w:t>）生态环境质量：</w:t>
            </w:r>
            <w:r>
              <w:rPr>
                <w:rFonts w:hint="eastAsia"/>
                <w:color w:val="auto"/>
                <w:sz w:val="24"/>
              </w:rPr>
              <w:t>本项目主要沿平江县内现有道路布置，</w:t>
            </w:r>
            <w:r>
              <w:rPr>
                <w:color w:val="auto"/>
                <w:sz w:val="24"/>
              </w:rPr>
              <w:t>根据现场调查，项目线路沿线植被主要以行道树</w:t>
            </w:r>
            <w:r>
              <w:rPr>
                <w:rFonts w:hint="eastAsia"/>
                <w:color w:val="auto"/>
                <w:sz w:val="24"/>
              </w:rPr>
              <w:t>、</w:t>
            </w:r>
            <w:r>
              <w:rPr>
                <w:color w:val="auto"/>
                <w:sz w:val="24"/>
              </w:rPr>
              <w:t>市政绿化植被及农作物为主</w:t>
            </w:r>
            <w:r>
              <w:rPr>
                <w:rFonts w:hint="eastAsia"/>
                <w:color w:val="auto"/>
                <w:sz w:val="24"/>
              </w:rPr>
              <w:t>，</w:t>
            </w:r>
            <w:r>
              <w:rPr>
                <w:color w:val="auto"/>
                <w:sz w:val="24"/>
              </w:rPr>
              <w:t>无原生植被的存在</w:t>
            </w:r>
            <w:r>
              <w:rPr>
                <w:rFonts w:hint="eastAsia"/>
                <w:color w:val="auto"/>
                <w:sz w:val="24"/>
              </w:rPr>
              <w:t>，</w:t>
            </w:r>
            <w:r>
              <w:rPr>
                <w:color w:val="auto"/>
                <w:sz w:val="24"/>
              </w:rPr>
              <w:t>次生植被的数量也很少</w:t>
            </w:r>
            <w:r>
              <w:rPr>
                <w:rFonts w:hint="eastAsia"/>
                <w:color w:val="auto"/>
                <w:sz w:val="24"/>
              </w:rPr>
              <w:t>；同时项目沿线区域野生动物的数量也很少，主要以</w:t>
            </w:r>
            <w:r>
              <w:rPr>
                <w:color w:val="auto"/>
                <w:sz w:val="24"/>
                <w:szCs w:val="28"/>
              </w:rPr>
              <w:t>常见的鸟类和青蛙等动物为主</w:t>
            </w:r>
            <w:r>
              <w:rPr>
                <w:rFonts w:hint="eastAsia"/>
                <w:color w:val="auto"/>
                <w:sz w:val="24"/>
                <w:szCs w:val="28"/>
              </w:rPr>
              <w:t>。</w:t>
            </w:r>
            <w:r>
              <w:rPr>
                <w:rFonts w:hint="eastAsia"/>
                <w:color w:val="auto"/>
                <w:sz w:val="24"/>
              </w:rPr>
              <w:t>综上所述，</w:t>
            </w:r>
            <w:r>
              <w:rPr>
                <w:color w:val="auto"/>
                <w:sz w:val="24"/>
              </w:rPr>
              <w:t>本项目所在地及沿线区域生物种类较为单一</w:t>
            </w:r>
            <w:r>
              <w:rPr>
                <w:rFonts w:hint="eastAsia"/>
                <w:color w:val="auto"/>
                <w:sz w:val="24"/>
              </w:rPr>
              <w:t>，</w:t>
            </w:r>
            <w:r>
              <w:rPr>
                <w:color w:val="auto"/>
                <w:sz w:val="24"/>
              </w:rPr>
              <w:t>生物多样性较差</w:t>
            </w:r>
            <w:r>
              <w:rPr>
                <w:rFonts w:hint="eastAsia"/>
                <w:color w:val="auto"/>
                <w:sz w:val="24"/>
              </w:rPr>
              <w:t>；动、</w:t>
            </w:r>
            <w:r>
              <w:rPr>
                <w:color w:val="auto"/>
                <w:sz w:val="24"/>
              </w:rPr>
              <w:t>植物物种资源较为贫乏，且多为次生性种类</w:t>
            </w:r>
            <w:r>
              <w:rPr>
                <w:rFonts w:hint="eastAsia"/>
                <w:color w:val="auto"/>
                <w:sz w:val="24"/>
              </w:rPr>
              <w:t>；本</w:t>
            </w:r>
            <w:r>
              <w:rPr>
                <w:color w:val="auto"/>
                <w:sz w:val="24"/>
              </w:rPr>
              <w:t>项目区及其附近</w:t>
            </w:r>
            <w:r>
              <w:rPr>
                <w:rFonts w:hint="eastAsia"/>
                <w:color w:val="auto"/>
                <w:sz w:val="24"/>
              </w:rPr>
              <w:t>区域</w:t>
            </w:r>
            <w:r>
              <w:rPr>
                <w:color w:val="auto"/>
                <w:sz w:val="24"/>
              </w:rPr>
              <w:t>未发现需特别保护的珍稀动</w:t>
            </w:r>
            <w:r>
              <w:rPr>
                <w:rFonts w:hint="eastAsia"/>
                <w:color w:val="auto"/>
                <w:sz w:val="24"/>
              </w:rPr>
              <w:t>、</w:t>
            </w:r>
            <w:r>
              <w:rPr>
                <w:color w:val="auto"/>
                <w:sz w:val="24"/>
              </w:rPr>
              <w:t>植物和文物保护单位。</w:t>
            </w:r>
          </w:p>
          <w:p>
            <w:pPr>
              <w:adjustRightInd w:val="0"/>
              <w:spacing w:line="360" w:lineRule="auto"/>
              <w:rPr>
                <w:b/>
                <w:bCs/>
                <w:color w:val="auto"/>
                <w:sz w:val="24"/>
              </w:rPr>
            </w:pPr>
            <w:r>
              <w:rPr>
                <w:b/>
                <w:bCs/>
                <w:color w:val="auto"/>
                <w:sz w:val="24"/>
              </w:rPr>
              <w:t>1</w:t>
            </w:r>
            <w:r>
              <w:rPr>
                <w:b/>
                <w:color w:val="auto"/>
                <w:sz w:val="24"/>
              </w:rPr>
              <w:t>.</w:t>
            </w:r>
            <w:r>
              <w:rPr>
                <w:rFonts w:hint="eastAsia"/>
                <w:b/>
                <w:color w:val="auto"/>
                <w:sz w:val="24"/>
              </w:rPr>
              <w:t>5</w:t>
            </w:r>
            <w:r>
              <w:rPr>
                <w:rFonts w:hint="eastAsia"/>
                <w:b/>
                <w:bCs/>
                <w:color w:val="auto"/>
                <w:sz w:val="24"/>
              </w:rPr>
              <w:t xml:space="preserve"> 项目</w:t>
            </w:r>
            <w:r>
              <w:rPr>
                <w:b/>
                <w:bCs/>
                <w:color w:val="auto"/>
                <w:sz w:val="24"/>
              </w:rPr>
              <w:t>环境影响结论</w:t>
            </w:r>
          </w:p>
          <w:p>
            <w:pPr>
              <w:adjustRightInd w:val="0"/>
              <w:spacing w:line="360" w:lineRule="auto"/>
              <w:rPr>
                <w:rFonts w:hint="eastAsia"/>
                <w:b/>
                <w:bCs/>
                <w:color w:val="auto"/>
                <w:sz w:val="24"/>
              </w:rPr>
            </w:pPr>
            <w:r>
              <w:rPr>
                <w:rFonts w:hint="eastAsia"/>
                <w:b/>
                <w:bCs/>
                <w:color w:val="auto"/>
                <w:sz w:val="24"/>
              </w:rPr>
              <w:t>1.5.1 施工期环境影响</w:t>
            </w:r>
          </w:p>
          <w:p>
            <w:pPr>
              <w:adjustRightInd w:val="0"/>
              <w:spacing w:line="360" w:lineRule="auto"/>
              <w:ind w:firstLine="480" w:firstLineChars="200"/>
              <w:rPr>
                <w:rFonts w:hint="eastAsia" w:hAnsi="宋体"/>
                <w:color w:val="auto"/>
                <w:sz w:val="24"/>
              </w:rPr>
            </w:pPr>
            <w:r>
              <w:rPr>
                <w:rFonts w:hint="eastAsia" w:hAnsi="宋体"/>
                <w:bCs/>
                <w:color w:val="auto"/>
                <w:sz w:val="24"/>
              </w:rPr>
              <w:t>根据分析，本项目施工期对各要素环境的影响是属于暂时的、局部的、</w:t>
            </w:r>
            <w:r>
              <w:rPr>
                <w:rFonts w:hint="eastAsia" w:hAnsi="宋体"/>
                <w:color w:val="auto"/>
                <w:sz w:val="24"/>
              </w:rPr>
              <w:t>可逆的、可恢复的影响</w:t>
            </w:r>
            <w:r>
              <w:rPr>
                <w:rFonts w:hint="eastAsia" w:hAnsi="宋体"/>
                <w:bCs/>
                <w:color w:val="auto"/>
                <w:sz w:val="24"/>
              </w:rPr>
              <w:t>，在采取有效的控制措施后，可将影响将至最低；同时本项目施工期对区域环境的影响主要局限在管线施工范围以内的有限区域，待施工结束后，其影响基本可消除。</w:t>
            </w:r>
          </w:p>
          <w:p>
            <w:pPr>
              <w:adjustRightInd w:val="0"/>
              <w:spacing w:line="360" w:lineRule="auto"/>
              <w:rPr>
                <w:rFonts w:hint="eastAsia"/>
                <w:b/>
                <w:bCs/>
                <w:color w:val="auto"/>
                <w:sz w:val="24"/>
              </w:rPr>
            </w:pPr>
            <w:r>
              <w:rPr>
                <w:rFonts w:hint="eastAsia"/>
                <w:b/>
                <w:bCs/>
                <w:color w:val="auto"/>
                <w:sz w:val="24"/>
              </w:rPr>
              <w:t>1.5.2 营运期环境影响</w:t>
            </w:r>
          </w:p>
          <w:p>
            <w:pPr>
              <w:spacing w:line="360" w:lineRule="auto"/>
              <w:ind w:firstLine="480" w:firstLineChars="200"/>
              <w:rPr>
                <w:color w:val="auto"/>
                <w:sz w:val="24"/>
              </w:rPr>
            </w:pPr>
            <w:bookmarkStart w:id="20" w:name="_Toc306024854"/>
            <w:bookmarkStart w:id="21" w:name="_Toc333916620"/>
            <w:bookmarkStart w:id="22" w:name="_Toc335737425"/>
            <w:bookmarkStart w:id="23" w:name="_Toc340050698"/>
            <w:bookmarkStart w:id="24" w:name="_Toc340050770"/>
            <w:bookmarkStart w:id="25" w:name="_Toc340051130"/>
            <w:bookmarkStart w:id="26" w:name="_Toc355273289"/>
            <w:r>
              <w:rPr>
                <w:rFonts w:hint="eastAsia"/>
                <w:color w:val="auto"/>
                <w:sz w:val="24"/>
                <w:lang w:eastAsia="zh-CN"/>
              </w:rPr>
              <w:t>（</w:t>
            </w:r>
            <w:r>
              <w:rPr>
                <w:rFonts w:hint="eastAsia"/>
                <w:color w:val="auto"/>
                <w:sz w:val="24"/>
                <w:lang w:val="en-US" w:eastAsia="zh-CN"/>
              </w:rPr>
              <w:t>1</w:t>
            </w:r>
            <w:r>
              <w:rPr>
                <w:rFonts w:hint="eastAsia"/>
                <w:color w:val="auto"/>
                <w:sz w:val="24"/>
                <w:lang w:eastAsia="zh-CN"/>
              </w:rPr>
              <w:t>）</w:t>
            </w:r>
            <w:r>
              <w:rPr>
                <w:color w:val="auto"/>
                <w:sz w:val="24"/>
              </w:rPr>
              <w:t>水环境影响分析</w:t>
            </w:r>
          </w:p>
          <w:p>
            <w:pPr>
              <w:spacing w:line="360" w:lineRule="auto"/>
              <w:ind w:firstLine="480" w:firstLineChars="200"/>
              <w:rPr>
                <w:rFonts w:hint="eastAsia"/>
                <w:color w:val="auto"/>
                <w:sz w:val="24"/>
              </w:rPr>
            </w:pPr>
            <w:r>
              <w:rPr>
                <w:rFonts w:hint="eastAsia"/>
                <w:color w:val="auto"/>
                <w:sz w:val="24"/>
              </w:rPr>
              <w:t>项目食堂废水经隔油池处理再与其它生活污水经化粪池处理后用于农肥，净水区产生的滤池反冲洗废水、沉淀池排泥水经废水污泥处理系统沉淀处理后90%回用于制水，10%处理后达到《污水综合排放标准》一级标准，排至黄河金，能做到达标排放，对黄金河的影响较小。</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w:t>
            </w:r>
            <w:r>
              <w:rPr>
                <w:color w:val="auto"/>
                <w:sz w:val="24"/>
              </w:rPr>
              <w:t>环境空气影响分析</w:t>
            </w:r>
          </w:p>
          <w:p>
            <w:pPr>
              <w:autoSpaceDE w:val="0"/>
              <w:autoSpaceDN w:val="0"/>
              <w:adjustRightInd w:val="0"/>
              <w:spacing w:line="360" w:lineRule="auto"/>
              <w:ind w:firstLine="480" w:firstLineChars="200"/>
              <w:rPr>
                <w:rFonts w:hint="eastAsia"/>
                <w:bCs/>
                <w:color w:val="auto"/>
                <w:sz w:val="24"/>
              </w:rPr>
            </w:pPr>
            <w:r>
              <w:rPr>
                <w:color w:val="auto"/>
                <w:sz w:val="24"/>
              </w:rPr>
              <w:t>项目无组织排放废气</w:t>
            </w:r>
            <w:r>
              <w:rPr>
                <w:rFonts w:hint="eastAsia"/>
                <w:color w:val="auto"/>
                <w:sz w:val="24"/>
              </w:rPr>
              <w:t>通过</w:t>
            </w:r>
            <w:r>
              <w:rPr>
                <w:color w:val="auto"/>
                <w:sz w:val="24"/>
              </w:rPr>
              <w:t>加强</w:t>
            </w:r>
            <w:r>
              <w:rPr>
                <w:rFonts w:hint="eastAsia"/>
                <w:color w:val="auto"/>
                <w:sz w:val="24"/>
              </w:rPr>
              <w:t>加药间</w:t>
            </w:r>
            <w:r>
              <w:rPr>
                <w:color w:val="auto"/>
                <w:sz w:val="24"/>
              </w:rPr>
              <w:t>通风，以减少对职工的健康安全和环境的影响</w:t>
            </w:r>
            <w:r>
              <w:rPr>
                <w:rFonts w:hint="eastAsia"/>
                <w:color w:val="auto"/>
                <w:sz w:val="24"/>
              </w:rPr>
              <w:t>；</w:t>
            </w:r>
            <w:r>
              <w:rPr>
                <w:bCs/>
                <w:color w:val="auto"/>
                <w:sz w:val="24"/>
              </w:rPr>
              <w:t>油烟废气</w:t>
            </w:r>
            <w:r>
              <w:rPr>
                <w:rFonts w:hint="eastAsia"/>
                <w:color w:val="auto"/>
                <w:sz w:val="24"/>
              </w:rPr>
              <w:t>经排气扇排出，可</w:t>
            </w:r>
            <w:r>
              <w:rPr>
                <w:color w:val="auto"/>
                <w:sz w:val="24"/>
              </w:rPr>
              <w:t>达到《饮食业油烟排放标准》（GB 18483-2001）的要求</w:t>
            </w:r>
            <w:r>
              <w:rPr>
                <w:rFonts w:hint="eastAsia"/>
                <w:color w:val="auto"/>
                <w:sz w:val="24"/>
              </w:rPr>
              <w:t>；</w:t>
            </w:r>
            <w:r>
              <w:rPr>
                <w:rFonts w:hint="eastAsia"/>
                <w:color w:val="auto"/>
                <w:kern w:val="0"/>
                <w:sz w:val="24"/>
              </w:rPr>
              <w:t>备用发电机尾气</w:t>
            </w:r>
            <w:r>
              <w:rPr>
                <w:color w:val="auto"/>
                <w:sz w:val="24"/>
              </w:rPr>
              <w:t>内置专用烟道引至发电机房所在构筑物楼顶排放</w:t>
            </w:r>
            <w:r>
              <w:rPr>
                <w:rFonts w:hint="eastAsia"/>
                <w:color w:val="auto"/>
                <w:sz w:val="24"/>
              </w:rPr>
              <w:t>,能够满足</w:t>
            </w:r>
            <w:r>
              <w:rPr>
                <w:color w:val="auto"/>
                <w:sz w:val="24"/>
              </w:rPr>
              <w:t>《</w:t>
            </w:r>
            <w:r>
              <w:rPr>
                <w:rFonts w:ascii="Tahoma" w:hAnsi="Tahoma" w:cs="Tahoma"/>
                <w:color w:val="auto"/>
                <w:sz w:val="24"/>
              </w:rPr>
              <w:t>非道路移动机械用柴油机排气污染物排放限值及测量方法(中国第三、四阶段）</w:t>
            </w:r>
            <w:r>
              <w:rPr>
                <w:color w:val="auto"/>
                <w:sz w:val="24"/>
              </w:rPr>
              <w:t>》(GB 20891—2014)中</w:t>
            </w:r>
            <w:r>
              <w:rPr>
                <w:rFonts w:hint="eastAsia"/>
                <w:color w:val="auto"/>
                <w:sz w:val="24"/>
              </w:rPr>
              <w:t>第三阶段标准要求</w:t>
            </w:r>
            <w:r>
              <w:rPr>
                <w:rFonts w:hint="eastAsia"/>
                <w:color w:val="auto"/>
                <w:kern w:val="0"/>
                <w:sz w:val="24"/>
              </w:rPr>
              <w:t>。</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w:t>
            </w:r>
            <w:r>
              <w:rPr>
                <w:color w:val="auto"/>
                <w:sz w:val="24"/>
              </w:rPr>
              <w:t>声环境影响分析</w:t>
            </w:r>
          </w:p>
          <w:p>
            <w:pPr>
              <w:spacing w:line="360" w:lineRule="auto"/>
              <w:ind w:firstLine="480" w:firstLineChars="200"/>
              <w:rPr>
                <w:rFonts w:hint="eastAsia"/>
                <w:color w:val="auto"/>
                <w:sz w:val="24"/>
              </w:rPr>
            </w:pPr>
            <w:r>
              <w:rPr>
                <w:rFonts w:hint="eastAsia"/>
                <w:color w:val="auto"/>
                <w:sz w:val="24"/>
              </w:rPr>
              <w:t xml:space="preserve">项目水泵、风机、发电机等设备均设在室内，优选低噪声设备，安置减振基础，设备房设置墙体隔声，在厂区内种植高大乔木隔声降噪，确保厂界噪声达到《工业企业厂界环境噪声排放标准》(GB12348-2008)中1类标准。 </w:t>
            </w:r>
          </w:p>
          <w:p>
            <w:pPr>
              <w:spacing w:line="360" w:lineRule="auto"/>
              <w:ind w:firstLine="480" w:firstLineChars="200"/>
              <w:rPr>
                <w:rFonts w:hint="eastAsia"/>
                <w:color w:val="auto"/>
                <w:sz w:val="24"/>
              </w:rPr>
            </w:pPr>
            <w:r>
              <w:rPr>
                <w:rFonts w:hint="eastAsia"/>
                <w:color w:val="auto"/>
                <w:sz w:val="24"/>
                <w:lang w:eastAsia="zh-CN"/>
              </w:rPr>
              <w:t>（</w:t>
            </w:r>
            <w:r>
              <w:rPr>
                <w:rFonts w:hint="eastAsia"/>
                <w:color w:val="auto"/>
                <w:sz w:val="24"/>
                <w:lang w:val="en-US" w:eastAsia="zh-CN"/>
              </w:rPr>
              <w:t>4</w:t>
            </w:r>
            <w:r>
              <w:rPr>
                <w:rFonts w:hint="eastAsia"/>
                <w:color w:val="auto"/>
                <w:sz w:val="24"/>
                <w:lang w:eastAsia="zh-CN"/>
              </w:rPr>
              <w:t>）</w:t>
            </w:r>
            <w:r>
              <w:rPr>
                <w:color w:val="auto"/>
                <w:sz w:val="24"/>
              </w:rPr>
              <w:t>固体废物对环境的影响分析</w:t>
            </w:r>
          </w:p>
          <w:p>
            <w:pPr>
              <w:spacing w:line="360" w:lineRule="auto"/>
              <w:ind w:firstLine="480" w:firstLineChars="200"/>
              <w:rPr>
                <w:color w:val="auto"/>
                <w:sz w:val="24"/>
              </w:rPr>
            </w:pPr>
            <w:bookmarkStart w:id="27" w:name="_Toc260929716"/>
            <w:r>
              <w:rPr>
                <w:rFonts w:hint="eastAsia"/>
                <w:color w:val="auto"/>
                <w:sz w:val="24"/>
              </w:rPr>
              <w:t>项目生活垃圾交环卫部门清运至平江县生活垃圾卫生填埋场进行填埋，废水处理污泥浓缩脱水后送平江县生活垃圾卫生填埋场进行填埋，危废交由资质的单位处理，采取以上处理措施后项目固体废物做到安全处置或综合利用，能做到达标排放，固体</w:t>
            </w:r>
            <w:r>
              <w:rPr>
                <w:color w:val="auto"/>
                <w:sz w:val="24"/>
              </w:rPr>
              <w:t>废物对项目及区域环境产生影响较小。</w:t>
            </w:r>
          </w:p>
          <w:p>
            <w:pPr>
              <w:adjustRightInd w:val="0"/>
              <w:spacing w:line="360" w:lineRule="auto"/>
              <w:rPr>
                <w:b/>
                <w:bCs/>
                <w:color w:val="auto"/>
                <w:sz w:val="24"/>
              </w:rPr>
            </w:pPr>
            <w:r>
              <w:rPr>
                <w:rFonts w:hint="eastAsia"/>
                <w:b/>
                <w:bCs/>
                <w:color w:val="auto"/>
                <w:sz w:val="24"/>
                <w:lang w:val="en-US" w:eastAsia="zh-CN"/>
              </w:rPr>
              <w:t>1.6</w:t>
            </w:r>
            <w:r>
              <w:rPr>
                <w:b/>
                <w:bCs/>
                <w:color w:val="auto"/>
                <w:sz w:val="24"/>
              </w:rPr>
              <w:t>公众参与</w:t>
            </w:r>
          </w:p>
          <w:p>
            <w:pPr>
              <w:spacing w:line="360" w:lineRule="auto"/>
              <w:ind w:firstLine="470" w:firstLineChars="196"/>
              <w:rPr>
                <w:color w:val="auto"/>
                <w:sz w:val="24"/>
              </w:rPr>
            </w:pPr>
            <w:r>
              <w:rPr>
                <w:bCs/>
                <w:sz w:val="24"/>
              </w:rPr>
              <w:t>从环境信息公开及反馈的情况来看，周围公众对本项目的建设较了解，</w:t>
            </w:r>
            <w:r>
              <w:rPr>
                <w:rFonts w:hint="eastAsia"/>
                <w:bCs/>
                <w:sz w:val="24"/>
                <w:lang w:eastAsia="zh-CN"/>
              </w:rPr>
              <w:t>团体和个人</w:t>
            </w:r>
            <w:r>
              <w:rPr>
                <w:bCs/>
                <w:sz w:val="24"/>
              </w:rPr>
              <w:t>赞成本项目的建设，没有人反对项目建设。公众要求建设方在建设过程中做好环境管理和污染物防治工作，建设方对于公众的意见均表示采纳。</w:t>
            </w:r>
          </w:p>
          <w:bookmarkEnd w:id="20"/>
          <w:bookmarkEnd w:id="21"/>
          <w:bookmarkEnd w:id="22"/>
          <w:bookmarkEnd w:id="23"/>
          <w:bookmarkEnd w:id="24"/>
          <w:bookmarkEnd w:id="25"/>
          <w:bookmarkEnd w:id="26"/>
          <w:bookmarkEnd w:id="27"/>
          <w:p>
            <w:pPr>
              <w:adjustRightInd w:val="0"/>
              <w:spacing w:line="360" w:lineRule="auto"/>
              <w:rPr>
                <w:b/>
                <w:bCs/>
                <w:color w:val="auto"/>
                <w:sz w:val="24"/>
              </w:rPr>
            </w:pPr>
            <w:r>
              <w:rPr>
                <w:b/>
                <w:bCs/>
                <w:color w:val="auto"/>
                <w:sz w:val="24"/>
              </w:rPr>
              <w:t>2</w:t>
            </w:r>
            <w:r>
              <w:rPr>
                <w:rFonts w:hint="eastAsia"/>
                <w:b/>
                <w:bCs/>
                <w:color w:val="auto"/>
                <w:sz w:val="24"/>
              </w:rPr>
              <w:t>、总体结论</w:t>
            </w:r>
          </w:p>
          <w:p>
            <w:pPr>
              <w:adjustRightInd w:val="0"/>
              <w:spacing w:line="360" w:lineRule="auto"/>
              <w:ind w:firstLine="480" w:firstLineChars="200"/>
              <w:rPr>
                <w:rFonts w:hint="eastAsia" w:hAnsi="宋体"/>
                <w:color w:val="auto"/>
                <w:sz w:val="24"/>
              </w:rPr>
            </w:pPr>
            <w:r>
              <w:rPr>
                <w:rFonts w:hint="eastAsia" w:hAnsi="宋体"/>
                <w:color w:val="auto"/>
                <w:sz w:val="24"/>
              </w:rPr>
              <w:t>综上所述，平江县供水</w:t>
            </w:r>
            <w:r>
              <w:rPr>
                <w:rFonts w:hint="eastAsia" w:hAnsi="宋体"/>
                <w:color w:val="auto"/>
                <w:sz w:val="24"/>
                <w:lang w:eastAsia="zh-CN"/>
              </w:rPr>
              <w:t>（黄金洞水库）</w:t>
            </w:r>
            <w:r>
              <w:rPr>
                <w:rFonts w:hint="eastAsia" w:hAnsi="宋体"/>
                <w:color w:val="auto"/>
                <w:sz w:val="24"/>
              </w:rPr>
              <w:t>枢纽工程建设项目的建设可保障平江县</w:t>
            </w:r>
            <w:r>
              <w:rPr>
                <w:rFonts w:hint="eastAsia" w:hAnsi="宋体"/>
                <w:color w:val="auto"/>
                <w:sz w:val="24"/>
                <w:lang w:eastAsia="zh-CN"/>
              </w:rPr>
              <w:t>内城关镇（原汉昌镇）、三阳乡、安定镇、三市镇、加义镇、长寿镇、木金乡、梅仙镇、余坪镇（原余坪乡）、瓮江镇、浯口镇、伍市镇、向家</w:t>
            </w:r>
            <w:bookmarkStart w:id="28" w:name="_GoBack"/>
            <w:bookmarkEnd w:id="28"/>
            <w:r>
              <w:rPr>
                <w:rFonts w:hint="eastAsia" w:hAnsi="宋体"/>
                <w:color w:val="auto"/>
                <w:sz w:val="24"/>
                <w:lang w:eastAsia="zh-CN"/>
              </w:rPr>
              <w:t>镇、福寿山镇（原西村乡）等</w:t>
            </w:r>
            <w:r>
              <w:rPr>
                <w:rFonts w:hint="eastAsia" w:hAnsi="宋体"/>
                <w:color w:val="auto"/>
                <w:sz w:val="24"/>
              </w:rPr>
              <w:t>乡镇的饮用水安全，满足社会经济可持续发展和人民生活水平提高的要求，项目选址符合平江县城市总体规划和给水规划，选址合理。项目对废气、废水、噪声和固体废物等污染物采取了妥善的处理处置措施，污染物排放总量有较大削减，在落实各项规定的污染防治措施后，项目各污染物能达标排放，对周围环境影响不大，周围环境质量能满足功能区划要求，项目采取了完善了风险防范措施，发生环境风险概率在环境可接受水平范围内。在全面落实本报告书提出的各项污染防范措施以及“三同时”制度的前提下，从环境保护角度考虑，项目建设可行</w:t>
            </w:r>
            <w:r>
              <w:rPr>
                <w:rFonts w:hint="eastAsia" w:hAnsi="宋体"/>
                <w:color w:val="auto"/>
                <w:sz w:val="24"/>
                <w:lang w:eastAsia="zh-CN"/>
              </w:rPr>
              <w:t>的。</w:t>
            </w:r>
          </w:p>
          <w:p>
            <w:pPr>
              <w:adjustRightInd w:val="0"/>
              <w:spacing w:line="360" w:lineRule="auto"/>
              <w:jc w:val="left"/>
              <w:rPr>
                <w:b/>
                <w:bCs/>
                <w:color w:val="auto"/>
                <w:sz w:val="24"/>
              </w:rPr>
            </w:pPr>
            <w:r>
              <w:rPr>
                <w:rFonts w:hint="eastAsia"/>
                <w:b/>
                <w:bCs/>
                <w:color w:val="auto"/>
                <w:sz w:val="24"/>
              </w:rPr>
              <w:t>3、要求和</w:t>
            </w:r>
            <w:r>
              <w:rPr>
                <w:b/>
                <w:bCs/>
                <w:color w:val="auto"/>
                <w:sz w:val="24"/>
              </w:rPr>
              <w:t>建议</w:t>
            </w:r>
          </w:p>
          <w:p>
            <w:pPr>
              <w:adjustRightInd w:val="0"/>
              <w:spacing w:line="360" w:lineRule="auto"/>
              <w:ind w:firstLine="480" w:firstLineChars="200"/>
              <w:rPr>
                <w:rFonts w:hint="eastAsia"/>
                <w:bCs/>
                <w:color w:val="auto"/>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w:t>
            </w:r>
            <w:r>
              <w:rPr>
                <w:snapToGrid w:val="0"/>
                <w:color w:val="auto"/>
                <w:kern w:val="0"/>
                <w:sz w:val="24"/>
              </w:rPr>
              <w:t>本次评价结论是根据建设单位提供的资料进行</w:t>
            </w:r>
            <w:r>
              <w:rPr>
                <w:rFonts w:hint="eastAsia"/>
                <w:snapToGrid w:val="0"/>
                <w:color w:val="auto"/>
                <w:kern w:val="0"/>
                <w:sz w:val="24"/>
              </w:rPr>
              <w:t>叙述</w:t>
            </w:r>
            <w:r>
              <w:rPr>
                <w:snapToGrid w:val="0"/>
                <w:color w:val="auto"/>
                <w:kern w:val="0"/>
                <w:sz w:val="24"/>
              </w:rPr>
              <w:t>的，如实际方案有所变化，建设单位应按环保部门的要求另行申报</w:t>
            </w:r>
            <w:r>
              <w:rPr>
                <w:rFonts w:hint="eastAsia"/>
                <w:snapToGrid w:val="0"/>
                <w:color w:val="auto"/>
                <w:kern w:val="0"/>
                <w:sz w:val="24"/>
              </w:rPr>
              <w:t>；</w:t>
            </w:r>
          </w:p>
          <w:p>
            <w:pPr>
              <w:spacing w:line="360" w:lineRule="auto"/>
              <w:ind w:firstLine="496" w:firstLineChars="200"/>
              <w:rPr>
                <w:rFonts w:hint="eastAsia"/>
                <w:color w:val="auto"/>
                <w:spacing w:val="4"/>
                <w:sz w:val="24"/>
              </w:rPr>
            </w:pPr>
            <w:r>
              <w:rPr>
                <w:rFonts w:hint="eastAsia"/>
                <w:color w:val="auto"/>
                <w:spacing w:val="4"/>
                <w:sz w:val="24"/>
              </w:rPr>
              <w:t>（</w:t>
            </w:r>
            <w:r>
              <w:rPr>
                <w:rFonts w:hint="eastAsia"/>
                <w:color w:val="auto"/>
                <w:spacing w:val="4"/>
                <w:sz w:val="24"/>
                <w:lang w:val="en-US" w:eastAsia="zh-CN"/>
              </w:rPr>
              <w:t>2</w:t>
            </w:r>
            <w:r>
              <w:rPr>
                <w:rFonts w:hint="eastAsia"/>
                <w:color w:val="auto"/>
                <w:spacing w:val="4"/>
                <w:sz w:val="24"/>
              </w:rPr>
              <w:t xml:space="preserve">）根据环评要求，落实“三废治理”费用，做到专款专用，项目实施后应保证足够的环保资金，确保污染防治措施有效地运行，保证污染物达标排放； </w:t>
            </w:r>
          </w:p>
          <w:p>
            <w:pPr>
              <w:spacing w:line="360" w:lineRule="auto"/>
              <w:ind w:firstLine="496" w:firstLineChars="200"/>
              <w:rPr>
                <w:rFonts w:hint="eastAsia"/>
                <w:color w:val="auto"/>
                <w:spacing w:val="4"/>
                <w:sz w:val="24"/>
              </w:rPr>
            </w:pPr>
            <w:r>
              <w:rPr>
                <w:rFonts w:hint="eastAsia"/>
                <w:color w:val="auto"/>
                <w:spacing w:val="4"/>
                <w:sz w:val="24"/>
              </w:rPr>
              <w:t>（</w:t>
            </w:r>
            <w:r>
              <w:rPr>
                <w:rFonts w:hint="eastAsia"/>
                <w:color w:val="auto"/>
                <w:spacing w:val="4"/>
                <w:sz w:val="24"/>
                <w:lang w:val="en-US" w:eastAsia="zh-CN"/>
              </w:rPr>
              <w:t>3</w:t>
            </w:r>
            <w:r>
              <w:rPr>
                <w:rFonts w:hint="eastAsia"/>
                <w:color w:val="auto"/>
                <w:spacing w:val="4"/>
                <w:sz w:val="24"/>
              </w:rPr>
              <w:t xml:space="preserve">）建设单位要加强对环境的管理，设专门的环保机构和人员，定期对环保设施进行检查和维护，确保其长期在正常安全状态下运行，杜绝发生污染事故，并严格接受环境保护部门的日常监督管理；确保污染物排放、资源利用、环境保护等指标符合要求。  </w:t>
            </w:r>
          </w:p>
          <w:p>
            <w:pPr>
              <w:spacing w:line="360" w:lineRule="auto"/>
              <w:ind w:firstLine="496" w:firstLineChars="200"/>
              <w:rPr>
                <w:rFonts w:hint="eastAsia"/>
                <w:color w:val="auto"/>
                <w:spacing w:val="4"/>
                <w:sz w:val="24"/>
              </w:rPr>
            </w:pPr>
            <w:r>
              <w:rPr>
                <w:rFonts w:hint="eastAsia"/>
                <w:color w:val="auto"/>
                <w:spacing w:val="4"/>
                <w:sz w:val="24"/>
              </w:rPr>
              <w:t>（4）注重施工期的环境保护。</w:t>
            </w:r>
            <w:r>
              <w:rPr>
                <w:rFonts w:hint="eastAsia"/>
                <w:color w:val="auto"/>
                <w:spacing w:val="4"/>
                <w:sz w:val="24"/>
                <w:lang w:eastAsia="zh-CN"/>
              </w:rPr>
              <w:t>加强在福寿山</w:t>
            </w:r>
            <w:r>
              <w:rPr>
                <w:rFonts w:hint="eastAsia"/>
                <w:color w:val="auto"/>
                <w:spacing w:val="4"/>
                <w:sz w:val="24"/>
                <w:lang w:val="en-US" w:eastAsia="zh-CN"/>
              </w:rPr>
              <w:t>-汨罗江国家级风景区内施工期管控</w:t>
            </w:r>
            <w:r>
              <w:rPr>
                <w:rFonts w:hint="eastAsia"/>
                <w:color w:val="auto"/>
                <w:spacing w:val="4"/>
                <w:sz w:val="24"/>
              </w:rPr>
              <w:t xml:space="preserve">，做到文明施工，尽量减少施工物料产生的扬尘，施工场地及时洒水。施工一旦完成，应及时跟进绿化工作，防治水土流失。 </w:t>
            </w:r>
          </w:p>
          <w:p>
            <w:pPr>
              <w:spacing w:line="360" w:lineRule="auto"/>
              <w:ind w:firstLine="496" w:firstLineChars="200"/>
              <w:rPr>
                <w:rFonts w:hint="eastAsia"/>
                <w:color w:val="auto"/>
                <w:spacing w:val="4"/>
                <w:sz w:val="24"/>
              </w:rPr>
            </w:pPr>
            <w:r>
              <w:rPr>
                <w:rFonts w:hint="eastAsia"/>
                <w:color w:val="auto"/>
                <w:spacing w:val="4"/>
                <w:sz w:val="24"/>
              </w:rPr>
              <w:t xml:space="preserve">（5）按照规划，合理安排厂区布局，进行厂区绿化，改善厂区环境。 </w:t>
            </w:r>
          </w:p>
          <w:p>
            <w:pPr>
              <w:spacing w:line="360" w:lineRule="auto"/>
              <w:ind w:firstLine="496" w:firstLineChars="200"/>
              <w:rPr>
                <w:rFonts w:hint="eastAsia"/>
                <w:color w:val="auto"/>
                <w:spacing w:val="4"/>
                <w:sz w:val="24"/>
              </w:rPr>
            </w:pPr>
            <w:r>
              <w:rPr>
                <w:rFonts w:hint="eastAsia"/>
                <w:color w:val="auto"/>
                <w:spacing w:val="4"/>
                <w:sz w:val="24"/>
              </w:rPr>
              <w:t xml:space="preserve">（6）严格执行“三同时”管理制度，所有环保措施及环保设施，应在工程建设过程中同时设计、同时施工、同时投产运行。 </w:t>
            </w:r>
          </w:p>
          <w:p>
            <w:pPr>
              <w:adjustRightInd w:val="0"/>
              <w:spacing w:line="360" w:lineRule="auto"/>
              <w:ind w:firstLine="480" w:firstLineChars="200"/>
              <w:rPr>
                <w:rFonts w:hint="eastAsia"/>
                <w:b/>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2" w:hRule="atLeast"/>
        </w:trPr>
        <w:tc>
          <w:tcPr>
            <w:tcW w:w="8528" w:type="dxa"/>
            <w:vAlign w:val="top"/>
          </w:tcPr>
          <w:p>
            <w:pPr>
              <w:spacing w:line="360" w:lineRule="auto"/>
              <w:rPr>
                <w:color w:val="auto"/>
                <w:sz w:val="28"/>
              </w:rPr>
            </w:pPr>
            <w:r>
              <w:rPr>
                <w:color w:val="auto"/>
                <w:sz w:val="28"/>
              </w:rPr>
              <w:t>预审意见：</w:t>
            </w: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rPr>
                <w:b/>
                <w:bCs/>
                <w:color w:val="auto"/>
                <w:sz w:val="28"/>
              </w:rPr>
            </w:pPr>
          </w:p>
          <w:p>
            <w:pPr>
              <w:spacing w:line="360" w:lineRule="auto"/>
              <w:ind w:firstLine="5600" w:firstLineChars="2000"/>
              <w:rPr>
                <w:color w:val="auto"/>
                <w:sz w:val="28"/>
              </w:rPr>
            </w:pPr>
            <w:r>
              <w:rPr>
                <w:color w:val="auto"/>
                <w:sz w:val="28"/>
              </w:rPr>
              <w:t>公   章</w:t>
            </w:r>
          </w:p>
          <w:p>
            <w:pPr>
              <w:spacing w:line="360" w:lineRule="auto"/>
              <w:rPr>
                <w:b/>
                <w:bCs/>
                <w:color w:val="auto"/>
                <w:sz w:val="28"/>
              </w:rPr>
            </w:pPr>
            <w:r>
              <w:rPr>
                <w:color w:val="auto"/>
                <w:sz w:val="28"/>
              </w:rPr>
              <w:t>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4" w:hRule="atLeast"/>
        </w:trPr>
        <w:tc>
          <w:tcPr>
            <w:tcW w:w="8528" w:type="dxa"/>
            <w:vAlign w:val="top"/>
          </w:tcPr>
          <w:p>
            <w:pPr>
              <w:spacing w:line="360" w:lineRule="auto"/>
              <w:rPr>
                <w:color w:val="auto"/>
                <w:sz w:val="28"/>
              </w:rPr>
            </w:pPr>
            <w:r>
              <w:rPr>
                <w:color w:val="auto"/>
                <w:sz w:val="28"/>
              </w:rPr>
              <w:t>下一级环境保护行政主管部门审查意见：</w:t>
            </w: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rFonts w:hint="eastAsia"/>
                <w:color w:val="auto"/>
                <w:sz w:val="28"/>
              </w:rPr>
            </w:pPr>
          </w:p>
          <w:p>
            <w:pPr>
              <w:spacing w:line="360" w:lineRule="auto"/>
              <w:rPr>
                <w:color w:val="auto"/>
                <w:sz w:val="28"/>
              </w:rPr>
            </w:pPr>
          </w:p>
          <w:p>
            <w:pPr>
              <w:spacing w:line="360" w:lineRule="auto"/>
              <w:ind w:firstLine="5880" w:firstLineChars="2100"/>
              <w:rPr>
                <w:color w:val="auto"/>
                <w:sz w:val="28"/>
              </w:rPr>
            </w:pPr>
            <w:r>
              <w:rPr>
                <w:color w:val="auto"/>
                <w:sz w:val="28"/>
              </w:rPr>
              <w:t>公   章</w:t>
            </w:r>
          </w:p>
          <w:p>
            <w:pPr>
              <w:spacing w:line="360" w:lineRule="auto"/>
              <w:rPr>
                <w:color w:val="auto"/>
                <w:sz w:val="28"/>
              </w:rPr>
            </w:pPr>
            <w:r>
              <w:rPr>
                <w:color w:val="auto"/>
                <w:sz w:val="28"/>
              </w:rPr>
              <w:t>经办人：                                年  月  日</w:t>
            </w:r>
          </w:p>
        </w:tc>
      </w:tr>
    </w:tbl>
    <w:p>
      <w:pPr>
        <w:spacing w:line="240" w:lineRule="exact"/>
        <w:rPr>
          <w:color w:val="auto"/>
          <w:sz w:val="10"/>
          <w:szCs w:val="10"/>
        </w:rPr>
      </w:pP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26" w:hRule="atLeast"/>
        </w:trPr>
        <w:tc>
          <w:tcPr>
            <w:tcW w:w="8528" w:type="dxa"/>
            <w:vAlign w:val="top"/>
          </w:tcPr>
          <w:p>
            <w:pPr>
              <w:spacing w:line="360" w:lineRule="auto"/>
              <w:rPr>
                <w:color w:val="auto"/>
                <w:sz w:val="28"/>
              </w:rPr>
            </w:pPr>
            <w:r>
              <w:rPr>
                <w:color w:val="auto"/>
                <w:sz w:val="28"/>
              </w:rPr>
              <w:t>审批意见：</w:t>
            </w: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rPr>
                <w:rFonts w:hint="eastAsia"/>
                <w:color w:val="auto"/>
                <w:sz w:val="28"/>
              </w:rPr>
            </w:pPr>
          </w:p>
          <w:p>
            <w:pPr>
              <w:spacing w:line="360" w:lineRule="auto"/>
              <w:rPr>
                <w:color w:val="auto"/>
                <w:sz w:val="28"/>
              </w:rPr>
            </w:pPr>
          </w:p>
          <w:p>
            <w:pPr>
              <w:spacing w:line="360" w:lineRule="auto"/>
              <w:rPr>
                <w:color w:val="auto"/>
                <w:sz w:val="28"/>
              </w:rPr>
            </w:pPr>
          </w:p>
          <w:p>
            <w:pPr>
              <w:spacing w:line="360" w:lineRule="auto"/>
              <w:rPr>
                <w:color w:val="auto"/>
                <w:sz w:val="28"/>
              </w:rPr>
            </w:pPr>
          </w:p>
          <w:p>
            <w:pPr>
              <w:spacing w:line="360" w:lineRule="auto"/>
              <w:ind w:firstLine="5880" w:firstLineChars="2100"/>
              <w:rPr>
                <w:color w:val="auto"/>
                <w:sz w:val="28"/>
              </w:rPr>
            </w:pPr>
            <w:r>
              <w:rPr>
                <w:color w:val="auto"/>
                <w:sz w:val="28"/>
              </w:rPr>
              <w:t>公   章</w:t>
            </w:r>
          </w:p>
          <w:p>
            <w:pPr>
              <w:spacing w:line="360" w:lineRule="auto"/>
              <w:rPr>
                <w:b/>
                <w:bCs/>
                <w:color w:val="auto"/>
                <w:sz w:val="28"/>
              </w:rPr>
            </w:pPr>
            <w:r>
              <w:rPr>
                <w:color w:val="auto"/>
                <w:sz w:val="28"/>
              </w:rPr>
              <w:t>经办人：                                 年  月  日</w:t>
            </w:r>
          </w:p>
        </w:tc>
      </w:tr>
    </w:tbl>
    <w:p/>
    <w:sectPr>
      <w:pgSz w:w="11906" w:h="16838"/>
      <w:pgMar w:top="1559" w:right="1797" w:bottom="1440" w:left="1797" w:header="851" w:footer="992" w:gutter="0"/>
      <w:pgBorders>
        <w:top w:val="none" w:sz="0" w:space="0"/>
        <w:left w:val="none" w:sz="0" w:space="0"/>
        <w:bottom w:val="none" w:sz="0" w:space="0"/>
        <w:right w:val="none" w:sz="0" w:space="0"/>
      </w:pgBorders>
      <w:pgNumType w:fmt="numberInDash"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仿宋体">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华文新魏">
    <w:altName w:val="宋体"/>
    <w:panose1 w:val="02010800040101010101"/>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汉鼎简书宋">
    <w:altName w:val="宋体"/>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00000287" w:usb1="00000000" w:usb2="00000000" w:usb3="00000000" w:csb0="2000009F" w:csb1="DFD70000"/>
  </w:font>
  <w:font w:name="Dutch801 Rm BT">
    <w:altName w:val="Times New Roman"/>
    <w:panose1 w:val="02020603060505020304"/>
    <w:charset w:val="00"/>
    <w:family w:val="roman"/>
    <w:pitch w:val="default"/>
    <w:sig w:usb0="00000000" w:usb1="00000000" w:usb2="00000000" w:usb3="00000000" w:csb0="0000001B" w:csb1="00000000"/>
  </w:font>
  <w:font w:name="TechnicLite">
    <w:altName w:val="MT Extra"/>
    <w:panose1 w:val="00000400000000000000"/>
    <w:charset w:val="02"/>
    <w:family w:val="auto"/>
    <w:pitch w:val="default"/>
    <w:sig w:usb0="00000000" w:usb1="00000000" w:usb2="00000000" w:usb3="00000000" w:csb0="80000000" w:csb1="00000000"/>
  </w:font>
  <w:font w:name="MT Extra">
    <w:panose1 w:val="05050102010205020202"/>
    <w:charset w:val="00"/>
    <w:family w:val="auto"/>
    <w:pitch w:val="default"/>
    <w:sig w:usb0="00000000" w:usb1="00000000" w:usb2="00000000" w:usb3="00000000" w:csb0="00000000" w:csb1="00000000"/>
  </w:font>
  <w:font w:name="MT Extra">
    <w:panose1 w:val="05050102010205020202"/>
    <w:charset w:val="02"/>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Arial Unicode MS">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ourier">
    <w:altName w:val="Courier New"/>
    <w:panose1 w:val="02070409020205020404"/>
    <w:charset w:val="00"/>
    <w:family w:val="modern"/>
    <w:pitch w:val="default"/>
    <w:sig w:usb0="00000000" w:usb1="00000000" w:usb2="00000000" w:usb3="00000000" w:csb0="00000001" w:csb1="00000000"/>
  </w:font>
  <w:font w:name="_x000B__x000C_">
    <w:altName w:val="Times New Roman"/>
    <w:panose1 w:val="00000000000000000000"/>
    <w:charset w:val="00"/>
    <w:family w:val="roman"/>
    <w:pitch w:val="default"/>
    <w:sig w:usb0="00000000" w:usb1="00000000" w:usb2="00000000" w:usb3="00000000" w:csb0="0000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4"/>
        <w:szCs w:val="24"/>
      </w:rPr>
    </w:pPr>
    <w:r>
      <w:rPr>
        <w:rStyle w:val="13"/>
        <w:sz w:val="24"/>
        <w:szCs w:val="24"/>
      </w:rPr>
      <w:fldChar w:fldCharType="begin"/>
    </w:r>
    <w:r>
      <w:rPr>
        <w:rStyle w:val="13"/>
        <w:sz w:val="24"/>
        <w:szCs w:val="24"/>
      </w:rPr>
      <w:instrText xml:space="preserve"> PAGE </w:instrText>
    </w:r>
    <w:r>
      <w:rPr>
        <w:rStyle w:val="13"/>
        <w:sz w:val="24"/>
        <w:szCs w:val="24"/>
      </w:rPr>
      <w:fldChar w:fldCharType="separate"/>
    </w:r>
    <w:r>
      <w:rPr>
        <w:rStyle w:val="13"/>
        <w:sz w:val="24"/>
        <w:szCs w:val="24"/>
      </w:rPr>
      <w:t>- 4 -</w:t>
    </w:r>
    <w:r>
      <w:rPr>
        <w:rStyle w:val="13"/>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08AB"/>
    <w:multiLevelType w:val="multilevel"/>
    <w:tmpl w:val="084C08A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415607F"/>
    <w:multiLevelType w:val="multilevel"/>
    <w:tmpl w:val="2415607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F3C3ADA"/>
    <w:multiLevelType w:val="multilevel"/>
    <w:tmpl w:val="2F3C3ADA"/>
    <w:lvl w:ilvl="0" w:tentative="0">
      <w:start w:val="1"/>
      <w:numFmt w:val="decimal"/>
      <w:suff w:val="nothing"/>
      <w:lvlText w:val="（%1）"/>
      <w:lvlJc w:val="left"/>
      <w:pPr>
        <w:ind w:left="480" w:firstLine="400"/>
      </w:pPr>
      <w:rPr>
        <w:rFonts w:hint="eastAsia"/>
        <w:lang w:val="en-US"/>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3CB10FBB"/>
    <w:multiLevelType w:val="multilevel"/>
    <w:tmpl w:val="3CB10FB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7150B1E"/>
    <w:multiLevelType w:val="multilevel"/>
    <w:tmpl w:val="57150B1E"/>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0"/>
        </w:tabs>
        <w:ind w:left="482" w:hanging="482"/>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8F71EFE"/>
    <w:multiLevelType w:val="singleLevel"/>
    <w:tmpl w:val="58F71EFE"/>
    <w:lvl w:ilvl="0" w:tentative="0">
      <w:start w:val="5"/>
      <w:numFmt w:val="decimal"/>
      <w:suff w:val="nothing"/>
      <w:lvlText w:val="（%1）"/>
      <w:lvlJc w:val="left"/>
    </w:lvl>
  </w:abstractNum>
  <w:abstractNum w:abstractNumId="6">
    <w:nsid w:val="58F8717A"/>
    <w:multiLevelType w:val="multilevel"/>
    <w:tmpl w:val="58F8717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20F1540"/>
    <w:multiLevelType w:val="multilevel"/>
    <w:tmpl w:val="620F1540"/>
    <w:lvl w:ilvl="0" w:tentative="0">
      <w:start w:val="1"/>
      <w:numFmt w:val="decimal"/>
      <w:pStyle w:val="22"/>
      <w:lvlText w:val="%1"/>
      <w:lvlJc w:val="left"/>
      <w:pPr>
        <w:tabs>
          <w:tab w:val="left" w:pos="420"/>
        </w:tabs>
        <w:ind w:left="420" w:hanging="420"/>
      </w:pPr>
    </w:lvl>
    <w:lvl w:ilvl="1" w:tentative="0">
      <w:start w:val="1"/>
      <w:numFmt w:val="decimal"/>
      <w:lvlText w:val="%1.%2"/>
      <w:lvlJc w:val="left"/>
      <w:pPr>
        <w:tabs>
          <w:tab w:val="left" w:pos="1134"/>
        </w:tabs>
        <w:ind w:left="1134" w:hanging="567"/>
      </w:pPr>
      <w:rPr>
        <w:rFonts w:hint="default"/>
      </w:rPr>
    </w:lvl>
    <w:lvl w:ilvl="2" w:tentative="0">
      <w:start w:val="1"/>
      <w:numFmt w:val="decimal"/>
      <w:lvlText w:val="%1.%2.%3"/>
      <w:lvlJc w:val="left"/>
      <w:pPr>
        <w:tabs>
          <w:tab w:val="left" w:pos="1287"/>
        </w:tabs>
        <w:ind w:left="1287" w:hanging="720"/>
      </w:pPr>
      <w:rPr>
        <w:rFonts w:hint="default"/>
      </w:rPr>
    </w:lvl>
    <w:lvl w:ilvl="3" w:tentative="0">
      <w:start w:val="1"/>
      <w:numFmt w:val="decimal"/>
      <w:lvlText w:val="%1.%2.%3.%4"/>
      <w:lvlJc w:val="left"/>
      <w:pPr>
        <w:tabs>
          <w:tab w:val="left" w:pos="1287"/>
        </w:tabs>
        <w:ind w:left="1287" w:hanging="720"/>
      </w:pPr>
      <w:rPr>
        <w:rFonts w:hint="default"/>
      </w:rPr>
    </w:lvl>
    <w:lvl w:ilvl="4" w:tentative="0">
      <w:start w:val="1"/>
      <w:numFmt w:val="decimal"/>
      <w:lvlText w:val="%1.%2.%3.%4.%5"/>
      <w:lvlJc w:val="left"/>
      <w:pPr>
        <w:tabs>
          <w:tab w:val="left" w:pos="1647"/>
        </w:tabs>
        <w:ind w:left="1647" w:hanging="1080"/>
      </w:pPr>
      <w:rPr>
        <w:rFonts w:hint="default"/>
      </w:rPr>
    </w:lvl>
    <w:lvl w:ilvl="5" w:tentative="0">
      <w:start w:val="1"/>
      <w:numFmt w:val="decimal"/>
      <w:lvlText w:val="%1.%2.%3.%4.%5.%6"/>
      <w:lvlJc w:val="left"/>
      <w:pPr>
        <w:tabs>
          <w:tab w:val="left" w:pos="1647"/>
        </w:tabs>
        <w:ind w:left="1647" w:hanging="1080"/>
      </w:pPr>
      <w:rPr>
        <w:rFonts w:hint="default"/>
      </w:rPr>
    </w:lvl>
    <w:lvl w:ilvl="6" w:tentative="0">
      <w:start w:val="1"/>
      <w:numFmt w:val="decimal"/>
      <w:lvlText w:val="%1.%2.%3.%4.%5.%6.%7"/>
      <w:lvlJc w:val="left"/>
      <w:pPr>
        <w:tabs>
          <w:tab w:val="left" w:pos="2007"/>
        </w:tabs>
        <w:ind w:left="2007" w:hanging="1440"/>
      </w:pPr>
      <w:rPr>
        <w:rFonts w:hint="default"/>
      </w:rPr>
    </w:lvl>
    <w:lvl w:ilvl="7" w:tentative="0">
      <w:start w:val="1"/>
      <w:numFmt w:val="decimal"/>
      <w:lvlText w:val="%1.%2.%3.%4.%5.%6.%7.%8"/>
      <w:lvlJc w:val="left"/>
      <w:pPr>
        <w:tabs>
          <w:tab w:val="left" w:pos="2007"/>
        </w:tabs>
        <w:ind w:left="2007" w:hanging="1440"/>
      </w:pPr>
      <w:rPr>
        <w:rFonts w:hint="default"/>
      </w:rPr>
    </w:lvl>
    <w:lvl w:ilvl="8" w:tentative="0">
      <w:start w:val="1"/>
      <w:numFmt w:val="decimal"/>
      <w:lvlText w:val="%1.%2.%3.%4.%5.%6.%7.%8.%9"/>
      <w:lvlJc w:val="left"/>
      <w:pPr>
        <w:tabs>
          <w:tab w:val="left" w:pos="2367"/>
        </w:tabs>
        <w:ind w:left="2367" w:hanging="1800"/>
      </w:pPr>
      <w:rPr>
        <w:rFonts w:hint="default"/>
      </w:rPr>
    </w:lvl>
  </w:abstractNum>
  <w:num w:numId="1">
    <w:abstractNumId w:val="7"/>
  </w:num>
  <w:num w:numId="2">
    <w:abstractNumId w:val="3"/>
  </w:num>
  <w:num w:numId="3">
    <w:abstractNumId w:val="2"/>
  </w:num>
  <w:num w:numId="4">
    <w:abstractNumId w:val="5"/>
  </w:num>
  <w:num w:numId="5">
    <w:abstractNumId w:val="0"/>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35322"/>
    <w:rsid w:val="017B49D8"/>
    <w:rsid w:val="01FD188E"/>
    <w:rsid w:val="052C3173"/>
    <w:rsid w:val="062F2444"/>
    <w:rsid w:val="07DA29AD"/>
    <w:rsid w:val="08343463"/>
    <w:rsid w:val="0DFF618B"/>
    <w:rsid w:val="0E264EB2"/>
    <w:rsid w:val="0FB8556A"/>
    <w:rsid w:val="14B308A7"/>
    <w:rsid w:val="16D86ADC"/>
    <w:rsid w:val="17B43C45"/>
    <w:rsid w:val="183E3F37"/>
    <w:rsid w:val="19130A6C"/>
    <w:rsid w:val="19713A28"/>
    <w:rsid w:val="1C883EC5"/>
    <w:rsid w:val="1FEF55EA"/>
    <w:rsid w:val="222A672B"/>
    <w:rsid w:val="26D51465"/>
    <w:rsid w:val="2C6C26AB"/>
    <w:rsid w:val="2DBF3691"/>
    <w:rsid w:val="2FD629CD"/>
    <w:rsid w:val="2FE34557"/>
    <w:rsid w:val="32764AFF"/>
    <w:rsid w:val="338D54CD"/>
    <w:rsid w:val="38730C72"/>
    <w:rsid w:val="39C83E4C"/>
    <w:rsid w:val="3B7A2900"/>
    <w:rsid w:val="3C062A70"/>
    <w:rsid w:val="3C8C5059"/>
    <w:rsid w:val="3D87594F"/>
    <w:rsid w:val="3EAF7FD8"/>
    <w:rsid w:val="42C12479"/>
    <w:rsid w:val="46D5207C"/>
    <w:rsid w:val="487E07D6"/>
    <w:rsid w:val="48E064FA"/>
    <w:rsid w:val="4BF258EF"/>
    <w:rsid w:val="4FDD6D0E"/>
    <w:rsid w:val="532766FB"/>
    <w:rsid w:val="548629F1"/>
    <w:rsid w:val="54D14962"/>
    <w:rsid w:val="55F77FB6"/>
    <w:rsid w:val="59234722"/>
    <w:rsid w:val="59587EF1"/>
    <w:rsid w:val="5D30297E"/>
    <w:rsid w:val="5D3C5A63"/>
    <w:rsid w:val="650057FC"/>
    <w:rsid w:val="66AD69D4"/>
    <w:rsid w:val="69525E95"/>
    <w:rsid w:val="6E06368A"/>
    <w:rsid w:val="70703787"/>
    <w:rsid w:val="72122B9D"/>
    <w:rsid w:val="767D25D4"/>
    <w:rsid w:val="7A035322"/>
    <w:rsid w:val="7A9C3C4E"/>
    <w:rsid w:val="7BC270CB"/>
    <w:rsid w:val="7D3F55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sz w:val="28"/>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6" w:lineRule="auto"/>
      <w:outlineLvl w:val="3"/>
    </w:pPr>
    <w:rPr>
      <w:rFonts w:ascii="Arial" w:hAnsi="Arial" w:eastAsia="黑体"/>
      <w:b/>
      <w:bCs/>
      <w:szCs w:val="28"/>
    </w:rPr>
  </w:style>
  <w:style w:type="character" w:default="1" w:styleId="12">
    <w:name w:val="Default Paragraph Font"/>
    <w:semiHidden/>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6">
    <w:name w:val="Body Text First Indent"/>
    <w:basedOn w:val="7"/>
    <w:qFormat/>
    <w:uiPriority w:val="0"/>
    <w:pPr>
      <w:ind w:firstLine="420" w:firstLineChars="100"/>
    </w:pPr>
  </w:style>
  <w:style w:type="paragraph" w:styleId="7">
    <w:name w:val="Body Text"/>
    <w:basedOn w:val="1"/>
    <w:qFormat/>
    <w:uiPriority w:val="0"/>
    <w:pPr>
      <w:spacing w:after="120"/>
    </w:pPr>
  </w:style>
  <w:style w:type="paragraph" w:styleId="8">
    <w:name w:val="caption"/>
    <w:basedOn w:val="1"/>
    <w:next w:val="1"/>
    <w:unhideWhenUsed/>
    <w:qFormat/>
    <w:uiPriority w:val="0"/>
    <w:pPr>
      <w:adjustRightInd w:val="0"/>
      <w:snapToGrid w:val="0"/>
      <w:spacing w:line="360" w:lineRule="auto"/>
      <w:jc w:val="left"/>
    </w:pPr>
    <w:rPr>
      <w:rFonts w:eastAsia="黑体"/>
      <w:sz w:val="24"/>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3">
    <w:name w:val="page number"/>
    <w:basedOn w:val="12"/>
    <w:qFormat/>
    <w:uiPriority w:val="0"/>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6">
    <w:name w:val="三级"/>
    <w:basedOn w:val="1"/>
    <w:qFormat/>
    <w:uiPriority w:val="0"/>
    <w:pPr>
      <w:adjustRightInd w:val="0"/>
      <w:snapToGrid w:val="0"/>
      <w:spacing w:line="360" w:lineRule="auto"/>
      <w:jc w:val="left"/>
      <w:outlineLvl w:val="2"/>
    </w:pPr>
    <w:rPr>
      <w:b/>
      <w:sz w:val="24"/>
      <w:szCs w:val="22"/>
    </w:rPr>
  </w:style>
  <w:style w:type="paragraph" w:customStyle="1" w:styleId="17">
    <w:name w:val="表头"/>
    <w:basedOn w:val="1"/>
    <w:next w:val="1"/>
    <w:qFormat/>
    <w:uiPriority w:val="0"/>
    <w:pPr>
      <w:snapToGrid w:val="0"/>
      <w:spacing w:before="240" w:after="240"/>
      <w:ind w:firstLine="482"/>
      <w:jc w:val="center"/>
    </w:pPr>
    <w:rPr>
      <w:rFonts w:ascii="宋体"/>
      <w:b/>
      <w:bCs/>
      <w:kern w:val="32"/>
      <w:sz w:val="24"/>
      <w:szCs w:val="28"/>
    </w:rPr>
  </w:style>
  <w:style w:type="paragraph" w:customStyle="1" w:styleId="18">
    <w:name w:val="1文章"/>
    <w:basedOn w:val="1"/>
    <w:qFormat/>
    <w:uiPriority w:val="0"/>
    <w:pPr>
      <w:snapToGrid w:val="0"/>
      <w:spacing w:line="360" w:lineRule="auto"/>
      <w:ind w:firstLine="573"/>
    </w:pPr>
    <w:rPr>
      <w:rFonts w:eastAsia="仿宋_GB2312"/>
      <w:sz w:val="28"/>
      <w:szCs w:val="20"/>
    </w:rPr>
  </w:style>
  <w:style w:type="paragraph" w:customStyle="1" w:styleId="19">
    <w:name w:val="表标题"/>
    <w:basedOn w:val="1"/>
    <w:qFormat/>
    <w:uiPriority w:val="0"/>
    <w:pPr>
      <w:jc w:val="center"/>
    </w:pPr>
    <w:rPr>
      <w:rFonts w:ascii="黑体" w:eastAsia="黑体"/>
      <w:sz w:val="24"/>
      <w:szCs w:val="20"/>
    </w:rPr>
  </w:style>
  <w:style w:type="paragraph" w:customStyle="1" w:styleId="20">
    <w:name w:val="表文字"/>
    <w:basedOn w:val="1"/>
    <w:qFormat/>
    <w:uiPriority w:val="0"/>
    <w:pPr>
      <w:overflowPunct w:val="0"/>
      <w:autoSpaceDE w:val="0"/>
      <w:autoSpaceDN w:val="0"/>
      <w:adjustRightInd w:val="0"/>
      <w:jc w:val="center"/>
    </w:pPr>
    <w:rPr>
      <w:kern w:val="0"/>
      <w:sz w:val="24"/>
      <w:szCs w:val="20"/>
    </w:rPr>
  </w:style>
  <w:style w:type="paragraph" w:customStyle="1" w:styleId="21">
    <w:name w:val="正文1-1"/>
    <w:basedOn w:val="1"/>
    <w:qFormat/>
    <w:uiPriority w:val="0"/>
    <w:pPr>
      <w:tabs>
        <w:tab w:val="left" w:pos="5520"/>
        <w:tab w:val="left" w:pos="6360"/>
      </w:tabs>
      <w:adjustRightInd w:val="0"/>
      <w:snapToGrid w:val="0"/>
      <w:spacing w:line="360" w:lineRule="auto"/>
      <w:ind w:firstLine="480" w:firstLineChars="200"/>
    </w:pPr>
    <w:rPr>
      <w:rFonts w:hAnsi="华文仿宋"/>
      <w:color w:val="000000"/>
      <w:sz w:val="24"/>
    </w:rPr>
  </w:style>
  <w:style w:type="paragraph" w:customStyle="1" w:styleId="22">
    <w:name w:val="报告表1级标题"/>
    <w:next w:val="1"/>
    <w:qFormat/>
    <w:uiPriority w:val="0"/>
    <w:pPr>
      <w:numPr>
        <w:ilvl w:val="0"/>
        <w:numId w:val="1"/>
      </w:numPr>
      <w:spacing w:line="360" w:lineRule="auto"/>
      <w:outlineLvl w:val="0"/>
    </w:pPr>
    <w:rPr>
      <w:rFonts w:ascii="Times New Roman" w:hAnsi="Times New Roman" w:eastAsia="宋体" w:cs="Times New Roman"/>
      <w:b/>
      <w:kern w:val="44"/>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2017-04-17T13:55:00Z</dcterms:created>
  <dc:creator>张健</dc:creator>
  <cp:lastModifiedBy>dell</cp:lastModifiedBy>
  <dcterms:modified xsi:type="dcterms:W3CDTF">2017-04-21T02:50:39Z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