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42"/>
        <w:rPr>
          <w:color w:val="auto"/>
          <w:u w:val="single"/>
        </w:rPr>
      </w:pPr>
    </w:p>
    <w:p>
      <w:pPr>
        <w:pStyle w:val="142"/>
        <w:rPr>
          <w:rStyle w:val="243"/>
          <w:color w:val="auto"/>
          <w:sz w:val="24"/>
          <w:szCs w:val="24"/>
          <w:u w:val="single"/>
        </w:rPr>
      </w:pPr>
    </w:p>
    <w:p>
      <w:pPr>
        <w:pStyle w:val="142"/>
        <w:rPr>
          <w:rStyle w:val="243"/>
          <w:b/>
          <w:bCs/>
          <w:color w:val="auto"/>
          <w:sz w:val="24"/>
          <w:szCs w:val="24"/>
          <w:u w:val="single"/>
        </w:rPr>
      </w:pPr>
    </w:p>
    <w:p>
      <w:pPr>
        <w:pStyle w:val="142"/>
        <w:rPr>
          <w:color w:val="auto"/>
          <w:u w:val="single"/>
        </w:rPr>
      </w:pPr>
    </w:p>
    <w:p>
      <w:pPr>
        <w:spacing w:line="480" w:lineRule="auto"/>
        <w:jc w:val="center"/>
        <w:outlineLvl w:val="0"/>
        <w:rPr>
          <w:rFonts w:eastAsia="黑体"/>
          <w:bCs/>
          <w:color w:val="auto"/>
          <w:sz w:val="36"/>
          <w:szCs w:val="36"/>
          <w:u w:val="single"/>
        </w:rPr>
      </w:pPr>
    </w:p>
    <w:p>
      <w:pPr>
        <w:spacing w:line="480" w:lineRule="auto"/>
        <w:jc w:val="center"/>
        <w:outlineLvl w:val="0"/>
        <w:rPr>
          <w:rFonts w:eastAsia="黑体"/>
          <w:bCs/>
          <w:color w:val="auto"/>
          <w:sz w:val="36"/>
          <w:szCs w:val="36"/>
          <w:u w:val="single"/>
        </w:rPr>
      </w:pPr>
    </w:p>
    <w:p>
      <w:pPr>
        <w:jc w:val="center"/>
        <w:rPr>
          <w:rFonts w:eastAsia="方正姚体"/>
          <w:color w:val="auto"/>
          <w:sz w:val="56"/>
          <w:szCs w:val="56"/>
          <w:u w:val="none"/>
        </w:rPr>
      </w:pPr>
      <w:r>
        <w:rPr>
          <w:rFonts w:hint="eastAsia" w:eastAsia="黑体"/>
          <w:b/>
          <w:color w:val="auto"/>
          <w:spacing w:val="52"/>
          <w:sz w:val="56"/>
          <w:szCs w:val="56"/>
          <w:u w:val="none"/>
          <w:lang w:eastAsia="zh-CN"/>
        </w:rPr>
        <w:t>建设项目</w:t>
      </w:r>
      <w:r>
        <w:rPr>
          <w:rFonts w:eastAsia="黑体"/>
          <w:b/>
          <w:color w:val="auto"/>
          <w:spacing w:val="52"/>
          <w:sz w:val="56"/>
          <w:szCs w:val="56"/>
          <w:u w:val="none"/>
        </w:rPr>
        <w:t>环境影响报告表</w:t>
      </w:r>
    </w:p>
    <w:p>
      <w:pPr>
        <w:jc w:val="center"/>
        <w:rPr>
          <w:rFonts w:eastAsia="隶书"/>
          <w:color w:val="auto"/>
          <w:sz w:val="32"/>
          <w:szCs w:val="32"/>
          <w:u w:val="none"/>
        </w:rPr>
      </w:pPr>
      <w:r>
        <w:rPr>
          <w:rFonts w:eastAsia="隶书"/>
          <w:color w:val="auto"/>
          <w:sz w:val="32"/>
          <w:szCs w:val="32"/>
          <w:u w:val="none"/>
        </w:rPr>
        <w:t>（</w:t>
      </w:r>
      <w:r>
        <w:rPr>
          <w:rFonts w:hint="eastAsia" w:eastAsia="隶书"/>
          <w:color w:val="auto"/>
          <w:sz w:val="32"/>
          <w:szCs w:val="32"/>
          <w:u w:val="none"/>
          <w:lang w:eastAsia="zh-CN"/>
        </w:rPr>
        <w:t>报批</w:t>
      </w:r>
      <w:r>
        <w:rPr>
          <w:rFonts w:hint="eastAsia" w:eastAsia="隶书"/>
          <w:color w:val="auto"/>
          <w:sz w:val="32"/>
          <w:szCs w:val="32"/>
          <w:u w:val="none"/>
        </w:rPr>
        <w:t>稿</w:t>
      </w:r>
      <w:r>
        <w:rPr>
          <w:rFonts w:eastAsia="隶书"/>
          <w:color w:val="auto"/>
          <w:sz w:val="32"/>
          <w:szCs w:val="32"/>
          <w:u w:val="none"/>
        </w:rPr>
        <w:t>）</w:t>
      </w:r>
    </w:p>
    <w:p>
      <w:pPr>
        <w:spacing w:line="360" w:lineRule="auto"/>
        <w:rPr>
          <w:rFonts w:eastAsia="隶书"/>
          <w:color w:val="auto"/>
          <w:sz w:val="30"/>
          <w:u w:val="single"/>
        </w:rPr>
      </w:pPr>
    </w:p>
    <w:p>
      <w:pPr>
        <w:spacing w:line="360" w:lineRule="auto"/>
        <w:rPr>
          <w:rFonts w:eastAsia="隶书"/>
          <w:color w:val="auto"/>
          <w:sz w:val="30"/>
          <w:u w:val="single"/>
        </w:rPr>
      </w:pPr>
    </w:p>
    <w:p>
      <w:pPr>
        <w:spacing w:line="360" w:lineRule="auto"/>
        <w:rPr>
          <w:rFonts w:eastAsia="隶书"/>
          <w:color w:val="auto"/>
          <w:sz w:val="30"/>
          <w:u w:val="single"/>
        </w:rPr>
      </w:pPr>
    </w:p>
    <w:p>
      <w:pPr>
        <w:spacing w:line="360" w:lineRule="auto"/>
        <w:rPr>
          <w:rFonts w:eastAsia="隶书"/>
          <w:color w:val="auto"/>
          <w:sz w:val="30"/>
          <w:u w:val="single"/>
        </w:rPr>
      </w:pPr>
    </w:p>
    <w:p>
      <w:pPr>
        <w:spacing w:line="360" w:lineRule="auto"/>
        <w:rPr>
          <w:rFonts w:eastAsia="隶书"/>
          <w:color w:val="auto"/>
          <w:sz w:val="30"/>
          <w:u w:val="single"/>
        </w:rPr>
      </w:pPr>
    </w:p>
    <w:p>
      <w:pPr>
        <w:jc w:val="center"/>
        <w:outlineLvl w:val="0"/>
        <w:rPr>
          <w:rFonts w:hint="eastAsia" w:eastAsia="黑体"/>
          <w:color w:val="auto"/>
          <w:sz w:val="30"/>
          <w:szCs w:val="30"/>
          <w:highlight w:val="none"/>
          <w:u w:val="single"/>
          <w:lang w:eastAsia="zh-CN"/>
        </w:rPr>
      </w:pPr>
      <w:r>
        <w:rPr>
          <w:rFonts w:hint="eastAsia" w:eastAsia="黑体"/>
          <w:color w:val="auto"/>
          <w:sz w:val="30"/>
          <w:szCs w:val="30"/>
          <w:highlight w:val="none"/>
          <w:u w:val="single"/>
          <w:lang w:eastAsia="zh-CN"/>
        </w:rPr>
        <w:t>项目名称：平江县原三阳乡化学农药厂污染土壤治理项目</w:t>
      </w:r>
    </w:p>
    <w:p>
      <w:pPr>
        <w:jc w:val="center"/>
        <w:outlineLvl w:val="0"/>
        <w:rPr>
          <w:rFonts w:hint="eastAsia" w:eastAsia="黑体"/>
          <w:color w:val="auto"/>
          <w:sz w:val="30"/>
          <w:szCs w:val="30"/>
          <w:highlight w:val="none"/>
          <w:u w:val="single"/>
        </w:rPr>
      </w:pPr>
      <w:r>
        <w:rPr>
          <w:rFonts w:hint="eastAsia" w:eastAsia="黑体"/>
          <w:color w:val="auto"/>
          <w:sz w:val="30"/>
          <w:szCs w:val="30"/>
          <w:highlight w:val="none"/>
          <w:u w:val="single"/>
          <w:lang w:eastAsia="zh-CN"/>
        </w:rPr>
        <w:t>建设</w:t>
      </w:r>
      <w:r>
        <w:rPr>
          <w:rFonts w:eastAsia="黑体"/>
          <w:color w:val="auto"/>
          <w:sz w:val="30"/>
          <w:szCs w:val="30"/>
          <w:highlight w:val="none"/>
          <w:u w:val="single"/>
        </w:rPr>
        <w:t>单位：</w:t>
      </w:r>
      <w:r>
        <w:rPr>
          <w:rFonts w:hint="eastAsia" w:eastAsia="黑体"/>
          <w:color w:val="auto"/>
          <w:sz w:val="30"/>
          <w:szCs w:val="30"/>
          <w:highlight w:val="none"/>
          <w:u w:val="single"/>
        </w:rPr>
        <w:t>平江县城关镇人民政府</w:t>
      </w:r>
    </w:p>
    <w:p>
      <w:pPr>
        <w:jc w:val="center"/>
        <w:outlineLvl w:val="0"/>
        <w:rPr>
          <w:rFonts w:hint="eastAsia" w:eastAsia="黑体"/>
          <w:color w:val="auto"/>
          <w:sz w:val="30"/>
          <w:szCs w:val="30"/>
          <w:highlight w:val="none"/>
          <w:u w:val="single"/>
        </w:rPr>
      </w:pPr>
    </w:p>
    <w:p>
      <w:pPr>
        <w:jc w:val="center"/>
        <w:outlineLvl w:val="0"/>
        <w:rPr>
          <w:rFonts w:hint="eastAsia" w:eastAsia="黑体"/>
          <w:color w:val="auto"/>
          <w:sz w:val="30"/>
          <w:szCs w:val="30"/>
          <w:highlight w:val="none"/>
          <w:u w:val="single"/>
        </w:rPr>
      </w:pPr>
    </w:p>
    <w:p>
      <w:pPr>
        <w:jc w:val="center"/>
        <w:outlineLvl w:val="0"/>
        <w:rPr>
          <w:rFonts w:hint="eastAsia" w:eastAsia="黑体"/>
          <w:color w:val="auto"/>
          <w:sz w:val="30"/>
          <w:szCs w:val="30"/>
          <w:highlight w:val="none"/>
          <w:u w:val="single"/>
        </w:rPr>
      </w:pPr>
    </w:p>
    <w:p>
      <w:pPr>
        <w:jc w:val="center"/>
        <w:outlineLvl w:val="0"/>
        <w:rPr>
          <w:rFonts w:hint="eastAsia" w:eastAsia="黑体"/>
          <w:color w:val="auto"/>
          <w:sz w:val="30"/>
          <w:szCs w:val="30"/>
          <w:highlight w:val="none"/>
          <w:u w:val="single"/>
        </w:rPr>
      </w:pPr>
    </w:p>
    <w:p>
      <w:pPr>
        <w:jc w:val="center"/>
        <w:outlineLvl w:val="0"/>
        <w:rPr>
          <w:rFonts w:hint="eastAsia" w:eastAsia="黑体"/>
          <w:color w:val="auto"/>
          <w:sz w:val="30"/>
          <w:szCs w:val="30"/>
          <w:highlight w:val="none"/>
          <w:u w:val="single"/>
        </w:rPr>
      </w:pPr>
    </w:p>
    <w:p>
      <w:pPr>
        <w:jc w:val="center"/>
        <w:outlineLvl w:val="0"/>
        <w:rPr>
          <w:rFonts w:hint="eastAsia" w:eastAsia="黑体"/>
          <w:color w:val="auto"/>
          <w:sz w:val="30"/>
          <w:szCs w:val="30"/>
          <w:highlight w:val="none"/>
          <w:u w:val="single"/>
        </w:rPr>
      </w:pPr>
    </w:p>
    <w:p>
      <w:pPr>
        <w:jc w:val="center"/>
        <w:outlineLvl w:val="0"/>
        <w:rPr>
          <w:rFonts w:hint="eastAsia" w:eastAsia="黑体"/>
          <w:color w:val="auto"/>
          <w:sz w:val="30"/>
          <w:szCs w:val="30"/>
          <w:highlight w:val="none"/>
          <w:u w:val="none"/>
          <w:lang w:eastAsia="zh-CN"/>
        </w:rPr>
      </w:pPr>
      <w:r>
        <w:rPr>
          <w:rFonts w:hint="eastAsia" w:eastAsia="黑体"/>
          <w:color w:val="auto"/>
          <w:sz w:val="30"/>
          <w:szCs w:val="30"/>
          <w:highlight w:val="none"/>
          <w:u w:val="none"/>
          <w:lang w:eastAsia="zh-CN"/>
        </w:rPr>
        <w:t>国家环境保护部制</w:t>
      </w:r>
    </w:p>
    <w:p>
      <w:pPr>
        <w:pStyle w:val="3"/>
        <w:spacing w:before="0" w:after="0" w:line="240" w:lineRule="auto"/>
        <w:jc w:val="center"/>
        <w:rPr>
          <w:rFonts w:eastAsia="黑体"/>
          <w:color w:val="auto"/>
          <w:sz w:val="28"/>
          <w:u w:val="none"/>
        </w:rPr>
        <w:sectPr>
          <w:foot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eastAsia="黑体"/>
          <w:color w:val="auto"/>
          <w:sz w:val="28"/>
          <w:u w:val="none"/>
        </w:rPr>
        <w:t>二〇一</w:t>
      </w:r>
      <w:r>
        <w:rPr>
          <w:rFonts w:hint="eastAsia" w:eastAsia="黑体"/>
          <w:color w:val="auto"/>
          <w:sz w:val="28"/>
          <w:u w:val="none"/>
          <w:lang w:eastAsia="zh-CN"/>
        </w:rPr>
        <w:t>七</w:t>
      </w:r>
      <w:r>
        <w:rPr>
          <w:rFonts w:eastAsia="黑体"/>
          <w:color w:val="auto"/>
          <w:sz w:val="28"/>
          <w:u w:val="none"/>
        </w:rPr>
        <w:t>年</w:t>
      </w:r>
      <w:r>
        <w:rPr>
          <w:rFonts w:hint="eastAsia" w:eastAsia="黑体"/>
          <w:color w:val="auto"/>
          <w:sz w:val="28"/>
          <w:u w:val="none"/>
          <w:lang w:eastAsia="zh-CN"/>
        </w:rPr>
        <w:t>十一</w:t>
      </w:r>
      <w:r>
        <w:rPr>
          <w:rFonts w:eastAsia="黑体"/>
          <w:color w:val="auto"/>
          <w:sz w:val="28"/>
          <w:u w:val="none"/>
        </w:rPr>
        <w:t>月</w:t>
      </w:r>
      <w:bookmarkStart w:id="0" w:name="_Toc485612236"/>
    </w:p>
    <w:p>
      <w:pPr>
        <w:pStyle w:val="3"/>
        <w:spacing w:before="0" w:after="0" w:line="240" w:lineRule="auto"/>
        <w:rPr>
          <w:color w:val="auto"/>
          <w:sz w:val="28"/>
          <w:szCs w:val="28"/>
        </w:rPr>
      </w:pPr>
      <w:r>
        <w:rPr>
          <w:rFonts w:hAnsi="宋体"/>
          <w:color w:val="auto"/>
          <w:sz w:val="28"/>
          <w:szCs w:val="28"/>
        </w:rPr>
        <w:t>建设项目基本情况</w:t>
      </w:r>
      <w:bookmarkEnd w:id="0"/>
    </w:p>
    <w:tbl>
      <w:tblPr>
        <w:tblStyle w:val="30"/>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337"/>
        <w:gridCol w:w="1476"/>
        <w:gridCol w:w="148"/>
        <w:gridCol w:w="964"/>
        <w:gridCol w:w="973"/>
        <w:gridCol w:w="1461"/>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spacing w:line="440" w:lineRule="exact"/>
              <w:jc w:val="center"/>
              <w:rPr>
                <w:color w:val="auto"/>
                <w:sz w:val="24"/>
              </w:rPr>
            </w:pPr>
            <w:r>
              <w:rPr>
                <w:rFonts w:hAnsi="宋体"/>
                <w:color w:val="auto"/>
                <w:sz w:val="24"/>
              </w:rPr>
              <w:t>项目名称</w:t>
            </w:r>
          </w:p>
        </w:tc>
        <w:tc>
          <w:tcPr>
            <w:tcW w:w="7356" w:type="dxa"/>
            <w:gridSpan w:val="7"/>
            <w:vAlign w:val="center"/>
          </w:tcPr>
          <w:p>
            <w:pPr>
              <w:spacing w:line="440" w:lineRule="exact"/>
              <w:jc w:val="center"/>
              <w:rPr>
                <w:color w:val="auto"/>
                <w:sz w:val="24"/>
              </w:rPr>
            </w:pPr>
            <w:r>
              <w:rPr>
                <w:rFonts w:hint="eastAsia" w:hAnsi="宋体"/>
                <w:color w:val="auto"/>
                <w:sz w:val="24"/>
              </w:rPr>
              <w:t>平江县原三阳乡化学农药厂污染土壤治理项目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spacing w:line="440" w:lineRule="exact"/>
              <w:jc w:val="center"/>
              <w:rPr>
                <w:color w:val="auto"/>
                <w:sz w:val="24"/>
              </w:rPr>
            </w:pPr>
            <w:r>
              <w:rPr>
                <w:rFonts w:hAnsi="宋体"/>
                <w:color w:val="auto"/>
                <w:sz w:val="24"/>
              </w:rPr>
              <w:t>建设单位</w:t>
            </w:r>
          </w:p>
        </w:tc>
        <w:tc>
          <w:tcPr>
            <w:tcW w:w="7356" w:type="dxa"/>
            <w:gridSpan w:val="7"/>
            <w:vAlign w:val="center"/>
          </w:tcPr>
          <w:p>
            <w:pPr>
              <w:spacing w:line="440" w:lineRule="exact"/>
              <w:jc w:val="center"/>
              <w:rPr>
                <w:rFonts w:hAnsi="宋体"/>
                <w:color w:val="auto"/>
                <w:sz w:val="24"/>
              </w:rPr>
            </w:pPr>
            <w:r>
              <w:rPr>
                <w:rFonts w:hint="eastAsia" w:hAnsi="宋体"/>
                <w:color w:val="auto"/>
                <w:sz w:val="24"/>
              </w:rPr>
              <w:t>平江县城关镇人民政府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spacing w:line="440" w:lineRule="exact"/>
              <w:jc w:val="center"/>
              <w:rPr>
                <w:color w:val="auto"/>
                <w:sz w:val="24"/>
              </w:rPr>
            </w:pPr>
            <w:r>
              <w:rPr>
                <w:rFonts w:hAnsi="宋体"/>
                <w:color w:val="auto"/>
                <w:sz w:val="24"/>
              </w:rPr>
              <w:t>法人代表</w:t>
            </w:r>
          </w:p>
        </w:tc>
        <w:tc>
          <w:tcPr>
            <w:tcW w:w="3925" w:type="dxa"/>
            <w:gridSpan w:val="4"/>
            <w:vAlign w:val="center"/>
          </w:tcPr>
          <w:p>
            <w:pPr>
              <w:spacing w:line="440" w:lineRule="exact"/>
              <w:jc w:val="center"/>
              <w:rPr>
                <w:color w:val="auto"/>
                <w:sz w:val="24"/>
              </w:rPr>
            </w:pPr>
            <w:r>
              <w:rPr>
                <w:rFonts w:hint="eastAsia" w:hAnsi="宋体"/>
                <w:color w:val="auto"/>
                <w:sz w:val="24"/>
              </w:rPr>
              <w:t>陈鑫</w:t>
            </w:r>
          </w:p>
        </w:tc>
        <w:tc>
          <w:tcPr>
            <w:tcW w:w="973" w:type="dxa"/>
            <w:vAlign w:val="center"/>
          </w:tcPr>
          <w:p>
            <w:pPr>
              <w:spacing w:line="440" w:lineRule="exact"/>
              <w:jc w:val="center"/>
              <w:rPr>
                <w:color w:val="auto"/>
                <w:sz w:val="24"/>
              </w:rPr>
            </w:pPr>
            <w:r>
              <w:rPr>
                <w:rFonts w:hAnsi="宋体"/>
                <w:color w:val="auto"/>
                <w:sz w:val="24"/>
              </w:rPr>
              <w:t>联系人</w:t>
            </w:r>
          </w:p>
        </w:tc>
        <w:tc>
          <w:tcPr>
            <w:tcW w:w="2458" w:type="dxa"/>
            <w:gridSpan w:val="2"/>
            <w:vAlign w:val="center"/>
          </w:tcPr>
          <w:p>
            <w:pPr>
              <w:spacing w:line="440" w:lineRule="exact"/>
              <w:jc w:val="center"/>
              <w:rPr>
                <w:color w:val="auto"/>
                <w:sz w:val="24"/>
              </w:rPr>
            </w:pPr>
            <w:r>
              <w:rPr>
                <w:rFonts w:hint="eastAsia" w:hAnsi="宋体"/>
                <w:color w:val="auto"/>
                <w:sz w:val="24"/>
              </w:rPr>
              <w:t>余妮亚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spacing w:line="440" w:lineRule="exact"/>
              <w:jc w:val="center"/>
              <w:rPr>
                <w:color w:val="auto"/>
                <w:sz w:val="24"/>
              </w:rPr>
            </w:pPr>
            <w:r>
              <w:rPr>
                <w:rFonts w:hAnsi="宋体"/>
                <w:color w:val="auto"/>
                <w:sz w:val="24"/>
              </w:rPr>
              <w:t>通讯地址</w:t>
            </w:r>
          </w:p>
        </w:tc>
        <w:tc>
          <w:tcPr>
            <w:tcW w:w="7356" w:type="dxa"/>
            <w:gridSpan w:val="7"/>
            <w:vAlign w:val="center"/>
          </w:tcPr>
          <w:p>
            <w:pPr>
              <w:spacing w:line="440" w:lineRule="exact"/>
              <w:jc w:val="center"/>
              <w:rPr>
                <w:color w:val="auto"/>
                <w:sz w:val="24"/>
              </w:rPr>
            </w:pPr>
            <w:r>
              <w:rPr>
                <w:rFonts w:hint="eastAsia" w:hAnsi="宋体"/>
                <w:color w:val="auto"/>
                <w:sz w:val="24"/>
              </w:rPr>
              <w:t>平江县城关镇人民政府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spacing w:line="440" w:lineRule="exact"/>
              <w:jc w:val="center"/>
              <w:rPr>
                <w:color w:val="auto"/>
                <w:sz w:val="24"/>
              </w:rPr>
            </w:pPr>
            <w:r>
              <w:rPr>
                <w:rFonts w:hAnsi="宋体"/>
                <w:color w:val="auto"/>
                <w:sz w:val="24"/>
              </w:rPr>
              <w:t>联系电话</w:t>
            </w:r>
          </w:p>
        </w:tc>
        <w:tc>
          <w:tcPr>
            <w:tcW w:w="2813" w:type="dxa"/>
            <w:gridSpan w:val="2"/>
            <w:vAlign w:val="center"/>
          </w:tcPr>
          <w:p>
            <w:pPr>
              <w:spacing w:line="440" w:lineRule="exact"/>
              <w:jc w:val="center"/>
              <w:rPr>
                <w:color w:val="auto"/>
                <w:sz w:val="24"/>
              </w:rPr>
            </w:pPr>
            <w:r>
              <w:rPr>
                <w:color w:val="auto"/>
                <w:sz w:val="24"/>
                <w:szCs w:val="24"/>
              </w:rPr>
              <w:t>13974009616</w:t>
            </w:r>
          </w:p>
        </w:tc>
        <w:tc>
          <w:tcPr>
            <w:tcW w:w="1112" w:type="dxa"/>
            <w:gridSpan w:val="2"/>
            <w:vAlign w:val="center"/>
          </w:tcPr>
          <w:p>
            <w:pPr>
              <w:spacing w:line="440" w:lineRule="exact"/>
              <w:jc w:val="center"/>
              <w:rPr>
                <w:color w:val="auto"/>
                <w:sz w:val="24"/>
              </w:rPr>
            </w:pPr>
            <w:r>
              <w:rPr>
                <w:rFonts w:hAnsi="宋体"/>
                <w:color w:val="auto"/>
                <w:sz w:val="24"/>
              </w:rPr>
              <w:t>传真</w:t>
            </w:r>
          </w:p>
        </w:tc>
        <w:tc>
          <w:tcPr>
            <w:tcW w:w="973" w:type="dxa"/>
            <w:vAlign w:val="center"/>
          </w:tcPr>
          <w:p>
            <w:pPr>
              <w:spacing w:line="440" w:lineRule="exact"/>
              <w:ind w:firstLine="480" w:firstLineChars="200"/>
              <w:rPr>
                <w:color w:val="auto"/>
                <w:sz w:val="24"/>
              </w:rPr>
            </w:pPr>
            <w:r>
              <w:rPr>
                <w:color w:val="auto"/>
                <w:sz w:val="24"/>
              </w:rPr>
              <w:t>-</w:t>
            </w:r>
          </w:p>
        </w:tc>
        <w:tc>
          <w:tcPr>
            <w:tcW w:w="1461" w:type="dxa"/>
            <w:vAlign w:val="center"/>
          </w:tcPr>
          <w:p>
            <w:pPr>
              <w:spacing w:line="440" w:lineRule="exact"/>
              <w:jc w:val="center"/>
              <w:rPr>
                <w:color w:val="auto"/>
                <w:sz w:val="24"/>
              </w:rPr>
            </w:pPr>
            <w:r>
              <w:rPr>
                <w:rFonts w:hAnsi="宋体"/>
                <w:color w:val="auto"/>
                <w:sz w:val="24"/>
              </w:rPr>
              <w:t>邮政编码</w:t>
            </w:r>
          </w:p>
        </w:tc>
        <w:tc>
          <w:tcPr>
            <w:tcW w:w="997" w:type="dxa"/>
            <w:vAlign w:val="center"/>
          </w:tcPr>
          <w:p>
            <w:pPr>
              <w:spacing w:line="440" w:lineRule="exact"/>
              <w:jc w:val="center"/>
              <w:rPr>
                <w:color w:val="auto"/>
                <w:sz w:val="24"/>
              </w:rPr>
            </w:pP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930" w:type="dxa"/>
            <w:vAlign w:val="center"/>
          </w:tcPr>
          <w:p>
            <w:pPr>
              <w:adjustRightInd w:val="0"/>
              <w:snapToGrid w:val="0"/>
              <w:spacing w:line="440" w:lineRule="exact"/>
              <w:jc w:val="center"/>
              <w:rPr>
                <w:color w:val="auto"/>
                <w:sz w:val="24"/>
              </w:rPr>
            </w:pPr>
            <w:r>
              <w:rPr>
                <w:rFonts w:hAnsi="宋体"/>
                <w:color w:val="auto"/>
                <w:sz w:val="24"/>
              </w:rPr>
              <w:t>建设地点</w:t>
            </w:r>
          </w:p>
        </w:tc>
        <w:tc>
          <w:tcPr>
            <w:tcW w:w="7356" w:type="dxa"/>
            <w:gridSpan w:val="7"/>
            <w:vAlign w:val="center"/>
          </w:tcPr>
          <w:p>
            <w:pPr>
              <w:spacing w:line="440" w:lineRule="exact"/>
              <w:jc w:val="center"/>
              <w:rPr>
                <w:color w:val="auto"/>
                <w:sz w:val="24"/>
              </w:rPr>
            </w:pPr>
            <w:r>
              <w:rPr>
                <w:rFonts w:hint="eastAsia" w:hAnsi="宋体"/>
                <w:color w:val="auto"/>
                <w:sz w:val="24"/>
              </w:rPr>
              <w:t>湖南省岳阳市平江县城关镇长冲路与106国道交汇夹角北侧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spacing w:line="440" w:lineRule="exact"/>
              <w:jc w:val="center"/>
              <w:rPr>
                <w:color w:val="auto"/>
                <w:sz w:val="24"/>
              </w:rPr>
            </w:pPr>
            <w:r>
              <w:rPr>
                <w:rFonts w:hAnsi="宋体"/>
                <w:color w:val="auto"/>
                <w:sz w:val="24"/>
              </w:rPr>
              <w:t>立项审批部门</w:t>
            </w:r>
          </w:p>
        </w:tc>
        <w:tc>
          <w:tcPr>
            <w:tcW w:w="2961" w:type="dxa"/>
            <w:gridSpan w:val="3"/>
            <w:vAlign w:val="center"/>
          </w:tcPr>
          <w:p>
            <w:pPr>
              <w:spacing w:line="440" w:lineRule="exact"/>
              <w:jc w:val="center"/>
              <w:rPr>
                <w:color w:val="auto"/>
                <w:sz w:val="24"/>
              </w:rPr>
            </w:pPr>
            <w:r>
              <w:rPr>
                <w:rFonts w:hint="eastAsia"/>
                <w:color w:val="auto"/>
                <w:sz w:val="24"/>
              </w:rPr>
              <w:t>平江县发改委</w:t>
            </w:r>
          </w:p>
        </w:tc>
        <w:tc>
          <w:tcPr>
            <w:tcW w:w="1937" w:type="dxa"/>
            <w:gridSpan w:val="2"/>
            <w:vAlign w:val="center"/>
          </w:tcPr>
          <w:p>
            <w:pPr>
              <w:spacing w:line="440" w:lineRule="exact"/>
              <w:jc w:val="center"/>
              <w:rPr>
                <w:color w:val="auto"/>
                <w:sz w:val="24"/>
              </w:rPr>
            </w:pPr>
            <w:r>
              <w:rPr>
                <w:rFonts w:hAnsi="宋体"/>
                <w:color w:val="auto"/>
                <w:sz w:val="24"/>
              </w:rPr>
              <w:t>批准文号</w:t>
            </w:r>
          </w:p>
        </w:tc>
        <w:tc>
          <w:tcPr>
            <w:tcW w:w="2458" w:type="dxa"/>
            <w:gridSpan w:val="2"/>
            <w:vAlign w:val="center"/>
          </w:tcPr>
          <w:p>
            <w:pPr>
              <w:spacing w:line="440" w:lineRule="exact"/>
              <w:jc w:val="center"/>
              <w:rPr>
                <w:color w:val="auto"/>
                <w:sz w:val="24"/>
              </w:rPr>
            </w:pPr>
            <w:r>
              <w:rPr>
                <w:rFonts w:hint="eastAsia"/>
                <w:color w:val="auto"/>
                <w:sz w:val="24"/>
              </w:rPr>
              <w:t>平发改发</w:t>
            </w:r>
            <w:r>
              <w:rPr>
                <w:rFonts w:hint="eastAsia"/>
                <w:color w:val="auto"/>
                <w:sz w:val="24"/>
                <w:lang w:val="en-US" w:eastAsia="zh-CN"/>
              </w:rPr>
              <w:t>[</w:t>
            </w:r>
            <w:r>
              <w:rPr>
                <w:rFonts w:hint="eastAsia"/>
                <w:color w:val="auto"/>
                <w:sz w:val="24"/>
              </w:rPr>
              <w:t>2016</w:t>
            </w:r>
            <w:r>
              <w:rPr>
                <w:rFonts w:hint="eastAsia"/>
                <w:color w:val="auto"/>
                <w:sz w:val="24"/>
                <w:lang w:val="en-US" w:eastAsia="zh-CN"/>
              </w:rPr>
              <w:t>]</w:t>
            </w:r>
            <w:r>
              <w:rPr>
                <w:rFonts w:hint="eastAsia"/>
                <w:color w:val="auto"/>
                <w:sz w:val="24"/>
              </w:rPr>
              <w:t>222号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spacing w:line="440" w:lineRule="exact"/>
              <w:jc w:val="center"/>
              <w:rPr>
                <w:color w:val="auto"/>
                <w:sz w:val="24"/>
              </w:rPr>
            </w:pPr>
            <w:r>
              <w:rPr>
                <w:rFonts w:hAnsi="宋体"/>
                <w:color w:val="auto"/>
                <w:sz w:val="24"/>
              </w:rPr>
              <w:t>建设性质</w:t>
            </w:r>
          </w:p>
        </w:tc>
        <w:tc>
          <w:tcPr>
            <w:tcW w:w="2961" w:type="dxa"/>
            <w:gridSpan w:val="3"/>
            <w:vAlign w:val="center"/>
          </w:tcPr>
          <w:p>
            <w:pPr>
              <w:spacing w:line="440" w:lineRule="exact"/>
              <w:jc w:val="center"/>
              <w:rPr>
                <w:color w:val="auto"/>
                <w:sz w:val="24"/>
              </w:rPr>
            </w:pPr>
            <w:r>
              <w:rPr>
                <w:color w:val="auto"/>
                <w:sz w:val="24"/>
              </w:rPr>
              <w:t>■</w:t>
            </w:r>
            <w:r>
              <w:rPr>
                <w:rFonts w:hAnsi="宋体"/>
                <w:color w:val="auto"/>
                <w:sz w:val="24"/>
              </w:rPr>
              <w:t>新建</w:t>
            </w:r>
            <w:r>
              <w:rPr>
                <w:color w:val="auto"/>
                <w:sz w:val="24"/>
              </w:rPr>
              <w:t>□</w:t>
            </w:r>
            <w:r>
              <w:rPr>
                <w:rFonts w:hAnsi="宋体"/>
                <w:color w:val="auto"/>
                <w:sz w:val="24"/>
              </w:rPr>
              <w:t>改扩建</w:t>
            </w:r>
            <w:r>
              <w:rPr>
                <w:color w:val="auto"/>
                <w:sz w:val="24"/>
              </w:rPr>
              <w:t>□</w:t>
            </w:r>
            <w:r>
              <w:rPr>
                <w:rFonts w:hAnsi="宋体"/>
                <w:color w:val="auto"/>
                <w:sz w:val="24"/>
              </w:rPr>
              <w:t>技改</w:t>
            </w:r>
          </w:p>
        </w:tc>
        <w:tc>
          <w:tcPr>
            <w:tcW w:w="1937" w:type="dxa"/>
            <w:gridSpan w:val="2"/>
            <w:vAlign w:val="center"/>
          </w:tcPr>
          <w:p>
            <w:pPr>
              <w:spacing w:line="440" w:lineRule="exact"/>
              <w:jc w:val="center"/>
              <w:rPr>
                <w:color w:val="auto"/>
                <w:sz w:val="24"/>
              </w:rPr>
            </w:pPr>
            <w:r>
              <w:rPr>
                <w:rFonts w:hAnsi="宋体"/>
                <w:color w:val="auto"/>
                <w:sz w:val="24"/>
              </w:rPr>
              <w:t>行业类别及代码</w:t>
            </w:r>
          </w:p>
        </w:tc>
        <w:tc>
          <w:tcPr>
            <w:tcW w:w="2458" w:type="dxa"/>
            <w:gridSpan w:val="2"/>
            <w:vAlign w:val="center"/>
          </w:tcPr>
          <w:p>
            <w:pPr>
              <w:spacing w:line="440" w:lineRule="exact"/>
              <w:rPr>
                <w:color w:val="auto"/>
                <w:sz w:val="24"/>
              </w:rPr>
            </w:pPr>
            <w:r>
              <w:rPr>
                <w:rFonts w:hint="eastAsia"/>
                <w:color w:val="auto"/>
                <w:sz w:val="24"/>
                <w:u w:val="single"/>
              </w:rPr>
              <w:t>N</w:t>
            </w:r>
            <w:r>
              <w:rPr>
                <w:rFonts w:hint="eastAsia"/>
                <w:color w:val="auto"/>
                <w:sz w:val="24"/>
                <w:u w:val="single"/>
                <w:lang w:val="en-US" w:eastAsia="zh-CN"/>
              </w:rPr>
              <w:t>7729</w:t>
            </w:r>
            <w:r>
              <w:rPr>
                <w:rFonts w:hint="eastAsia"/>
                <w:color w:val="auto"/>
                <w:sz w:val="24"/>
                <w:u w:val="single"/>
              </w:rPr>
              <w:t>其他</w:t>
            </w:r>
            <w:r>
              <w:rPr>
                <w:rFonts w:hint="eastAsia"/>
                <w:color w:val="auto"/>
                <w:sz w:val="24"/>
                <w:u w:val="single"/>
                <w:lang w:eastAsia="zh-CN"/>
              </w:rPr>
              <w:t>污染</w:t>
            </w:r>
            <w:r>
              <w:rPr>
                <w:rFonts w:hint="eastAsia"/>
                <w:color w:val="auto"/>
                <w:sz w:val="24"/>
                <w:u w:val="single"/>
              </w:rPr>
              <w:t>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jc w:val="center"/>
              <w:rPr>
                <w:color w:val="auto"/>
                <w:sz w:val="24"/>
              </w:rPr>
            </w:pPr>
            <w:r>
              <w:rPr>
                <w:rFonts w:hAnsi="宋体"/>
                <w:color w:val="auto"/>
                <w:sz w:val="24"/>
              </w:rPr>
              <w:t>占地面积</w:t>
            </w:r>
          </w:p>
          <w:p>
            <w:pPr>
              <w:adjustRightInd w:val="0"/>
              <w:snapToGrid w:val="0"/>
              <w:jc w:val="center"/>
              <w:rPr>
                <w:color w:val="auto"/>
                <w:sz w:val="24"/>
              </w:rPr>
            </w:pPr>
            <w:r>
              <w:rPr>
                <w:color w:val="auto"/>
                <w:sz w:val="24"/>
              </w:rPr>
              <w:t>(</w:t>
            </w:r>
            <w:r>
              <w:rPr>
                <w:rFonts w:hAnsi="宋体"/>
                <w:color w:val="auto"/>
                <w:sz w:val="24"/>
              </w:rPr>
              <w:t>平方米</w:t>
            </w:r>
            <w:r>
              <w:rPr>
                <w:color w:val="auto"/>
                <w:sz w:val="24"/>
              </w:rPr>
              <w:t>)</w:t>
            </w:r>
          </w:p>
        </w:tc>
        <w:tc>
          <w:tcPr>
            <w:tcW w:w="2961" w:type="dxa"/>
            <w:gridSpan w:val="3"/>
            <w:vAlign w:val="center"/>
          </w:tcPr>
          <w:p>
            <w:pPr>
              <w:jc w:val="center"/>
              <w:rPr>
                <w:color w:val="auto"/>
                <w:sz w:val="24"/>
              </w:rPr>
            </w:pPr>
            <w:r>
              <w:rPr>
                <w:rFonts w:hint="eastAsia"/>
                <w:snapToGrid w:val="0"/>
                <w:color w:val="auto"/>
                <w:kern w:val="0"/>
                <w:sz w:val="24"/>
              </w:rPr>
              <w:t>15339.777</w:t>
            </w:r>
          </w:p>
        </w:tc>
        <w:tc>
          <w:tcPr>
            <w:tcW w:w="1937" w:type="dxa"/>
            <w:gridSpan w:val="2"/>
            <w:vAlign w:val="center"/>
          </w:tcPr>
          <w:p>
            <w:pPr>
              <w:jc w:val="center"/>
              <w:rPr>
                <w:color w:val="auto"/>
                <w:sz w:val="24"/>
              </w:rPr>
            </w:pPr>
            <w:r>
              <w:rPr>
                <w:rFonts w:hAnsi="宋体"/>
                <w:color w:val="auto"/>
                <w:sz w:val="24"/>
              </w:rPr>
              <w:t>绿化面积</w:t>
            </w:r>
          </w:p>
          <w:p>
            <w:pPr>
              <w:jc w:val="center"/>
              <w:rPr>
                <w:color w:val="auto"/>
                <w:sz w:val="24"/>
              </w:rPr>
            </w:pPr>
            <w:r>
              <w:rPr>
                <w:color w:val="auto"/>
                <w:sz w:val="24"/>
              </w:rPr>
              <w:t>(</w:t>
            </w:r>
            <w:r>
              <w:rPr>
                <w:rFonts w:hAnsi="宋体"/>
                <w:color w:val="auto"/>
                <w:sz w:val="24"/>
              </w:rPr>
              <w:t>平方米</w:t>
            </w:r>
            <w:r>
              <w:rPr>
                <w:color w:val="auto"/>
                <w:sz w:val="24"/>
              </w:rPr>
              <w:t>)</w:t>
            </w:r>
          </w:p>
        </w:tc>
        <w:tc>
          <w:tcPr>
            <w:tcW w:w="2458" w:type="dxa"/>
            <w:gridSpan w:val="2"/>
            <w:vAlign w:val="center"/>
          </w:tcPr>
          <w:p>
            <w:pPr>
              <w:jc w:val="center"/>
              <w:rPr>
                <w:color w:val="auto"/>
                <w:sz w:val="24"/>
                <w:highlight w:val="yellow"/>
              </w:rPr>
            </w:pPr>
            <w:r>
              <w:rPr>
                <w:rFonts w:hint="eastAsia"/>
                <w:color w:val="auto"/>
                <w:sz w:val="24"/>
              </w:rPr>
              <w:t>15339.777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30" w:type="dxa"/>
            <w:vAlign w:val="center"/>
          </w:tcPr>
          <w:p>
            <w:pPr>
              <w:adjustRightInd w:val="0"/>
              <w:snapToGrid w:val="0"/>
              <w:jc w:val="center"/>
              <w:rPr>
                <w:color w:val="auto"/>
                <w:sz w:val="24"/>
              </w:rPr>
            </w:pPr>
            <w:r>
              <w:rPr>
                <w:rFonts w:hAnsi="宋体"/>
                <w:color w:val="auto"/>
                <w:sz w:val="24"/>
              </w:rPr>
              <w:t>总投资</w:t>
            </w:r>
          </w:p>
          <w:p>
            <w:pPr>
              <w:adjustRightInd w:val="0"/>
              <w:snapToGrid w:val="0"/>
              <w:jc w:val="center"/>
              <w:rPr>
                <w:color w:val="auto"/>
                <w:sz w:val="24"/>
              </w:rPr>
            </w:pPr>
            <w:r>
              <w:rPr>
                <w:color w:val="auto"/>
                <w:sz w:val="24"/>
              </w:rPr>
              <w:t>(</w:t>
            </w:r>
            <w:r>
              <w:rPr>
                <w:rFonts w:hAnsi="宋体"/>
                <w:color w:val="auto"/>
                <w:sz w:val="24"/>
              </w:rPr>
              <w:t>万元</w:t>
            </w:r>
            <w:r>
              <w:rPr>
                <w:color w:val="auto"/>
                <w:sz w:val="24"/>
              </w:rPr>
              <w:t>)</w:t>
            </w:r>
          </w:p>
        </w:tc>
        <w:tc>
          <w:tcPr>
            <w:tcW w:w="1337" w:type="dxa"/>
            <w:vAlign w:val="center"/>
          </w:tcPr>
          <w:p>
            <w:pPr>
              <w:jc w:val="center"/>
              <w:rPr>
                <w:color w:val="auto"/>
                <w:sz w:val="24"/>
              </w:rPr>
            </w:pPr>
            <w:r>
              <w:rPr>
                <w:rFonts w:hint="eastAsia"/>
                <w:color w:val="auto"/>
                <w:sz w:val="24"/>
                <w:u w:val="single"/>
              </w:rPr>
              <w:t>2600</w:t>
            </w:r>
          </w:p>
        </w:tc>
        <w:tc>
          <w:tcPr>
            <w:tcW w:w="1624" w:type="dxa"/>
            <w:gridSpan w:val="2"/>
            <w:vAlign w:val="center"/>
          </w:tcPr>
          <w:p>
            <w:pPr>
              <w:jc w:val="center"/>
              <w:rPr>
                <w:color w:val="auto"/>
                <w:sz w:val="24"/>
              </w:rPr>
            </w:pPr>
            <w:r>
              <w:rPr>
                <w:rFonts w:hAnsi="宋体"/>
                <w:color w:val="auto"/>
                <w:sz w:val="24"/>
              </w:rPr>
              <w:t>其中：环保</w:t>
            </w:r>
          </w:p>
          <w:p>
            <w:pPr>
              <w:jc w:val="center"/>
              <w:rPr>
                <w:color w:val="auto"/>
                <w:sz w:val="24"/>
              </w:rPr>
            </w:pPr>
            <w:r>
              <w:rPr>
                <w:rFonts w:hAnsi="宋体"/>
                <w:color w:val="auto"/>
                <w:sz w:val="24"/>
              </w:rPr>
              <w:t>投资</w:t>
            </w:r>
            <w:r>
              <w:rPr>
                <w:color w:val="auto"/>
                <w:sz w:val="24"/>
              </w:rPr>
              <w:t>(</w:t>
            </w:r>
            <w:r>
              <w:rPr>
                <w:rFonts w:hAnsi="宋体"/>
                <w:color w:val="auto"/>
                <w:sz w:val="24"/>
              </w:rPr>
              <w:t>万元</w:t>
            </w:r>
            <w:r>
              <w:rPr>
                <w:color w:val="auto"/>
                <w:sz w:val="24"/>
              </w:rPr>
              <w:t>)</w:t>
            </w:r>
          </w:p>
        </w:tc>
        <w:tc>
          <w:tcPr>
            <w:tcW w:w="1937" w:type="dxa"/>
            <w:gridSpan w:val="2"/>
            <w:vAlign w:val="center"/>
          </w:tcPr>
          <w:p>
            <w:pPr>
              <w:jc w:val="center"/>
              <w:rPr>
                <w:color w:val="auto"/>
                <w:sz w:val="24"/>
              </w:rPr>
            </w:pPr>
            <w:r>
              <w:rPr>
                <w:rFonts w:hint="eastAsia"/>
                <w:color w:val="auto"/>
                <w:sz w:val="24"/>
                <w:u w:val="single"/>
              </w:rPr>
              <w:t>100</w:t>
            </w:r>
          </w:p>
        </w:tc>
        <w:tc>
          <w:tcPr>
            <w:tcW w:w="1461" w:type="dxa"/>
            <w:vAlign w:val="center"/>
          </w:tcPr>
          <w:p>
            <w:pPr>
              <w:jc w:val="center"/>
              <w:rPr>
                <w:color w:val="auto"/>
                <w:sz w:val="24"/>
              </w:rPr>
            </w:pPr>
            <w:r>
              <w:rPr>
                <w:rFonts w:hAnsi="宋体"/>
                <w:color w:val="auto"/>
                <w:sz w:val="24"/>
              </w:rPr>
              <w:t>环保投资占总投资比例</w:t>
            </w:r>
          </w:p>
        </w:tc>
        <w:tc>
          <w:tcPr>
            <w:tcW w:w="997" w:type="dxa"/>
            <w:vAlign w:val="center"/>
          </w:tcPr>
          <w:p>
            <w:pPr>
              <w:jc w:val="center"/>
              <w:rPr>
                <w:color w:val="auto"/>
                <w:sz w:val="24"/>
              </w:rPr>
            </w:pPr>
            <w:r>
              <w:rPr>
                <w:rFonts w:hint="eastAsia"/>
                <w:color w:val="auto"/>
                <w:sz w:val="24"/>
              </w:rPr>
              <w:t>3.85</w:t>
            </w:r>
            <w:r>
              <w:rPr>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930" w:type="dxa"/>
            <w:vAlign w:val="center"/>
          </w:tcPr>
          <w:p>
            <w:pPr>
              <w:adjustRightInd w:val="0"/>
              <w:snapToGrid w:val="0"/>
              <w:jc w:val="center"/>
              <w:rPr>
                <w:color w:val="auto"/>
                <w:sz w:val="24"/>
              </w:rPr>
            </w:pPr>
            <w:r>
              <w:rPr>
                <w:rFonts w:hAnsi="宋体"/>
                <w:color w:val="auto"/>
                <w:sz w:val="24"/>
              </w:rPr>
              <w:t>评价经费</w:t>
            </w:r>
          </w:p>
          <w:p>
            <w:pPr>
              <w:adjustRightInd w:val="0"/>
              <w:snapToGrid w:val="0"/>
              <w:jc w:val="center"/>
              <w:rPr>
                <w:color w:val="auto"/>
                <w:sz w:val="24"/>
              </w:rPr>
            </w:pPr>
            <w:r>
              <w:rPr>
                <w:color w:val="auto"/>
                <w:sz w:val="24"/>
              </w:rPr>
              <w:t>(</w:t>
            </w:r>
            <w:r>
              <w:rPr>
                <w:rFonts w:hAnsi="宋体"/>
                <w:color w:val="auto"/>
                <w:sz w:val="24"/>
              </w:rPr>
              <w:t>万元</w:t>
            </w:r>
            <w:r>
              <w:rPr>
                <w:color w:val="auto"/>
                <w:sz w:val="24"/>
              </w:rPr>
              <w:t>)</w:t>
            </w:r>
          </w:p>
        </w:tc>
        <w:tc>
          <w:tcPr>
            <w:tcW w:w="1337" w:type="dxa"/>
            <w:vAlign w:val="center"/>
          </w:tcPr>
          <w:p>
            <w:pPr>
              <w:jc w:val="center"/>
              <w:rPr>
                <w:color w:val="auto"/>
                <w:sz w:val="24"/>
              </w:rPr>
            </w:pPr>
            <w:r>
              <w:rPr>
                <w:color w:val="auto"/>
                <w:sz w:val="24"/>
              </w:rPr>
              <w:t>/</w:t>
            </w:r>
          </w:p>
        </w:tc>
        <w:tc>
          <w:tcPr>
            <w:tcW w:w="1624" w:type="dxa"/>
            <w:gridSpan w:val="2"/>
            <w:vAlign w:val="center"/>
          </w:tcPr>
          <w:p>
            <w:pPr>
              <w:jc w:val="center"/>
              <w:rPr>
                <w:color w:val="auto"/>
                <w:sz w:val="24"/>
              </w:rPr>
            </w:pPr>
            <w:r>
              <w:rPr>
                <w:rFonts w:hAnsi="宋体"/>
                <w:color w:val="auto"/>
                <w:sz w:val="24"/>
              </w:rPr>
              <w:t>预期</w:t>
            </w:r>
            <w:r>
              <w:rPr>
                <w:rFonts w:hint="eastAsia" w:hAnsi="宋体"/>
                <w:color w:val="auto"/>
                <w:sz w:val="24"/>
              </w:rPr>
              <w:t>完成</w:t>
            </w:r>
          </w:p>
          <w:p>
            <w:pPr>
              <w:jc w:val="center"/>
              <w:rPr>
                <w:color w:val="auto"/>
                <w:sz w:val="24"/>
              </w:rPr>
            </w:pPr>
            <w:r>
              <w:rPr>
                <w:rFonts w:hAnsi="宋体"/>
                <w:color w:val="auto"/>
                <w:sz w:val="24"/>
              </w:rPr>
              <w:t>日期</w:t>
            </w:r>
          </w:p>
        </w:tc>
        <w:tc>
          <w:tcPr>
            <w:tcW w:w="4395" w:type="dxa"/>
            <w:gridSpan w:val="4"/>
            <w:vAlign w:val="center"/>
          </w:tcPr>
          <w:p>
            <w:pPr>
              <w:jc w:val="center"/>
              <w:rPr>
                <w:color w:val="auto"/>
                <w:sz w:val="24"/>
              </w:rPr>
            </w:pPr>
            <w:r>
              <w:rPr>
                <w:color w:val="auto"/>
                <w:sz w:val="24"/>
              </w:rPr>
              <w:t>2018</w:t>
            </w:r>
            <w:r>
              <w:rPr>
                <w:rFonts w:hAnsi="宋体"/>
                <w:color w:val="auto"/>
                <w:sz w:val="24"/>
              </w:rPr>
              <w:t>年</w:t>
            </w:r>
            <w:r>
              <w:rPr>
                <w:color w:val="auto"/>
                <w:sz w:val="24"/>
              </w:rPr>
              <w:t>2</w:t>
            </w:r>
            <w:r>
              <w:rPr>
                <w:rFonts w:hAnsi="宋体"/>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86" w:type="dxa"/>
            <w:gridSpan w:val="8"/>
            <w:vAlign w:val="center"/>
          </w:tcPr>
          <w:p>
            <w:pPr>
              <w:keepNext w:val="0"/>
              <w:keepLines w:val="0"/>
              <w:pageBreakBefore w:val="0"/>
              <w:widowControl w:val="0"/>
              <w:kinsoku/>
              <w:wordWrap/>
              <w:overflowPunct/>
              <w:topLinePunct w:val="0"/>
              <w:bidi w:val="0"/>
              <w:adjustRightInd/>
              <w:snapToGrid/>
              <w:spacing w:line="360" w:lineRule="auto"/>
              <w:ind w:left="0" w:leftChars="0" w:right="0" w:rightChars="0"/>
              <w:jc w:val="both"/>
              <w:textAlignment w:val="auto"/>
              <w:outlineLvl w:val="9"/>
              <w:rPr>
                <w:b/>
                <w:color w:val="auto"/>
                <w:sz w:val="24"/>
                <w:szCs w:val="24"/>
              </w:rPr>
            </w:pPr>
            <w:bookmarkStart w:id="1" w:name="_Toc287535106"/>
            <w:r>
              <w:rPr>
                <w:rStyle w:val="96"/>
                <w:rFonts w:ascii="Times New Roman" w:hAnsi="宋体" w:eastAsia="宋体"/>
                <w:color w:val="auto"/>
                <w:sz w:val="24"/>
                <w:szCs w:val="24"/>
              </w:rPr>
              <w:t>工程内容及规模</w:t>
            </w:r>
            <w:bookmarkEnd w:id="1"/>
          </w:p>
          <w:p>
            <w:pPr>
              <w:keepNext w:val="0"/>
              <w:keepLines w:val="0"/>
              <w:pageBreakBefore w:val="0"/>
              <w:widowControl w:val="0"/>
              <w:kinsoku/>
              <w:wordWrap/>
              <w:overflowPunct/>
              <w:topLinePunct w:val="0"/>
              <w:bidi w:val="0"/>
              <w:adjustRightInd/>
              <w:snapToGrid/>
              <w:spacing w:line="360" w:lineRule="auto"/>
              <w:ind w:left="0" w:leftChars="0" w:right="0" w:rightChars="0"/>
              <w:jc w:val="both"/>
              <w:textAlignment w:val="auto"/>
              <w:outlineLvl w:val="9"/>
              <w:rPr>
                <w:b/>
                <w:color w:val="auto"/>
                <w:sz w:val="24"/>
                <w:szCs w:val="24"/>
              </w:rPr>
            </w:pPr>
            <w:r>
              <w:rPr>
                <w:b/>
                <w:color w:val="auto"/>
                <w:sz w:val="24"/>
                <w:szCs w:val="24"/>
              </w:rPr>
              <w:t>1</w:t>
            </w:r>
            <w:r>
              <w:rPr>
                <w:rFonts w:hAnsi="宋体"/>
                <w:b/>
                <w:color w:val="auto"/>
                <w:sz w:val="24"/>
                <w:szCs w:val="24"/>
              </w:rPr>
              <w:t>、项目</w:t>
            </w:r>
            <w:r>
              <w:rPr>
                <w:rFonts w:hint="eastAsia" w:hAnsi="宋体"/>
                <w:b/>
                <w:color w:val="auto"/>
                <w:sz w:val="24"/>
                <w:szCs w:val="24"/>
                <w:lang w:eastAsia="zh-CN"/>
              </w:rPr>
              <w:t>的</w:t>
            </w:r>
            <w:r>
              <w:rPr>
                <w:rFonts w:hAnsi="宋体"/>
                <w:b/>
                <w:color w:val="auto"/>
                <w:sz w:val="24"/>
                <w:szCs w:val="24"/>
              </w:rPr>
              <w:t>由来</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int="eastAsia" w:hAnsi="宋体"/>
                <w:color w:val="auto"/>
                <w:sz w:val="24"/>
                <w:lang w:val="en-US" w:eastAsia="zh-CN"/>
              </w:rPr>
            </w:pPr>
            <w:r>
              <w:rPr>
                <w:rFonts w:hint="eastAsia" w:hAnsi="宋体"/>
                <w:color w:val="auto"/>
                <w:sz w:val="24"/>
                <w:lang w:val="en-US" w:eastAsia="zh-CN"/>
              </w:rPr>
              <w:t>（1）项目背景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int="eastAsia" w:hAnsi="宋体"/>
                <w:color w:val="auto"/>
                <w:sz w:val="24"/>
              </w:rPr>
              <w:t>平江县原三阳乡化学农药厂位于长冲路与106国道交汇夹角北侧，该农药厂成立于1987年，是以原药配稀释剂做成瓶装农药为生产工艺的农药生产企业，于2009年关停。农药厂成立初期，生产有机氯农药六六六及滴滴涕，后改为生产速灭威、异丙威、速灭磷及对硫磷，企业在停止生产六六六及滴滴涕，改成生产速灭威、异丙威、速灭磷及对硫磷，以速灭磷与对硫磷为主，速灭磷与异丙威间歇性生产，但原生产的部分六六六及滴滴涕成品堆放在厂区内。由于管理的粗放，导致遗留在厂内的六六六与滴滴涕成品农药发生泄漏，因此造成了厂区及周边土壤的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Ansi="宋体"/>
                <w:color w:val="auto"/>
                <w:sz w:val="24"/>
              </w:rPr>
              <w:t>经有关部门批准后企业于</w:t>
            </w:r>
            <w:r>
              <w:rPr>
                <w:color w:val="auto"/>
                <w:sz w:val="24"/>
                <w:szCs w:val="24"/>
              </w:rPr>
              <w:t>200</w:t>
            </w:r>
            <w:r>
              <w:rPr>
                <w:rFonts w:hint="eastAsia"/>
                <w:color w:val="auto"/>
                <w:sz w:val="24"/>
                <w:szCs w:val="24"/>
              </w:rPr>
              <w:t>9</w:t>
            </w:r>
            <w:r>
              <w:rPr>
                <w:rFonts w:hAnsi="宋体"/>
                <w:color w:val="auto"/>
                <w:sz w:val="24"/>
                <w:szCs w:val="24"/>
              </w:rPr>
              <w:t>年关闭</w:t>
            </w:r>
            <w:r>
              <w:rPr>
                <w:rFonts w:hAnsi="宋体"/>
                <w:color w:val="auto"/>
                <w:sz w:val="24"/>
              </w:rPr>
              <w:t>，关闭后原厂区内相关设备绝大部分已经拆除，仅留下</w:t>
            </w:r>
            <w:r>
              <w:rPr>
                <w:rFonts w:hint="eastAsia" w:hAnsi="宋体"/>
                <w:color w:val="auto"/>
                <w:sz w:val="24"/>
              </w:rPr>
              <w:t>4座生产车间及仓库，车间及仓库内残存一些产品储罐与废弃设备。</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jc w:val="both"/>
              <w:textAlignment w:val="auto"/>
              <w:rPr>
                <w:rFonts w:hint="eastAsia"/>
                <w:color w:val="auto"/>
                <w:lang w:val="en-US" w:eastAsia="zh-CN"/>
              </w:rPr>
            </w:pPr>
            <w:r>
              <w:rPr>
                <w:rFonts w:hAnsi="宋体"/>
                <w:color w:val="auto"/>
                <w:sz w:val="24"/>
                <w:szCs w:val="24"/>
              </w:rPr>
              <w:t>根据</w:t>
            </w:r>
            <w:r>
              <w:rPr>
                <w:rFonts w:hAnsi="宋体"/>
                <w:color w:val="auto"/>
                <w:sz w:val="24"/>
              </w:rPr>
              <w:t>《平江县三阳化学农药厂污染土壤治理项目场地调查报告》</w:t>
            </w:r>
            <w:r>
              <w:rPr>
                <w:color w:val="auto"/>
                <w:sz w:val="24"/>
              </w:rPr>
              <w:t>(湖南华弘检测</w:t>
            </w:r>
            <w:r>
              <w:rPr>
                <w:rFonts w:hAnsi="宋体"/>
                <w:color w:val="auto"/>
                <w:sz w:val="24"/>
              </w:rPr>
              <w:t>有限公司，</w:t>
            </w:r>
            <w:r>
              <w:rPr>
                <w:color w:val="auto"/>
                <w:sz w:val="24"/>
              </w:rPr>
              <w:t>2017</w:t>
            </w:r>
            <w:r>
              <w:rPr>
                <w:rFonts w:hAnsi="宋体"/>
                <w:color w:val="auto"/>
                <w:sz w:val="24"/>
              </w:rPr>
              <w:t>年</w:t>
            </w:r>
            <w:r>
              <w:rPr>
                <w:rFonts w:hint="eastAsia"/>
                <w:color w:val="auto"/>
                <w:sz w:val="24"/>
              </w:rPr>
              <w:t>2</w:t>
            </w:r>
            <w:r>
              <w:rPr>
                <w:rFonts w:hAnsi="宋体"/>
                <w:color w:val="auto"/>
                <w:sz w:val="24"/>
              </w:rPr>
              <w:t>月</w:t>
            </w:r>
            <w:r>
              <w:rPr>
                <w:color w:val="auto"/>
                <w:sz w:val="24"/>
              </w:rPr>
              <w:t>)</w:t>
            </w:r>
            <w:r>
              <w:rPr>
                <w:rFonts w:hint="eastAsia"/>
                <w:color w:val="auto"/>
                <w:sz w:val="24"/>
                <w:szCs w:val="24"/>
              </w:rPr>
              <w:t>及湖南省环保厅的审查意见（见附件3）</w:t>
            </w:r>
            <w:r>
              <w:rPr>
                <w:rFonts w:hAnsi="宋体"/>
                <w:color w:val="auto"/>
                <w:sz w:val="24"/>
                <w:szCs w:val="24"/>
              </w:rPr>
              <w:t>，该片区土壤受到</w:t>
            </w:r>
            <w:r>
              <w:rPr>
                <w:rFonts w:hint="eastAsia" w:hAnsi="宋体"/>
                <w:color w:val="auto"/>
                <w:sz w:val="24"/>
                <w:szCs w:val="24"/>
              </w:rPr>
              <w:t>六六六及滴滴涕</w:t>
            </w:r>
            <w:r>
              <w:rPr>
                <w:rFonts w:hAnsi="宋体"/>
                <w:color w:val="auto"/>
                <w:sz w:val="24"/>
                <w:szCs w:val="24"/>
              </w:rPr>
              <w:t>污染</w:t>
            </w:r>
            <w:r>
              <w:rPr>
                <w:rFonts w:hint="eastAsia" w:hAnsi="宋体"/>
                <w:color w:val="auto"/>
                <w:sz w:val="24"/>
                <w:szCs w:val="24"/>
              </w:rPr>
              <w:t>，</w:t>
            </w:r>
            <w:r>
              <w:rPr>
                <w:rFonts w:hAnsi="宋体"/>
                <w:color w:val="auto"/>
                <w:sz w:val="24"/>
              </w:rPr>
              <w:t>原</w:t>
            </w:r>
            <w:r>
              <w:rPr>
                <w:rFonts w:hint="eastAsia" w:hAnsi="宋体"/>
                <w:color w:val="auto"/>
                <w:sz w:val="24"/>
              </w:rPr>
              <w:t>平江县原三阳乡化学农药厂</w:t>
            </w:r>
            <w:r>
              <w:rPr>
                <w:rFonts w:hint="eastAsia" w:hAnsi="宋体"/>
                <w:color w:val="auto"/>
                <w:sz w:val="24"/>
                <w:szCs w:val="24"/>
              </w:rPr>
              <w:t>场地污染典型性及敏感性高，亟需对</w:t>
            </w:r>
            <w:r>
              <w:rPr>
                <w:rFonts w:hAnsi="宋体"/>
                <w:color w:val="auto"/>
                <w:sz w:val="24"/>
              </w:rPr>
              <w:t>原</w:t>
            </w:r>
            <w:r>
              <w:rPr>
                <w:rFonts w:hint="eastAsia" w:hAnsi="宋体"/>
                <w:color w:val="auto"/>
                <w:sz w:val="24"/>
              </w:rPr>
              <w:t>平江县原三阳乡化学农药厂</w:t>
            </w:r>
            <w:r>
              <w:rPr>
                <w:rFonts w:hint="eastAsia" w:hAnsi="宋体"/>
                <w:color w:val="auto"/>
                <w:sz w:val="24"/>
                <w:szCs w:val="24"/>
              </w:rPr>
              <w:t>厂区及周边污染土壤进行治理。</w:t>
            </w:r>
            <w:r>
              <w:rPr>
                <w:rFonts w:hAnsi="宋体"/>
                <w:color w:val="auto"/>
                <w:sz w:val="24"/>
              </w:rPr>
              <w:t>根据平江县城关镇规划，原</w:t>
            </w:r>
            <w:r>
              <w:rPr>
                <w:rFonts w:hint="eastAsia" w:hAnsi="宋体"/>
                <w:color w:val="auto"/>
                <w:sz w:val="24"/>
              </w:rPr>
              <w:t>平江县原三阳乡化学农药厂厂区及附近区域均被规划为居民用地。</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int="eastAsia" w:hAnsi="宋体" w:eastAsia="宋体"/>
                <w:color w:val="auto"/>
                <w:sz w:val="24"/>
                <w:lang w:eastAsia="zh-CN"/>
              </w:rPr>
            </w:pPr>
            <w:r>
              <w:rPr>
                <w:rFonts w:hint="eastAsia" w:hAnsi="宋体"/>
                <w:color w:val="auto"/>
                <w:sz w:val="24"/>
                <w:lang w:eastAsia="zh-CN"/>
              </w:rPr>
              <w:t>（</w:t>
            </w:r>
            <w:r>
              <w:rPr>
                <w:rFonts w:hint="eastAsia" w:hAnsi="宋体"/>
                <w:color w:val="auto"/>
                <w:sz w:val="24"/>
                <w:lang w:val="en-US" w:eastAsia="zh-CN"/>
              </w:rPr>
              <w:t>2</w:t>
            </w:r>
            <w:r>
              <w:rPr>
                <w:rFonts w:hint="eastAsia" w:hAnsi="宋体"/>
                <w:color w:val="auto"/>
                <w:sz w:val="24"/>
                <w:lang w:eastAsia="zh-CN"/>
              </w:rPr>
              <w:t>）项目由来</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lang w:val="zh-TW"/>
              </w:rPr>
            </w:pPr>
            <w:r>
              <w:rPr>
                <w:rFonts w:hAnsi="宋体"/>
                <w:color w:val="auto"/>
                <w:sz w:val="24"/>
              </w:rPr>
              <w:t>随着经济发展和城镇建设速度的加快，土地用地性质的变更越来越频繁，</w:t>
            </w:r>
            <w:r>
              <w:rPr>
                <w:rFonts w:hAnsi="宋体"/>
                <w:color w:val="auto"/>
                <w:sz w:val="24"/>
                <w:lang w:val="zh-TW"/>
              </w:rPr>
              <w:t>许多原有的工业用地被逐步开发为居住用地、商业或娱乐、公园用地。工业企业遗留的环境问题不仅可能对土壤、地下水等造成一定影响，而且可能危害到群众健康安全。《关于加强环境保护重点工作的意见》（国发〔</w:t>
            </w:r>
            <w:r>
              <w:rPr>
                <w:color w:val="auto"/>
                <w:sz w:val="24"/>
                <w:lang w:val="zh-TW"/>
              </w:rPr>
              <w:t>2011</w:t>
            </w:r>
            <w:r>
              <w:rPr>
                <w:rFonts w:hAnsi="宋体"/>
                <w:color w:val="auto"/>
                <w:sz w:val="24"/>
                <w:lang w:val="zh-TW"/>
              </w:rPr>
              <w:t>〕</w:t>
            </w:r>
            <w:r>
              <w:rPr>
                <w:color w:val="auto"/>
                <w:sz w:val="24"/>
                <w:lang w:val="zh-TW"/>
              </w:rPr>
              <w:t>35</w:t>
            </w:r>
            <w:r>
              <w:rPr>
                <w:rFonts w:hAnsi="宋体"/>
                <w:color w:val="auto"/>
                <w:sz w:val="24"/>
                <w:lang w:val="zh-TW"/>
              </w:rPr>
              <w:t>号）中提出</w:t>
            </w:r>
            <w:r>
              <w:rPr>
                <w:color w:val="auto"/>
                <w:sz w:val="24"/>
                <w:lang w:val="zh-TW"/>
              </w:rPr>
              <w:t>“</w:t>
            </w:r>
            <w:r>
              <w:rPr>
                <w:rFonts w:hAnsi="宋体"/>
                <w:color w:val="auto"/>
                <w:sz w:val="24"/>
                <w:lang w:val="zh-TW"/>
              </w:rPr>
              <w:t>被污染场地再次进行开发利用的，应进行环境评估和无害化治理</w:t>
            </w:r>
            <w:r>
              <w:rPr>
                <w:color w:val="auto"/>
                <w:sz w:val="24"/>
                <w:lang w:val="zh-TW"/>
              </w:rPr>
              <w:t>”</w:t>
            </w:r>
            <w:r>
              <w:rPr>
                <w:rFonts w:hAnsi="宋体"/>
                <w:color w:val="auto"/>
                <w:sz w:val="24"/>
                <w:lang w:val="zh-TW"/>
              </w:rPr>
              <w:t>；《关于印发近期土壤环境保护和综合治理工作安排的通知》（国办发〔</w:t>
            </w:r>
            <w:r>
              <w:rPr>
                <w:color w:val="auto"/>
                <w:sz w:val="24"/>
                <w:lang w:val="zh-TW"/>
              </w:rPr>
              <w:t>2013</w:t>
            </w:r>
            <w:r>
              <w:rPr>
                <w:rFonts w:hAnsi="宋体"/>
                <w:color w:val="auto"/>
                <w:sz w:val="24"/>
                <w:lang w:val="zh-TW"/>
              </w:rPr>
              <w:t>〕</w:t>
            </w:r>
            <w:r>
              <w:rPr>
                <w:color w:val="auto"/>
                <w:sz w:val="24"/>
                <w:lang w:val="zh-TW"/>
              </w:rPr>
              <w:t>7</w:t>
            </w:r>
            <w:r>
              <w:rPr>
                <w:rFonts w:hAnsi="宋体"/>
                <w:color w:val="auto"/>
                <w:sz w:val="24"/>
                <w:lang w:val="zh-TW"/>
              </w:rPr>
              <w:t>号）中提出</w:t>
            </w:r>
            <w:r>
              <w:rPr>
                <w:color w:val="auto"/>
                <w:sz w:val="24"/>
                <w:lang w:val="zh-TW"/>
              </w:rPr>
              <w:t>“</w:t>
            </w:r>
            <w:r>
              <w:rPr>
                <w:rFonts w:hAnsi="宋体"/>
                <w:color w:val="auto"/>
                <w:sz w:val="24"/>
                <w:lang w:val="zh-TW"/>
              </w:rPr>
              <w:t>到</w:t>
            </w:r>
            <w:r>
              <w:rPr>
                <w:color w:val="auto"/>
                <w:sz w:val="24"/>
                <w:lang w:val="zh-TW"/>
              </w:rPr>
              <w:t>2015</w:t>
            </w:r>
            <w:r>
              <w:rPr>
                <w:rFonts w:hAnsi="宋体"/>
                <w:color w:val="auto"/>
                <w:sz w:val="24"/>
                <w:lang w:val="zh-TW"/>
              </w:rPr>
              <w:t>年，全面摸清我国土壤环境状况</w:t>
            </w:r>
            <w:r>
              <w:rPr>
                <w:color w:val="auto"/>
                <w:sz w:val="24"/>
                <w:lang w:val="zh-TW"/>
              </w:rPr>
              <w:t>”</w:t>
            </w:r>
            <w:r>
              <w:rPr>
                <w:rFonts w:hAnsi="宋体"/>
                <w:color w:val="auto"/>
                <w:sz w:val="24"/>
                <w:lang w:val="zh-TW"/>
              </w:rPr>
              <w:t>，</w:t>
            </w:r>
            <w:r>
              <w:rPr>
                <w:color w:val="auto"/>
                <w:sz w:val="24"/>
                <w:lang w:val="zh-TW"/>
              </w:rPr>
              <w:t>“</w:t>
            </w:r>
            <w:r>
              <w:rPr>
                <w:rFonts w:hAnsi="宋体"/>
                <w:color w:val="auto"/>
                <w:sz w:val="24"/>
                <w:lang w:val="zh-TW"/>
              </w:rPr>
              <w:t>强化被污染土壤的环境风险控制</w:t>
            </w:r>
            <w:r>
              <w:rPr>
                <w:color w:val="auto"/>
                <w:sz w:val="24"/>
                <w:lang w:val="zh-TW"/>
              </w:rPr>
              <w:t>”</w:t>
            </w:r>
            <w:r>
              <w:rPr>
                <w:rFonts w:hAnsi="宋体"/>
                <w:color w:val="auto"/>
                <w:sz w:val="24"/>
                <w:lang w:val="zh-TW"/>
              </w:rPr>
              <w:t>，已被污染地块改变用途或变更使用权人的，应严格按照有关规定开展土壤环境风险评估，并对土壤环境进行治理修复</w:t>
            </w:r>
            <w:r>
              <w:rPr>
                <w:color w:val="auto"/>
                <w:sz w:val="24"/>
                <w:lang w:val="zh-TW"/>
              </w:rPr>
              <w:t>”</w:t>
            </w:r>
            <w:r>
              <w:rPr>
                <w:rFonts w:hAnsi="宋体"/>
                <w:color w:val="auto"/>
                <w:sz w:val="24"/>
                <w:lang w:val="zh-TW"/>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Ansi="宋体"/>
                <w:color w:val="auto"/>
                <w:sz w:val="24"/>
                <w:lang w:val="zh-TW"/>
              </w:rPr>
            </w:pPr>
            <w:r>
              <w:rPr>
                <w:rFonts w:hAnsi="宋体"/>
                <w:color w:val="auto"/>
                <w:sz w:val="24"/>
                <w:lang w:val="zh-TW"/>
              </w:rPr>
              <w:t>《关于印发土壤污染防治行动计划的通知》（国发〔</w:t>
            </w:r>
            <w:r>
              <w:rPr>
                <w:color w:val="auto"/>
                <w:sz w:val="24"/>
                <w:lang w:val="zh-TW"/>
              </w:rPr>
              <w:t>2016</w:t>
            </w:r>
            <w:r>
              <w:rPr>
                <w:rFonts w:hAnsi="宋体"/>
                <w:color w:val="auto"/>
                <w:sz w:val="24"/>
                <w:lang w:val="zh-TW"/>
              </w:rPr>
              <w:t>〕</w:t>
            </w:r>
            <w:r>
              <w:rPr>
                <w:color w:val="auto"/>
                <w:sz w:val="24"/>
                <w:lang w:val="zh-TW"/>
              </w:rPr>
              <w:t>31</w:t>
            </w:r>
            <w:r>
              <w:rPr>
                <w:rFonts w:hAnsi="宋体"/>
                <w:color w:val="auto"/>
                <w:sz w:val="24"/>
                <w:lang w:val="zh-TW"/>
              </w:rPr>
              <w:t>号）中出台了《土壤污染防治行动计划》，其总体目标为到</w:t>
            </w:r>
            <w:r>
              <w:rPr>
                <w:color w:val="auto"/>
                <w:sz w:val="24"/>
                <w:lang w:val="zh-TW"/>
              </w:rPr>
              <w:t>2020</w:t>
            </w:r>
            <w:r>
              <w:rPr>
                <w:rFonts w:hAnsi="宋体"/>
                <w:color w:val="auto"/>
                <w:sz w:val="24"/>
                <w:lang w:val="zh-TW"/>
              </w:rPr>
              <w:t>年，全国土壤污染加重趋势得到初步遏制，土壤环境质量总体保持稳定，农用地和建设用地土壤环境安全得到基本保障，土壤环境风险得到基本管控。到</w:t>
            </w:r>
            <w:r>
              <w:rPr>
                <w:color w:val="auto"/>
                <w:sz w:val="24"/>
                <w:lang w:val="zh-TW"/>
              </w:rPr>
              <w:t>2030</w:t>
            </w:r>
            <w:r>
              <w:rPr>
                <w:rFonts w:hAnsi="宋体"/>
                <w:color w:val="auto"/>
                <w:sz w:val="24"/>
                <w:lang w:val="zh-TW"/>
              </w:rPr>
              <w:t>年，全国土壤环境质量稳中向好，农用地和建设用地土壤环境安全得到有效保障，土壤环境风险得到全面管控。到本世纪中叶，土壤环境质量全面改善，生态系统实现良性循环。</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ascii="Times New Roman" w:hAnsi="宋体" w:eastAsia="宋体" w:cs="Times New Roman"/>
                <w:color w:val="auto"/>
                <w:kern w:val="2"/>
                <w:sz w:val="24"/>
                <w:u w:val="single"/>
                <w:lang w:val="en-US" w:eastAsia="zh-CN" w:bidi="ar-SA"/>
              </w:rPr>
            </w:pPr>
            <w:r>
              <w:rPr>
                <w:rFonts w:hint="eastAsia" w:ascii="Times New Roman" w:hAnsi="宋体" w:eastAsia="宋体" w:cs="Times New Roman"/>
                <w:color w:val="auto"/>
                <w:kern w:val="2"/>
                <w:sz w:val="24"/>
                <w:u w:val="single"/>
                <w:lang w:val="en-US" w:eastAsia="zh-CN" w:bidi="ar-SA"/>
              </w:rPr>
              <w:t>（3）项目的必要性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auto"/>
                <w:sz w:val="24"/>
                <w:u w:val="single"/>
              </w:rPr>
            </w:pPr>
            <w:r>
              <w:rPr>
                <w:rFonts w:hint="eastAsia"/>
                <w:color w:val="auto"/>
                <w:sz w:val="24"/>
                <w:u w:val="single"/>
              </w:rPr>
              <w:t>2013年7月，国务院办公厅发布了关于印发《近期土壤环境保护和综合治理工作安排》（国办发[2013]7）的通知，提出力争到2020年，建成国家环境保护体系，使全国土壤环境质量得到明显改善，并以大中城市周边、集中污染治理设施周边、废弃物堆存场地等为重点，开展土壤修复治理与修复试点示范。随后，国家环境保护部发布了关于贯彻落实《国务院办公厅关于印发近期土壤环境保护和综合治理工作安排的通知》（环发[2013]46）的通知，并要求各地结合实际情况，按照</w:t>
            </w:r>
            <w:r>
              <w:rPr>
                <w:rFonts w:hint="eastAsia"/>
                <w:color w:val="auto"/>
                <w:sz w:val="24"/>
                <w:u w:val="single"/>
                <w:lang w:eastAsia="zh-CN"/>
              </w:rPr>
              <w:t>“</w:t>
            </w:r>
            <w:r>
              <w:rPr>
                <w:rFonts w:hint="eastAsia"/>
                <w:color w:val="auto"/>
                <w:sz w:val="24"/>
                <w:u w:val="single"/>
              </w:rPr>
              <w:t>风险可接受、技术可操作、经济可承受</w:t>
            </w:r>
            <w:r>
              <w:rPr>
                <w:rFonts w:hint="eastAsia"/>
                <w:color w:val="auto"/>
                <w:sz w:val="24"/>
                <w:u w:val="single"/>
                <w:lang w:eastAsia="zh-CN"/>
              </w:rPr>
              <w:t>”</w:t>
            </w:r>
            <w:r>
              <w:rPr>
                <w:rFonts w:hint="eastAsia"/>
                <w:color w:val="auto"/>
                <w:sz w:val="24"/>
                <w:u w:val="single"/>
              </w:rPr>
              <w:t>的原则，以被污染耕地和被污染地块为重点，实施土壤污染治理与修复试点示范项目，探索适合本地的土壤污染治理与修复技术。2016年，国家出台了《土壤污染防治行动计划》，提出到2020年，全国土壤污染加重趋势得到初步遏制，土壤环境质量总体保持稳定，农用地和建设用地土壤环境安全得到基本保障，土壤环境风险得到管控；到2030年，全国土壤环境质量稳中向好，农用地和建设用地土壤环境安全得到有效保障，土壤环境分析得到全面控制。</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int="eastAsia"/>
                <w:color w:val="auto"/>
                <w:sz w:val="24"/>
                <w:u w:val="single"/>
              </w:rPr>
            </w:pPr>
            <w:r>
              <w:rPr>
                <w:rFonts w:hint="eastAsia"/>
                <w:color w:val="auto"/>
                <w:sz w:val="24"/>
                <w:u w:val="single"/>
              </w:rPr>
              <w:t>由此可知，开展平江县原三阳乡化学农药厂污染土壤</w:t>
            </w:r>
            <w:r>
              <w:rPr>
                <w:rFonts w:hint="eastAsia"/>
                <w:color w:val="auto"/>
                <w:sz w:val="24"/>
                <w:u w:val="single"/>
                <w:lang w:eastAsia="zh-CN"/>
              </w:rPr>
              <w:t>治理</w:t>
            </w:r>
            <w:r>
              <w:rPr>
                <w:rFonts w:hint="eastAsia"/>
                <w:color w:val="auto"/>
                <w:sz w:val="24"/>
                <w:u w:val="single"/>
              </w:rPr>
              <w:t>项目是消除环境污染风险的需要、响应国家关于土壤污染治理相关政策的需要。开展该示范工程有助于起到示范作用，带动全省类似受有机物污染土壤的治理工作，为有机物污染土壤修复技术开展示范、试点应用和成效分析，为</w:t>
            </w:r>
            <w:r>
              <w:rPr>
                <w:rFonts w:hint="eastAsia"/>
                <w:color w:val="auto"/>
                <w:sz w:val="24"/>
                <w:u w:val="single"/>
                <w:lang w:eastAsia="zh-CN"/>
              </w:rPr>
              <w:t>“</w:t>
            </w:r>
            <w:r>
              <w:rPr>
                <w:rFonts w:hint="eastAsia"/>
                <w:color w:val="auto"/>
                <w:sz w:val="24"/>
                <w:u w:val="single"/>
              </w:rPr>
              <w:t>十三五</w:t>
            </w:r>
            <w:r>
              <w:rPr>
                <w:rFonts w:hint="eastAsia"/>
                <w:color w:val="auto"/>
                <w:sz w:val="24"/>
                <w:u w:val="single"/>
                <w:lang w:eastAsia="zh-CN"/>
              </w:rPr>
              <w:t>”</w:t>
            </w:r>
            <w:r>
              <w:rPr>
                <w:rFonts w:hint="eastAsia"/>
                <w:color w:val="auto"/>
                <w:sz w:val="24"/>
                <w:u w:val="single"/>
              </w:rPr>
              <w:t>期间有机物污染大规模环境修复奠定技术基础。</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right="0" w:rightChars="0" w:firstLine="480" w:firstLineChars="200"/>
              <w:jc w:val="both"/>
              <w:textAlignment w:val="auto"/>
              <w:outlineLvl w:val="9"/>
              <w:rPr>
                <w:rFonts w:hint="eastAsia"/>
                <w:color w:val="auto"/>
                <w:sz w:val="24"/>
                <w:lang w:eastAsia="zh-CN"/>
              </w:rPr>
            </w:pPr>
            <w:r>
              <w:rPr>
                <w:rFonts w:hint="eastAsia"/>
                <w:color w:val="auto"/>
                <w:sz w:val="24"/>
                <w:lang w:eastAsia="zh-CN"/>
              </w:rPr>
              <w:t>项目前期工作</w:t>
            </w:r>
          </w:p>
          <w:p>
            <w:pPr>
              <w:spacing w:line="360" w:lineRule="auto"/>
              <w:ind w:firstLine="480" w:firstLineChars="200"/>
              <w:rPr>
                <w:color w:val="auto"/>
                <w:sz w:val="24"/>
                <w:szCs w:val="24"/>
                <w:u w:val="single"/>
              </w:rPr>
            </w:pPr>
            <w:r>
              <w:rPr>
                <w:rFonts w:hint="eastAsia"/>
                <w:color w:val="auto"/>
                <w:sz w:val="24"/>
                <w:szCs w:val="24"/>
                <w:u w:val="single"/>
                <w:lang w:eastAsia="zh-CN"/>
              </w:rPr>
              <w:t>根据建设单位提供的资料可知，核工业岳阳建设工程有限公司于</w:t>
            </w:r>
            <w:r>
              <w:rPr>
                <w:rFonts w:hint="eastAsia"/>
                <w:color w:val="auto"/>
                <w:sz w:val="24"/>
                <w:szCs w:val="24"/>
                <w:u w:val="single"/>
                <w:lang w:val="en-US" w:eastAsia="zh-CN"/>
              </w:rPr>
              <w:t>2016年11月完成了《</w:t>
            </w:r>
            <w:r>
              <w:rPr>
                <w:rFonts w:hint="eastAsia"/>
                <w:color w:val="auto"/>
                <w:sz w:val="24"/>
                <w:u w:val="single"/>
              </w:rPr>
              <w:t>平江县原三阳乡化学农药厂</w:t>
            </w:r>
            <w:r>
              <w:rPr>
                <w:rFonts w:hint="eastAsia"/>
                <w:color w:val="auto"/>
                <w:sz w:val="24"/>
                <w:u w:val="single"/>
                <w:lang w:eastAsia="zh-CN"/>
              </w:rPr>
              <w:t>污染场地土壤与地下水环境质量调查报告</w:t>
            </w:r>
            <w:r>
              <w:rPr>
                <w:rFonts w:hint="eastAsia"/>
                <w:color w:val="auto"/>
                <w:sz w:val="24"/>
                <w:szCs w:val="24"/>
                <w:u w:val="single"/>
                <w:lang w:val="en-US" w:eastAsia="zh-CN"/>
              </w:rPr>
              <w:t>》的编制工作</w:t>
            </w:r>
            <w:r>
              <w:rPr>
                <w:rFonts w:hint="eastAsia"/>
                <w:color w:val="auto"/>
                <w:sz w:val="24"/>
                <w:szCs w:val="24"/>
                <w:u w:val="single"/>
                <w:lang w:eastAsia="zh-CN"/>
              </w:rPr>
              <w:t>，湖南华弘检测有限公司于</w:t>
            </w:r>
            <w:r>
              <w:rPr>
                <w:color w:val="auto"/>
                <w:sz w:val="24"/>
                <w:szCs w:val="24"/>
                <w:u w:val="single"/>
              </w:rPr>
              <w:t>2017</w:t>
            </w:r>
            <w:r>
              <w:rPr>
                <w:rFonts w:hint="eastAsia" w:cs="宋体"/>
                <w:color w:val="auto"/>
                <w:sz w:val="24"/>
                <w:szCs w:val="24"/>
                <w:u w:val="single"/>
              </w:rPr>
              <w:t>年</w:t>
            </w:r>
            <w:r>
              <w:rPr>
                <w:rFonts w:hint="eastAsia" w:cs="宋体"/>
                <w:color w:val="auto"/>
                <w:sz w:val="24"/>
                <w:szCs w:val="24"/>
                <w:u w:val="single"/>
                <w:lang w:val="en-US" w:eastAsia="zh-CN"/>
              </w:rPr>
              <w:t>2</w:t>
            </w:r>
            <w:r>
              <w:rPr>
                <w:rFonts w:hint="eastAsia" w:cs="宋体"/>
                <w:color w:val="auto"/>
                <w:sz w:val="24"/>
                <w:szCs w:val="24"/>
                <w:u w:val="single"/>
              </w:rPr>
              <w:t>月完成了《</w:t>
            </w:r>
            <w:r>
              <w:rPr>
                <w:rFonts w:hint="eastAsia"/>
                <w:color w:val="auto"/>
                <w:sz w:val="24"/>
                <w:u w:val="single"/>
              </w:rPr>
              <w:t>平江县原三阳乡化学农药厂污染土壤</w:t>
            </w:r>
            <w:r>
              <w:rPr>
                <w:rFonts w:hint="eastAsia"/>
                <w:color w:val="auto"/>
                <w:sz w:val="24"/>
                <w:u w:val="single"/>
                <w:lang w:eastAsia="zh-CN"/>
              </w:rPr>
              <w:t>治理</w:t>
            </w:r>
            <w:r>
              <w:rPr>
                <w:rFonts w:hint="eastAsia"/>
                <w:color w:val="auto"/>
                <w:sz w:val="24"/>
                <w:u w:val="single"/>
              </w:rPr>
              <w:t>项目</w:t>
            </w:r>
            <w:r>
              <w:rPr>
                <w:rFonts w:hint="eastAsia"/>
                <w:color w:val="auto"/>
                <w:sz w:val="24"/>
                <w:u w:val="single"/>
                <w:lang w:val="en-US" w:eastAsia="zh-CN"/>
              </w:rPr>
              <w:t>---场地调查报告</w:t>
            </w:r>
            <w:r>
              <w:rPr>
                <w:rFonts w:hint="eastAsia" w:cs="宋体"/>
                <w:color w:val="auto"/>
                <w:sz w:val="24"/>
                <w:szCs w:val="24"/>
                <w:u w:val="single"/>
              </w:rPr>
              <w:t>》</w:t>
            </w:r>
            <w:r>
              <w:rPr>
                <w:rFonts w:hint="eastAsia" w:cs="宋体"/>
                <w:color w:val="auto"/>
                <w:sz w:val="24"/>
                <w:szCs w:val="24"/>
                <w:u w:val="single"/>
                <w:lang w:eastAsia="zh-CN"/>
              </w:rPr>
              <w:t>（以下简称“场地调查报告”）、</w:t>
            </w:r>
            <w:r>
              <w:rPr>
                <w:rFonts w:hint="eastAsia" w:cs="宋体"/>
                <w:color w:val="auto"/>
                <w:sz w:val="24"/>
                <w:szCs w:val="24"/>
                <w:u w:val="single"/>
              </w:rPr>
              <w:t>《</w:t>
            </w:r>
            <w:r>
              <w:rPr>
                <w:rFonts w:hint="eastAsia"/>
                <w:color w:val="auto"/>
                <w:sz w:val="24"/>
                <w:u w:val="single"/>
              </w:rPr>
              <w:t>平江县原三阳乡化学农药厂污染土壤</w:t>
            </w:r>
            <w:r>
              <w:rPr>
                <w:rFonts w:hint="eastAsia"/>
                <w:color w:val="auto"/>
                <w:sz w:val="24"/>
                <w:u w:val="single"/>
                <w:lang w:eastAsia="zh-CN"/>
              </w:rPr>
              <w:t>治理</w:t>
            </w:r>
            <w:r>
              <w:rPr>
                <w:rFonts w:hint="eastAsia"/>
                <w:color w:val="auto"/>
                <w:sz w:val="24"/>
                <w:u w:val="single"/>
              </w:rPr>
              <w:t>项目</w:t>
            </w:r>
            <w:r>
              <w:rPr>
                <w:rFonts w:hint="eastAsia"/>
                <w:color w:val="auto"/>
                <w:sz w:val="24"/>
                <w:u w:val="single"/>
                <w:lang w:val="en-US" w:eastAsia="zh-CN"/>
              </w:rPr>
              <w:t>---实施方案</w:t>
            </w:r>
            <w:r>
              <w:rPr>
                <w:rFonts w:hint="eastAsia" w:cs="宋体"/>
                <w:color w:val="auto"/>
                <w:sz w:val="24"/>
                <w:szCs w:val="24"/>
                <w:u w:val="single"/>
              </w:rPr>
              <w:t>》</w:t>
            </w:r>
            <w:r>
              <w:rPr>
                <w:rFonts w:hint="eastAsia" w:cs="宋体"/>
                <w:color w:val="auto"/>
                <w:sz w:val="24"/>
                <w:szCs w:val="24"/>
                <w:u w:val="single"/>
                <w:lang w:eastAsia="zh-CN"/>
              </w:rPr>
              <w:t>（以下简称“实施方案”）的编制工作，其中</w:t>
            </w:r>
            <w:r>
              <w:rPr>
                <w:rFonts w:hint="eastAsia" w:cs="宋体"/>
                <w:color w:val="auto"/>
                <w:sz w:val="24"/>
                <w:szCs w:val="24"/>
                <w:u w:val="single"/>
                <w:lang w:val="en-US" w:eastAsia="zh-CN"/>
              </w:rPr>
              <w:t>2017年3月28日湖南省环境保护厅在长沙市组织召开了《</w:t>
            </w:r>
            <w:r>
              <w:rPr>
                <w:rFonts w:hint="eastAsia" w:cs="宋体"/>
                <w:color w:val="auto"/>
                <w:sz w:val="24"/>
                <w:szCs w:val="24"/>
                <w:u w:val="single"/>
                <w:lang w:eastAsia="zh-CN"/>
              </w:rPr>
              <w:t>场地调查报告》、《实施方案》技术评审会，</w:t>
            </w:r>
            <w:r>
              <w:rPr>
                <w:rFonts w:hint="eastAsia" w:cs="宋体"/>
                <w:color w:val="auto"/>
                <w:sz w:val="24"/>
                <w:szCs w:val="24"/>
                <w:u w:val="single"/>
                <w:lang w:val="en-US" w:eastAsia="zh-CN"/>
              </w:rPr>
              <w:t>均评审通过，也提出相关修改意见（详见附件）。</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Ansi="宋体"/>
                <w:color w:val="auto"/>
                <w:sz w:val="24"/>
              </w:rPr>
              <w:t>根据《中华人民共和国环境保护法》、《中华人民共和国环境影响评价法》、《建设项目环境保护管理条例》的有关要求，本项目需进行环境影响评价。根据《建设项目环境影响评价分类管理名录》（</w:t>
            </w:r>
            <w:r>
              <w:rPr>
                <w:color w:val="auto"/>
                <w:sz w:val="24"/>
              </w:rPr>
              <w:t>2017</w:t>
            </w:r>
            <w:r>
              <w:rPr>
                <w:rFonts w:hAnsi="宋体"/>
                <w:color w:val="auto"/>
                <w:sz w:val="24"/>
              </w:rPr>
              <w:t>年），本项目属于三十四环境治理业</w:t>
            </w:r>
            <w:r>
              <w:rPr>
                <w:color w:val="auto"/>
                <w:sz w:val="24"/>
              </w:rPr>
              <w:t xml:space="preserve"> 102</w:t>
            </w:r>
            <w:r>
              <w:rPr>
                <w:rFonts w:hAnsi="宋体"/>
                <w:color w:val="auto"/>
                <w:sz w:val="24"/>
              </w:rPr>
              <w:t>污染场地治理修复，需编制环境影响报告表。现</w:t>
            </w:r>
            <w:r>
              <w:rPr>
                <w:rFonts w:hint="eastAsia" w:hAnsi="宋体"/>
                <w:color w:val="auto"/>
                <w:sz w:val="24"/>
                <w:lang w:val="zh-TW"/>
              </w:rPr>
              <w:t>平江县原三阳乡化学农药厂</w:t>
            </w:r>
            <w:r>
              <w:rPr>
                <w:rFonts w:hAnsi="宋体"/>
                <w:color w:val="auto"/>
                <w:sz w:val="24"/>
              </w:rPr>
              <w:t>委托</w:t>
            </w:r>
            <w:r>
              <w:rPr>
                <w:rFonts w:hint="eastAsia" w:hAnsi="宋体"/>
                <w:color w:val="auto"/>
                <w:sz w:val="24"/>
              </w:rPr>
              <w:t>湖南汇恒环境保护科技发展有限公司</w:t>
            </w:r>
            <w:r>
              <w:rPr>
                <w:rFonts w:hAnsi="宋体"/>
                <w:color w:val="auto"/>
                <w:sz w:val="24"/>
              </w:rPr>
              <w:t>承担本项目的环境影响评价工作。我单位接受委托后，经现场踏勘，编制完成本报告表。</w:t>
            </w:r>
          </w:p>
          <w:p>
            <w:pPr>
              <w:keepNext w:val="0"/>
              <w:keepLines w:val="0"/>
              <w:pageBreakBefore w:val="0"/>
              <w:widowControl w:val="0"/>
              <w:kinsoku/>
              <w:wordWrap/>
              <w:overflowPunct/>
              <w:topLinePunct w:val="0"/>
              <w:bidi w:val="0"/>
              <w:adjustRightInd/>
              <w:snapToGrid/>
              <w:spacing w:line="360" w:lineRule="auto"/>
              <w:ind w:left="0" w:leftChars="0" w:right="0" w:rightChars="0"/>
              <w:jc w:val="both"/>
              <w:textAlignment w:val="auto"/>
              <w:outlineLvl w:val="9"/>
              <w:rPr>
                <w:rFonts w:hint="eastAsia"/>
                <w:b/>
                <w:color w:val="auto"/>
                <w:sz w:val="24"/>
                <w:szCs w:val="24"/>
                <w:u w:val="single"/>
                <w:lang w:val="en-US" w:eastAsia="zh-CN"/>
              </w:rPr>
            </w:pPr>
            <w:r>
              <w:rPr>
                <w:rFonts w:hint="eastAsia"/>
                <w:b/>
                <w:color w:val="auto"/>
                <w:sz w:val="24"/>
                <w:szCs w:val="24"/>
                <w:u w:val="single"/>
                <w:lang w:val="en-US" w:eastAsia="zh-CN"/>
              </w:rPr>
              <w:t>2、编制依据</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Times New Roman" w:hAnsi="Times New Roman" w:cs="Times New Roman"/>
                <w:b w:val="0"/>
                <w:bCs/>
                <w:color w:val="auto"/>
                <w:sz w:val="24"/>
                <w:szCs w:val="24"/>
                <w:u w:val="single"/>
              </w:rPr>
            </w:pPr>
            <w:r>
              <w:rPr>
                <w:rFonts w:hint="eastAsia" w:cs="Times New Roman"/>
                <w:b w:val="0"/>
                <w:bCs/>
                <w:color w:val="auto"/>
                <w:sz w:val="24"/>
                <w:szCs w:val="24"/>
                <w:u w:val="single"/>
                <w:lang w:val="en-US" w:eastAsia="zh-CN"/>
              </w:rPr>
              <w:t>1</w:t>
            </w:r>
            <w:r>
              <w:rPr>
                <w:rFonts w:hint="eastAsia" w:cs="Times New Roman"/>
                <w:b w:val="0"/>
                <w:bCs/>
                <w:color w:val="auto"/>
                <w:sz w:val="24"/>
                <w:szCs w:val="24"/>
                <w:u w:val="single"/>
                <w:lang w:eastAsia="zh-CN"/>
              </w:rPr>
              <w:t>）</w:t>
            </w:r>
            <w:r>
              <w:rPr>
                <w:rFonts w:hint="default" w:ascii="Times New Roman" w:hAnsi="Times New Roman" w:cs="Times New Roman"/>
                <w:b w:val="0"/>
                <w:bCs/>
                <w:color w:val="auto"/>
                <w:sz w:val="24"/>
                <w:szCs w:val="24"/>
                <w:u w:val="single"/>
              </w:rPr>
              <w:t>法律法规</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（1）《中华人民共和国环境保护法》，2015年1月1日；</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（2）《中华人民共和国环境影响评价法》，2016年9月1日；</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highlight w:val="yellow"/>
                <w:u w:val="single"/>
              </w:rPr>
            </w:pPr>
            <w:r>
              <w:rPr>
                <w:rFonts w:hint="default" w:ascii="Times New Roman" w:hAnsi="Times New Roman" w:cs="Times New Roman"/>
                <w:b w:val="0"/>
                <w:bCs/>
                <w:color w:val="auto"/>
                <w:sz w:val="24"/>
                <w:szCs w:val="24"/>
                <w:highlight w:val="none"/>
                <w:u w:val="single"/>
              </w:rPr>
              <w:t>（3）《中华人民共和国水污染防治法》，20</w:t>
            </w:r>
            <w:r>
              <w:rPr>
                <w:rFonts w:hint="eastAsia" w:ascii="Times New Roman" w:hAnsi="Times New Roman" w:cs="Times New Roman"/>
                <w:b w:val="0"/>
                <w:bCs/>
                <w:color w:val="auto"/>
                <w:sz w:val="24"/>
                <w:szCs w:val="24"/>
                <w:highlight w:val="none"/>
                <w:u w:val="single"/>
                <w:lang w:val="en-US" w:eastAsia="zh-CN"/>
              </w:rPr>
              <w:t>17</w:t>
            </w:r>
            <w:r>
              <w:rPr>
                <w:rFonts w:hint="default" w:ascii="Times New Roman" w:hAnsi="Times New Roman" w:cs="Times New Roman"/>
                <w:b w:val="0"/>
                <w:bCs/>
                <w:color w:val="auto"/>
                <w:sz w:val="24"/>
                <w:szCs w:val="24"/>
                <w:highlight w:val="none"/>
                <w:u w:val="single"/>
              </w:rPr>
              <w:t>年6月</w:t>
            </w:r>
            <w:r>
              <w:rPr>
                <w:rFonts w:hint="eastAsia" w:ascii="Times New Roman" w:hAnsi="Times New Roman" w:cs="Times New Roman"/>
                <w:b w:val="0"/>
                <w:bCs/>
                <w:color w:val="auto"/>
                <w:sz w:val="24"/>
                <w:szCs w:val="24"/>
                <w:highlight w:val="none"/>
                <w:u w:val="single"/>
                <w:lang w:val="en-US" w:eastAsia="zh-CN"/>
              </w:rPr>
              <w:t>27</w:t>
            </w:r>
            <w:r>
              <w:rPr>
                <w:rFonts w:hint="default" w:ascii="Times New Roman" w:hAnsi="Times New Roman" w:cs="Times New Roman"/>
                <w:b w:val="0"/>
                <w:bCs/>
                <w:color w:val="auto"/>
                <w:sz w:val="24"/>
                <w:szCs w:val="24"/>
                <w:highlight w:val="none"/>
                <w:u w:val="single"/>
              </w:rPr>
              <w:t>日</w:t>
            </w:r>
            <w:r>
              <w:rPr>
                <w:rFonts w:hint="eastAsia" w:ascii="Times New Roman" w:hAnsi="Times New Roman" w:cs="Times New Roman"/>
                <w:b w:val="0"/>
                <w:bCs/>
                <w:color w:val="auto"/>
                <w:sz w:val="24"/>
                <w:szCs w:val="24"/>
                <w:highlight w:val="none"/>
                <w:u w:val="single"/>
                <w:lang w:eastAsia="zh-CN"/>
              </w:rPr>
              <w:t>修订</w:t>
            </w:r>
            <w:r>
              <w:rPr>
                <w:rFonts w:hint="default" w:ascii="Times New Roman" w:hAnsi="Times New Roman" w:cs="Times New Roman"/>
                <w:b w:val="0"/>
                <w:bCs/>
                <w:color w:val="auto"/>
                <w:sz w:val="24"/>
                <w:szCs w:val="24"/>
                <w:highlight w:val="none"/>
                <w:u w:val="single"/>
              </w:rPr>
              <w:t>；</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（4）《中华人民共和国大气污染防治法》，2016年1月1日；</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（5）《中华人民共和国环境噪声污染防治法》，1997年3月1日；</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（6）《中华人民共和国固体废物污染环境防治法》，2016年</w:t>
            </w:r>
            <w:r>
              <w:rPr>
                <w:rFonts w:hint="eastAsia" w:ascii="Times New Roman" w:hAnsi="Times New Roman" w:cs="Times New Roman"/>
                <w:b w:val="0"/>
                <w:bCs/>
                <w:color w:val="auto"/>
                <w:sz w:val="24"/>
                <w:szCs w:val="24"/>
                <w:u w:val="single"/>
                <w:lang w:val="en-US" w:eastAsia="zh-CN"/>
              </w:rPr>
              <w:t>11月7日</w:t>
            </w:r>
            <w:r>
              <w:rPr>
                <w:rFonts w:hint="default" w:ascii="Times New Roman" w:hAnsi="Times New Roman" w:cs="Times New Roman"/>
                <w:b w:val="0"/>
                <w:bCs/>
                <w:color w:val="auto"/>
                <w:sz w:val="24"/>
                <w:szCs w:val="24"/>
                <w:u w:val="single"/>
              </w:rPr>
              <w:t>修正；</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w:t>
            </w:r>
            <w:r>
              <w:rPr>
                <w:rFonts w:hint="eastAsia" w:ascii="Times New Roman" w:hAnsi="Times New Roman" w:cs="Times New Roman"/>
                <w:b w:val="0"/>
                <w:bCs/>
                <w:color w:val="auto"/>
                <w:sz w:val="24"/>
                <w:szCs w:val="24"/>
                <w:u w:val="single"/>
                <w:lang w:val="en-US" w:eastAsia="zh-CN"/>
              </w:rPr>
              <w:t>7</w:t>
            </w:r>
            <w:r>
              <w:rPr>
                <w:rFonts w:hint="default" w:ascii="Times New Roman" w:hAnsi="Times New Roman" w:cs="Times New Roman"/>
                <w:b w:val="0"/>
                <w:bCs/>
                <w:color w:val="auto"/>
                <w:sz w:val="24"/>
                <w:szCs w:val="24"/>
                <w:u w:val="single"/>
              </w:rPr>
              <w:t>）《建设项目环境保护管理条例》，国务院令第</w:t>
            </w:r>
            <w:r>
              <w:rPr>
                <w:rFonts w:hint="eastAsia" w:ascii="Times New Roman" w:hAnsi="Times New Roman" w:cs="Times New Roman"/>
                <w:b w:val="0"/>
                <w:bCs/>
                <w:color w:val="auto"/>
                <w:sz w:val="24"/>
                <w:szCs w:val="24"/>
                <w:u w:val="single"/>
                <w:lang w:val="en-US" w:eastAsia="zh-CN"/>
              </w:rPr>
              <w:t>682</w:t>
            </w:r>
            <w:r>
              <w:rPr>
                <w:rFonts w:hint="default" w:ascii="Times New Roman" w:hAnsi="Times New Roman" w:cs="Times New Roman"/>
                <w:b w:val="0"/>
                <w:bCs/>
                <w:color w:val="auto"/>
                <w:sz w:val="24"/>
                <w:szCs w:val="24"/>
                <w:u w:val="single"/>
              </w:rPr>
              <w:t>号；</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w:t>
            </w:r>
            <w:r>
              <w:rPr>
                <w:rFonts w:hint="eastAsia" w:ascii="Times New Roman" w:hAnsi="Times New Roman" w:cs="Times New Roman"/>
                <w:b w:val="0"/>
                <w:bCs/>
                <w:color w:val="auto"/>
                <w:sz w:val="24"/>
                <w:szCs w:val="24"/>
                <w:u w:val="single"/>
                <w:lang w:val="en-US" w:eastAsia="zh-CN"/>
              </w:rPr>
              <w:t>8</w:t>
            </w:r>
            <w:r>
              <w:rPr>
                <w:rFonts w:hint="default" w:ascii="Times New Roman" w:hAnsi="Times New Roman" w:cs="Times New Roman"/>
                <w:b w:val="0"/>
                <w:bCs/>
                <w:color w:val="auto"/>
                <w:sz w:val="24"/>
                <w:szCs w:val="24"/>
                <w:u w:val="single"/>
              </w:rPr>
              <w:t>）《建设项目环境影响评价分类管理目录》，2017年9月1日；</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b w:val="0"/>
                <w:bCs/>
                <w:color w:val="auto"/>
                <w:sz w:val="24"/>
                <w:szCs w:val="24"/>
                <w:u w:val="single"/>
                <w:lang w:val="zh-CN"/>
              </w:rPr>
            </w:pPr>
            <w:r>
              <w:rPr>
                <w:rFonts w:hint="default" w:ascii="Times New Roman" w:hAnsi="Times New Roman" w:cs="Times New Roman"/>
                <w:b w:val="0"/>
                <w:bCs/>
                <w:color w:val="auto"/>
                <w:sz w:val="24"/>
                <w:szCs w:val="24"/>
                <w:u w:val="single"/>
              </w:rPr>
              <w:t>（</w:t>
            </w:r>
            <w:r>
              <w:rPr>
                <w:rFonts w:hint="eastAsia" w:ascii="Times New Roman" w:hAnsi="Times New Roman" w:cs="Times New Roman"/>
                <w:b w:val="0"/>
                <w:bCs/>
                <w:color w:val="auto"/>
                <w:sz w:val="24"/>
                <w:szCs w:val="24"/>
                <w:u w:val="single"/>
                <w:lang w:val="en-US" w:eastAsia="zh-CN"/>
              </w:rPr>
              <w:t>9</w:t>
            </w:r>
            <w:r>
              <w:rPr>
                <w:rFonts w:hint="default" w:ascii="Times New Roman" w:hAnsi="Times New Roman" w:cs="Times New Roman"/>
                <w:b w:val="0"/>
                <w:bCs/>
                <w:color w:val="auto"/>
                <w:sz w:val="24"/>
                <w:szCs w:val="24"/>
                <w:u w:val="single"/>
              </w:rPr>
              <w:t>）《产业结构调整指导目录</w:t>
            </w:r>
            <w:r>
              <w:rPr>
                <w:rFonts w:hint="default" w:ascii="Times New Roman" w:hAnsi="Times New Roman" w:cs="Times New Roman"/>
                <w:b w:val="0"/>
                <w:bCs/>
                <w:color w:val="auto"/>
                <w:sz w:val="24"/>
                <w:szCs w:val="24"/>
                <w:u w:val="single"/>
                <w:lang w:val="zh-CN"/>
              </w:rPr>
              <w:t>(2011年本)》（2013修正），中华人民共和国国家发展和改革委员会第21号令，2013年2月16日发布，2013年5月1日实施；</w:t>
            </w:r>
          </w:p>
          <w:p>
            <w:pPr>
              <w:pStyle w:val="16"/>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（1</w:t>
            </w:r>
            <w:r>
              <w:rPr>
                <w:rFonts w:hint="eastAsia" w:ascii="Times New Roman" w:hAnsi="Times New Roman" w:cs="Times New Roman"/>
                <w:b w:val="0"/>
                <w:bCs/>
                <w:color w:val="auto"/>
                <w:sz w:val="24"/>
                <w:szCs w:val="24"/>
                <w:u w:val="single"/>
                <w:lang w:val="en-US" w:eastAsia="zh-CN"/>
              </w:rPr>
              <w:t>0</w:t>
            </w:r>
            <w:r>
              <w:rPr>
                <w:rFonts w:hint="default" w:ascii="Times New Roman" w:hAnsi="Times New Roman" w:cs="Times New Roman"/>
                <w:b w:val="0"/>
                <w:bCs/>
                <w:color w:val="auto"/>
                <w:sz w:val="24"/>
                <w:szCs w:val="24"/>
                <w:u w:val="single"/>
              </w:rPr>
              <w:t>）《湖南省用水定额》（DB43T388-2014）；</w:t>
            </w:r>
          </w:p>
          <w:p>
            <w:pPr>
              <w:pStyle w:val="16"/>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（1</w:t>
            </w:r>
            <w:r>
              <w:rPr>
                <w:rFonts w:hint="eastAsia" w:ascii="Times New Roman" w:hAnsi="Times New Roman" w:cs="Times New Roman"/>
                <w:b w:val="0"/>
                <w:bCs/>
                <w:color w:val="auto"/>
                <w:sz w:val="24"/>
                <w:szCs w:val="24"/>
                <w:u w:val="single"/>
                <w:lang w:val="en-US" w:eastAsia="zh-CN"/>
              </w:rPr>
              <w:t>1</w:t>
            </w:r>
            <w:r>
              <w:rPr>
                <w:rFonts w:hint="default" w:ascii="Times New Roman" w:hAnsi="Times New Roman" w:cs="Times New Roman"/>
                <w:b w:val="0"/>
                <w:bCs/>
                <w:color w:val="auto"/>
                <w:sz w:val="24"/>
                <w:szCs w:val="24"/>
                <w:u w:val="single"/>
              </w:rPr>
              <w:t>）《湖南省环境保护条例》</w:t>
            </w:r>
            <w:r>
              <w:rPr>
                <w:rFonts w:hint="eastAsia" w:ascii="Times New Roman" w:hAnsi="Times New Roman" w:cs="Times New Roman"/>
                <w:b w:val="0"/>
                <w:bCs/>
                <w:color w:val="auto"/>
                <w:sz w:val="24"/>
                <w:szCs w:val="24"/>
                <w:u w:val="single"/>
                <w:lang w:eastAsia="zh-CN"/>
              </w:rPr>
              <w:t>，</w:t>
            </w:r>
            <w:r>
              <w:rPr>
                <w:rFonts w:hint="default" w:ascii="Times New Roman" w:hAnsi="Times New Roman" w:cs="Times New Roman"/>
                <w:b w:val="0"/>
                <w:bCs/>
                <w:color w:val="auto"/>
                <w:sz w:val="24"/>
                <w:szCs w:val="24"/>
                <w:u w:val="single"/>
              </w:rPr>
              <w:t>2013年</w:t>
            </w:r>
            <w:r>
              <w:rPr>
                <w:rFonts w:hint="eastAsia" w:ascii="Times New Roman" w:hAnsi="Times New Roman" w:cs="Times New Roman"/>
                <w:b w:val="0"/>
                <w:bCs/>
                <w:color w:val="auto"/>
                <w:sz w:val="24"/>
                <w:szCs w:val="24"/>
                <w:u w:val="single"/>
                <w:lang w:val="en-US" w:eastAsia="zh-CN"/>
              </w:rPr>
              <w:t>5月27日</w:t>
            </w:r>
            <w:r>
              <w:rPr>
                <w:rFonts w:hint="default" w:ascii="Times New Roman" w:hAnsi="Times New Roman" w:cs="Times New Roman"/>
                <w:b w:val="0"/>
                <w:bCs/>
                <w:color w:val="auto"/>
                <w:sz w:val="24"/>
                <w:szCs w:val="24"/>
                <w:u w:val="single"/>
              </w:rPr>
              <w:t>修订；</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（1</w:t>
            </w:r>
            <w:r>
              <w:rPr>
                <w:rFonts w:hint="eastAsia" w:ascii="Times New Roman" w:hAnsi="Times New Roman" w:cs="Times New Roman"/>
                <w:b w:val="0"/>
                <w:bCs/>
                <w:color w:val="auto"/>
                <w:sz w:val="24"/>
                <w:szCs w:val="24"/>
                <w:u w:val="single"/>
                <w:lang w:val="en-US" w:eastAsia="zh-CN"/>
              </w:rPr>
              <w:t>2</w:t>
            </w:r>
            <w:r>
              <w:rPr>
                <w:rFonts w:hint="default" w:ascii="Times New Roman" w:hAnsi="Times New Roman" w:cs="Times New Roman"/>
                <w:b w:val="0"/>
                <w:bCs/>
                <w:color w:val="auto"/>
                <w:sz w:val="24"/>
                <w:szCs w:val="24"/>
                <w:u w:val="single"/>
              </w:rPr>
              <w:t>）</w:t>
            </w:r>
            <w:r>
              <w:rPr>
                <w:rFonts w:hint="default" w:ascii="Times New Roman" w:hAnsi="Times New Roman" w:cs="Times New Roman"/>
                <w:b w:val="0"/>
                <w:bCs/>
                <w:color w:val="auto"/>
                <w:sz w:val="24"/>
                <w:szCs w:val="24"/>
                <w:u w:val="single"/>
                <w:lang w:val="zh-CN"/>
              </w:rPr>
              <w:t>《水污染防治行动计划》</w:t>
            </w:r>
            <w:r>
              <w:rPr>
                <w:rFonts w:hint="default" w:ascii="Times New Roman" w:hAnsi="Times New Roman" w:cs="Times New Roman"/>
                <w:b w:val="0"/>
                <w:bCs/>
                <w:color w:val="auto"/>
                <w:sz w:val="24"/>
                <w:szCs w:val="24"/>
                <w:u w:val="single"/>
              </w:rPr>
              <w:t>（国发[2015]17号）；</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（1</w:t>
            </w:r>
            <w:r>
              <w:rPr>
                <w:rFonts w:hint="eastAsia" w:ascii="Times New Roman" w:hAnsi="Times New Roman" w:cs="Times New Roman"/>
                <w:b w:val="0"/>
                <w:bCs/>
                <w:color w:val="auto"/>
                <w:sz w:val="24"/>
                <w:szCs w:val="24"/>
                <w:u w:val="single"/>
                <w:lang w:val="en-US" w:eastAsia="zh-CN"/>
              </w:rPr>
              <w:t>3</w:t>
            </w:r>
            <w:r>
              <w:rPr>
                <w:rFonts w:hint="default" w:ascii="Times New Roman" w:hAnsi="Times New Roman" w:cs="Times New Roman"/>
                <w:b w:val="0"/>
                <w:bCs/>
                <w:color w:val="auto"/>
                <w:sz w:val="24"/>
                <w:szCs w:val="24"/>
                <w:u w:val="single"/>
              </w:rPr>
              <w:t>）</w:t>
            </w:r>
            <w:r>
              <w:rPr>
                <w:rFonts w:hint="default" w:ascii="Times New Roman" w:hAnsi="Times New Roman" w:cs="Times New Roman"/>
                <w:b w:val="0"/>
                <w:bCs/>
                <w:color w:val="auto"/>
                <w:sz w:val="24"/>
                <w:szCs w:val="24"/>
                <w:u w:val="single"/>
                <w:lang w:val="zh-CN"/>
              </w:rPr>
              <w:t>《土壤污染防治行动计划》</w:t>
            </w:r>
            <w:r>
              <w:rPr>
                <w:rFonts w:hint="default" w:ascii="Times New Roman" w:hAnsi="Times New Roman" w:cs="Times New Roman"/>
                <w:b w:val="0"/>
                <w:bCs/>
                <w:color w:val="auto"/>
                <w:sz w:val="24"/>
                <w:szCs w:val="24"/>
                <w:u w:val="single"/>
              </w:rPr>
              <w:t>（国发[2016]31号）；</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（1</w:t>
            </w:r>
            <w:r>
              <w:rPr>
                <w:rFonts w:hint="eastAsia" w:ascii="Times New Roman" w:hAnsi="Times New Roman" w:cs="Times New Roman"/>
                <w:b w:val="0"/>
                <w:bCs/>
                <w:color w:val="auto"/>
                <w:sz w:val="24"/>
                <w:szCs w:val="24"/>
                <w:u w:val="single"/>
                <w:lang w:val="en-US" w:eastAsia="zh-CN"/>
              </w:rPr>
              <w:t>4</w:t>
            </w:r>
            <w:r>
              <w:rPr>
                <w:rFonts w:hint="default" w:ascii="Times New Roman" w:hAnsi="Times New Roman" w:cs="Times New Roman"/>
                <w:b w:val="0"/>
                <w:bCs/>
                <w:color w:val="auto"/>
                <w:sz w:val="24"/>
                <w:szCs w:val="24"/>
                <w:u w:val="single"/>
              </w:rPr>
              <w:t>）《</w:t>
            </w:r>
            <w:r>
              <w:rPr>
                <w:rFonts w:hint="default" w:ascii="Times New Roman" w:hAnsi="Times New Roman" w:cs="Times New Roman"/>
                <w:b w:val="0"/>
                <w:bCs/>
                <w:color w:val="auto"/>
                <w:sz w:val="24"/>
                <w:szCs w:val="24"/>
                <w:u w:val="single"/>
                <w:lang w:val="zh-CN"/>
              </w:rPr>
              <w:t>大气污染防治行动计划</w:t>
            </w:r>
            <w:r>
              <w:rPr>
                <w:rFonts w:hint="default" w:ascii="Times New Roman" w:hAnsi="Times New Roman" w:cs="Times New Roman"/>
                <w:b w:val="0"/>
                <w:bCs/>
                <w:color w:val="auto"/>
                <w:sz w:val="24"/>
                <w:szCs w:val="24"/>
                <w:u w:val="single"/>
              </w:rPr>
              <w:t>》（国发[2013]37号）；</w:t>
            </w:r>
          </w:p>
          <w:p>
            <w:pPr>
              <w:keepNext w:val="0"/>
              <w:keepLines w:val="0"/>
              <w:pageBreakBefore w:val="0"/>
              <w:widowControl/>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Times New Roman" w:hAnsi="Times New Roman" w:cs="Times New Roman"/>
                <w:b w:val="0"/>
                <w:bCs/>
                <w:color w:val="auto"/>
                <w:sz w:val="24"/>
                <w:szCs w:val="24"/>
                <w:u w:val="single"/>
                <w:lang w:eastAsia="zh-CN"/>
              </w:rPr>
            </w:pPr>
            <w:r>
              <w:rPr>
                <w:rFonts w:hint="default" w:ascii="Times New Roman" w:hAnsi="Times New Roman" w:cs="Times New Roman"/>
                <w:b w:val="0"/>
                <w:bCs/>
                <w:color w:val="auto"/>
                <w:sz w:val="24"/>
                <w:szCs w:val="24"/>
                <w:u w:val="single"/>
              </w:rPr>
              <w:t>（1</w:t>
            </w:r>
            <w:r>
              <w:rPr>
                <w:rFonts w:hint="eastAsia" w:ascii="Times New Roman" w:hAnsi="Times New Roman" w:cs="Times New Roman"/>
                <w:b w:val="0"/>
                <w:bCs/>
                <w:color w:val="auto"/>
                <w:sz w:val="24"/>
                <w:szCs w:val="24"/>
                <w:u w:val="single"/>
                <w:lang w:val="en-US" w:eastAsia="zh-CN"/>
              </w:rPr>
              <w:t>5</w:t>
            </w:r>
            <w:r>
              <w:rPr>
                <w:rFonts w:hint="default" w:ascii="Times New Roman" w:hAnsi="Times New Roman" w:cs="Times New Roman"/>
                <w:b w:val="0"/>
                <w:bCs/>
                <w:color w:val="auto"/>
                <w:sz w:val="24"/>
                <w:szCs w:val="24"/>
                <w:u w:val="single"/>
              </w:rPr>
              <w:t>）</w:t>
            </w:r>
            <w:r>
              <w:rPr>
                <w:rFonts w:hint="eastAsia" w:ascii="Times New Roman" w:hAnsi="Times New Roman" w:cs="Times New Roman"/>
                <w:b w:val="0"/>
                <w:bCs/>
                <w:color w:val="auto"/>
                <w:sz w:val="24"/>
                <w:szCs w:val="24"/>
                <w:u w:val="single"/>
                <w:lang w:eastAsia="zh-CN"/>
              </w:rPr>
              <w:t>关于印发《全国土壤污染状况评价技术规定》的通知（环发</w:t>
            </w:r>
            <w:r>
              <w:rPr>
                <w:rFonts w:hint="eastAsia" w:ascii="Times New Roman" w:hAnsi="Times New Roman" w:cs="Times New Roman"/>
                <w:b w:val="0"/>
                <w:bCs/>
                <w:color w:val="auto"/>
                <w:sz w:val="24"/>
                <w:szCs w:val="24"/>
                <w:u w:val="single"/>
                <w:lang w:val="en-US" w:eastAsia="zh-CN"/>
              </w:rPr>
              <w:t>[2008]39号</w:t>
            </w:r>
            <w:r>
              <w:rPr>
                <w:rFonts w:hint="eastAsia" w:ascii="Times New Roman" w:hAnsi="Times New Roman" w:cs="Times New Roman"/>
                <w:b w:val="0"/>
                <w:bCs/>
                <w:color w:val="auto"/>
                <w:sz w:val="24"/>
                <w:szCs w:val="24"/>
                <w:u w:val="single"/>
                <w:lang w:eastAsia="zh-CN"/>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b w:val="0"/>
                <w:bCs/>
                <w:color w:val="auto"/>
                <w:sz w:val="24"/>
                <w:szCs w:val="24"/>
                <w:u w:val="single"/>
              </w:rPr>
            </w:pPr>
            <w:r>
              <w:rPr>
                <w:rFonts w:hint="eastAsia" w:ascii="Times New Roman" w:hAnsi="Times New Roman" w:cs="Times New Roman"/>
                <w:b w:val="0"/>
                <w:bCs/>
                <w:color w:val="auto"/>
                <w:sz w:val="24"/>
                <w:szCs w:val="24"/>
                <w:u w:val="single"/>
                <w:lang w:eastAsia="zh-CN"/>
              </w:rPr>
              <w:t>（</w:t>
            </w:r>
            <w:r>
              <w:rPr>
                <w:rFonts w:hint="eastAsia" w:ascii="Times New Roman" w:hAnsi="Times New Roman" w:cs="Times New Roman"/>
                <w:b w:val="0"/>
                <w:bCs/>
                <w:color w:val="auto"/>
                <w:sz w:val="24"/>
                <w:szCs w:val="24"/>
                <w:u w:val="single"/>
                <w:lang w:val="en-US" w:eastAsia="zh-CN"/>
              </w:rPr>
              <w:t>16</w:t>
            </w:r>
            <w:r>
              <w:rPr>
                <w:rFonts w:hint="eastAsia" w:ascii="Times New Roman" w:hAnsi="Times New Roman" w:cs="Times New Roman"/>
                <w:b w:val="0"/>
                <w:bCs/>
                <w:color w:val="auto"/>
                <w:sz w:val="24"/>
                <w:szCs w:val="24"/>
                <w:u w:val="single"/>
                <w:lang w:eastAsia="zh-CN"/>
              </w:rPr>
              <w:t>）《污染场地土壤环境管理暂行办法》（环保部</w:t>
            </w:r>
            <w:r>
              <w:rPr>
                <w:rFonts w:hint="eastAsia" w:ascii="Times New Roman" w:hAnsi="Times New Roman" w:cs="Times New Roman"/>
                <w:b w:val="0"/>
                <w:bCs/>
                <w:color w:val="auto"/>
                <w:sz w:val="24"/>
                <w:szCs w:val="24"/>
                <w:u w:val="single"/>
                <w:lang w:val="en-US" w:eastAsia="zh-CN"/>
              </w:rPr>
              <w:t>2012年8月</w:t>
            </w:r>
            <w:r>
              <w:rPr>
                <w:rFonts w:hint="eastAsia" w:ascii="Times New Roman" w:hAnsi="Times New Roman" w:cs="Times New Roman"/>
                <w:b w:val="0"/>
                <w:bCs/>
                <w:color w:val="auto"/>
                <w:sz w:val="24"/>
                <w:szCs w:val="24"/>
                <w:u w:val="single"/>
                <w:lang w:eastAsia="zh-CN"/>
              </w:rPr>
              <w:t>）</w:t>
            </w:r>
          </w:p>
          <w:p>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2</w:t>
            </w:r>
            <w:r>
              <w:rPr>
                <w:rFonts w:hint="eastAsia" w:cs="Times New Roman"/>
                <w:b w:val="0"/>
                <w:bCs/>
                <w:color w:val="auto"/>
                <w:sz w:val="24"/>
                <w:szCs w:val="24"/>
                <w:u w:val="single"/>
                <w:lang w:eastAsia="zh-CN"/>
              </w:rPr>
              <w:t>）</w:t>
            </w:r>
            <w:r>
              <w:rPr>
                <w:rFonts w:hint="default" w:ascii="Times New Roman" w:hAnsi="Times New Roman" w:cs="Times New Roman"/>
                <w:b w:val="0"/>
                <w:bCs/>
                <w:color w:val="auto"/>
                <w:sz w:val="24"/>
                <w:szCs w:val="24"/>
                <w:u w:val="single"/>
              </w:rPr>
              <w:t>技术导则</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（1）《环境影响评价技术导则  总纲》（HJ2.1-2016）；</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（2）《环境影响评价技术导则  声环境》（HJ2.4-2009）；</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（3）《环境影响评价技术导则  大气环境》（HJ2.2-2008）；</w:t>
            </w:r>
          </w:p>
          <w:p>
            <w:pPr>
              <w:keepNext w:val="0"/>
              <w:keepLines w:val="0"/>
              <w:pageBreakBefore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（4）《环境影响评价技术导则  地面水环境》（HJ/T2.3-93）；</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val="0"/>
                <w:bCs/>
                <w:color w:val="auto"/>
                <w:sz w:val="24"/>
                <w:szCs w:val="24"/>
                <w:u w:val="single"/>
              </w:rPr>
            </w:pPr>
            <w:r>
              <w:rPr>
                <w:rFonts w:hint="default" w:ascii="Times New Roman" w:hAnsi="Times New Roman" w:cs="Times New Roman"/>
                <w:b w:val="0"/>
                <w:bCs/>
                <w:color w:val="auto"/>
                <w:sz w:val="24"/>
                <w:szCs w:val="24"/>
                <w:u w:val="single"/>
              </w:rPr>
              <w:t>（5）《环境影响评价技术导则  地下水环境》（HJ610-2016）；</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eastAsia" w:ascii="Times New Roman" w:hAnsi="Times New Roman" w:cs="Times New Roman"/>
                <w:b w:val="0"/>
                <w:bCs/>
                <w:color w:val="auto"/>
                <w:sz w:val="24"/>
                <w:szCs w:val="24"/>
                <w:u w:val="single"/>
                <w:lang w:eastAsia="zh-CN"/>
              </w:rPr>
            </w:pPr>
            <w:r>
              <w:rPr>
                <w:rFonts w:hint="default" w:ascii="Times New Roman" w:hAnsi="Times New Roman" w:cs="Times New Roman"/>
                <w:b w:val="0"/>
                <w:bCs/>
                <w:color w:val="auto"/>
                <w:sz w:val="24"/>
                <w:szCs w:val="24"/>
                <w:u w:val="single"/>
              </w:rPr>
              <w:t>（6）《环境影响评价技术导则  生态影响》（HJ19-2011）</w:t>
            </w:r>
            <w:r>
              <w:rPr>
                <w:rFonts w:hint="eastAsia" w:ascii="Times New Roman" w:hAnsi="Times New Roman" w:cs="Times New Roman"/>
                <w:b w:val="0"/>
                <w:bCs/>
                <w:color w:val="auto"/>
                <w:sz w:val="24"/>
                <w:szCs w:val="24"/>
                <w:u w:val="single"/>
                <w:lang w:eastAsia="zh-CN"/>
              </w:rPr>
              <w:t>；</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val="0"/>
                <w:bCs/>
                <w:color w:val="auto"/>
                <w:sz w:val="24"/>
                <w:szCs w:val="24"/>
                <w:u w:val="single"/>
              </w:rPr>
            </w:pPr>
            <w:r>
              <w:rPr>
                <w:rFonts w:hint="eastAsia" w:ascii="Times New Roman" w:hAnsi="Times New Roman" w:cs="Times New Roman"/>
                <w:b w:val="0"/>
                <w:bCs/>
                <w:color w:val="auto"/>
                <w:sz w:val="24"/>
                <w:szCs w:val="24"/>
                <w:u w:val="single"/>
                <w:lang w:eastAsia="zh-CN"/>
              </w:rPr>
              <w:t>（</w:t>
            </w:r>
            <w:r>
              <w:rPr>
                <w:rFonts w:hint="eastAsia" w:ascii="Times New Roman" w:hAnsi="Times New Roman" w:cs="Times New Roman"/>
                <w:b w:val="0"/>
                <w:bCs/>
                <w:color w:val="auto"/>
                <w:sz w:val="24"/>
                <w:szCs w:val="24"/>
                <w:u w:val="single"/>
                <w:lang w:val="en-US" w:eastAsia="zh-CN"/>
              </w:rPr>
              <w:t>7</w:t>
            </w:r>
            <w:r>
              <w:rPr>
                <w:rFonts w:hint="eastAsia" w:ascii="Times New Roman" w:hAnsi="Times New Roman" w:cs="Times New Roman"/>
                <w:b w:val="0"/>
                <w:bCs/>
                <w:color w:val="auto"/>
                <w:sz w:val="24"/>
                <w:szCs w:val="24"/>
                <w:u w:val="single"/>
                <w:lang w:eastAsia="zh-CN"/>
              </w:rPr>
              <w:t>）</w:t>
            </w:r>
            <w:r>
              <w:rPr>
                <w:rFonts w:hint="default" w:ascii="Times New Roman" w:hAnsi="Times New Roman" w:cs="Times New Roman"/>
                <w:b w:val="0"/>
                <w:bCs/>
                <w:color w:val="auto"/>
                <w:sz w:val="24"/>
                <w:szCs w:val="24"/>
                <w:u w:val="single"/>
              </w:rPr>
              <w:t xml:space="preserve">《环境影响评价技术导则  </w:t>
            </w:r>
            <w:r>
              <w:rPr>
                <w:rFonts w:hint="eastAsia" w:ascii="Times New Roman" w:hAnsi="Times New Roman" w:cs="Times New Roman"/>
                <w:b w:val="0"/>
                <w:bCs/>
                <w:color w:val="auto"/>
                <w:sz w:val="24"/>
                <w:szCs w:val="24"/>
                <w:u w:val="single"/>
                <w:lang w:eastAsia="zh-CN"/>
              </w:rPr>
              <w:t>土壤环境</w:t>
            </w:r>
            <w:r>
              <w:rPr>
                <w:rFonts w:hint="default" w:ascii="Times New Roman" w:hAnsi="Times New Roman" w:cs="Times New Roman"/>
                <w:b w:val="0"/>
                <w:bCs/>
                <w:color w:val="auto"/>
                <w:sz w:val="24"/>
                <w:szCs w:val="24"/>
                <w:u w:val="single"/>
              </w:rPr>
              <w:t>》（</w:t>
            </w:r>
            <w:r>
              <w:rPr>
                <w:rFonts w:hint="eastAsia" w:ascii="Times New Roman" w:hAnsi="Times New Roman" w:cs="Times New Roman"/>
                <w:b w:val="0"/>
                <w:bCs/>
                <w:color w:val="auto"/>
                <w:sz w:val="24"/>
                <w:szCs w:val="24"/>
                <w:u w:val="single"/>
                <w:lang w:eastAsia="zh-CN"/>
              </w:rPr>
              <w:t>征求意见稿</w:t>
            </w:r>
            <w:r>
              <w:rPr>
                <w:rFonts w:hint="default" w:ascii="Times New Roman" w:hAnsi="Times New Roman" w:cs="Times New Roman"/>
                <w:b w:val="0"/>
                <w:bCs/>
                <w:color w:val="auto"/>
                <w:sz w:val="24"/>
                <w:szCs w:val="24"/>
                <w:u w:val="single"/>
              </w:rPr>
              <w:t>）；</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val="0"/>
                <w:bCs/>
                <w:color w:val="auto"/>
                <w:sz w:val="24"/>
                <w:szCs w:val="24"/>
                <w:u w:val="single"/>
              </w:rPr>
            </w:pPr>
            <w:r>
              <w:rPr>
                <w:rFonts w:hint="eastAsia" w:ascii="Times New Roman" w:hAnsi="Times New Roman" w:cs="Times New Roman"/>
                <w:b w:val="0"/>
                <w:bCs/>
                <w:color w:val="auto"/>
                <w:sz w:val="24"/>
                <w:szCs w:val="24"/>
                <w:u w:val="single"/>
                <w:lang w:eastAsia="zh-CN"/>
              </w:rPr>
              <w:t>（</w:t>
            </w:r>
            <w:r>
              <w:rPr>
                <w:rFonts w:hint="eastAsia" w:ascii="Times New Roman" w:hAnsi="Times New Roman" w:cs="Times New Roman"/>
                <w:b w:val="0"/>
                <w:bCs/>
                <w:color w:val="auto"/>
                <w:sz w:val="24"/>
                <w:szCs w:val="24"/>
                <w:u w:val="single"/>
                <w:lang w:val="en-US" w:eastAsia="zh-CN"/>
              </w:rPr>
              <w:t>8</w:t>
            </w:r>
            <w:r>
              <w:rPr>
                <w:rFonts w:hint="eastAsia" w:ascii="Times New Roman" w:hAnsi="Times New Roman" w:cs="Times New Roman"/>
                <w:b w:val="0"/>
                <w:bCs/>
                <w:color w:val="auto"/>
                <w:sz w:val="24"/>
                <w:szCs w:val="24"/>
                <w:u w:val="single"/>
                <w:lang w:eastAsia="zh-CN"/>
              </w:rPr>
              <w:t>）</w:t>
            </w:r>
            <w:r>
              <w:rPr>
                <w:rFonts w:hint="default" w:ascii="Times New Roman" w:hAnsi="Times New Roman" w:cs="Times New Roman"/>
                <w:b w:val="0"/>
                <w:bCs/>
                <w:color w:val="auto"/>
                <w:sz w:val="24"/>
                <w:szCs w:val="24"/>
                <w:u w:val="single"/>
              </w:rPr>
              <w:t>《污染场地修复技术导则》（HJ25.4-2014）；</w:t>
            </w:r>
          </w:p>
          <w:p>
            <w:pPr>
              <w:keepNext w:val="0"/>
              <w:keepLines w:val="0"/>
              <w:pageBreakBefore w:val="0"/>
              <w:kinsoku/>
              <w:wordWrap/>
              <w:overflowPunct/>
              <w:topLinePunct w:val="0"/>
              <w:autoSpaceDE/>
              <w:autoSpaceDN/>
              <w:bidi w:val="0"/>
              <w:adjustRightInd/>
              <w:snapToGrid/>
              <w:spacing w:line="360" w:lineRule="auto"/>
              <w:ind w:right="0" w:rightChars="0" w:firstLine="480"/>
              <w:textAlignment w:val="auto"/>
              <w:outlineLvl w:val="9"/>
              <w:rPr>
                <w:rFonts w:hint="default" w:ascii="Times New Roman" w:hAnsi="Times New Roman" w:cs="Times New Roman"/>
                <w:b w:val="0"/>
                <w:bCs/>
                <w:color w:val="auto"/>
                <w:sz w:val="24"/>
                <w:szCs w:val="24"/>
                <w:u w:val="none"/>
              </w:rPr>
            </w:pPr>
            <w:r>
              <w:rPr>
                <w:rFonts w:hint="default" w:ascii="Times New Roman" w:hAnsi="Times New Roman" w:cs="Times New Roman"/>
                <w:b w:val="0"/>
                <w:bCs/>
                <w:color w:val="auto"/>
                <w:sz w:val="24"/>
                <w:szCs w:val="24"/>
                <w:u w:val="single"/>
              </w:rPr>
              <w:t>（</w:t>
            </w:r>
            <w:r>
              <w:rPr>
                <w:rFonts w:hint="eastAsia" w:ascii="Times New Roman" w:hAnsi="Times New Roman" w:cs="Times New Roman"/>
                <w:b w:val="0"/>
                <w:bCs/>
                <w:color w:val="auto"/>
                <w:sz w:val="24"/>
                <w:szCs w:val="24"/>
                <w:u w:val="single"/>
                <w:lang w:val="en-US" w:eastAsia="zh-CN"/>
              </w:rPr>
              <w:t>9</w:t>
            </w:r>
            <w:r>
              <w:rPr>
                <w:rFonts w:hint="default" w:ascii="Times New Roman" w:hAnsi="Times New Roman" w:cs="Times New Roman"/>
                <w:b w:val="0"/>
                <w:bCs/>
                <w:color w:val="auto"/>
                <w:sz w:val="24"/>
                <w:szCs w:val="24"/>
                <w:u w:val="single"/>
              </w:rPr>
              <w:t>）《污染场地风险评估技术导则》（HJ25.3-2014）。</w:t>
            </w:r>
          </w:p>
          <w:p>
            <w:pPr>
              <w:keepNext w:val="0"/>
              <w:keepLines w:val="0"/>
              <w:pageBreakBefore w:val="0"/>
              <w:widowControl w:val="0"/>
              <w:kinsoku/>
              <w:wordWrap/>
              <w:overflowPunct/>
              <w:topLinePunct w:val="0"/>
              <w:bidi w:val="0"/>
              <w:adjustRightInd/>
              <w:snapToGrid/>
              <w:spacing w:line="360" w:lineRule="auto"/>
              <w:ind w:right="0" w:rightChars="0"/>
              <w:jc w:val="both"/>
              <w:textAlignment w:val="auto"/>
              <w:outlineLvl w:val="9"/>
              <w:rPr>
                <w:rFonts w:hint="eastAsia" w:hAnsi="宋体"/>
                <w:b w:val="0"/>
                <w:bCs/>
                <w:color w:val="auto"/>
                <w:sz w:val="24"/>
              </w:rPr>
            </w:pPr>
            <w:r>
              <w:rPr>
                <w:rFonts w:hint="eastAsia" w:ascii="Times New Roman" w:hAnsi="Times New Roman" w:cs="Times New Roman"/>
                <w:b w:val="0"/>
                <w:bCs/>
                <w:color w:val="auto"/>
                <w:sz w:val="24"/>
                <w:szCs w:val="24"/>
                <w:u w:val="single"/>
                <w:lang w:val="en-US" w:eastAsia="zh-CN"/>
              </w:rPr>
              <w:t>3</w:t>
            </w:r>
            <w:r>
              <w:rPr>
                <w:rFonts w:hint="eastAsia" w:cs="Times New Roman"/>
                <w:b w:val="0"/>
                <w:bCs/>
                <w:color w:val="auto"/>
                <w:sz w:val="24"/>
                <w:szCs w:val="24"/>
                <w:u w:val="single"/>
                <w:lang w:val="en-US" w:eastAsia="zh-CN"/>
              </w:rPr>
              <w:t>）</w:t>
            </w:r>
            <w:r>
              <w:rPr>
                <w:rFonts w:hint="eastAsia" w:ascii="Times New Roman" w:hAnsi="Times New Roman" w:cs="Times New Roman"/>
                <w:b w:val="0"/>
                <w:bCs/>
                <w:color w:val="auto"/>
                <w:sz w:val="24"/>
                <w:szCs w:val="24"/>
                <w:u w:val="single"/>
                <w:lang w:val="en-US" w:eastAsia="zh-CN"/>
              </w:rPr>
              <w:t>其他依据</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b w:val="0"/>
                <w:bCs/>
                <w:color w:val="auto"/>
                <w:sz w:val="24"/>
                <w:szCs w:val="24"/>
              </w:rPr>
            </w:pPr>
            <w:r>
              <w:rPr>
                <w:rFonts w:hint="eastAsia" w:hAnsi="宋体"/>
                <w:b w:val="0"/>
                <w:bCs/>
                <w:color w:val="auto"/>
                <w:sz w:val="24"/>
              </w:rPr>
              <w:t>1、</w:t>
            </w:r>
            <w:r>
              <w:rPr>
                <w:rFonts w:hAnsi="宋体"/>
                <w:b w:val="0"/>
                <w:bCs/>
                <w:color w:val="auto"/>
                <w:sz w:val="24"/>
              </w:rPr>
              <w:t>《平江县三阳化学农药厂污染土壤治理项目场地调查报告》</w:t>
            </w:r>
            <w:r>
              <w:rPr>
                <w:b w:val="0"/>
                <w:bCs/>
                <w:color w:val="auto"/>
                <w:sz w:val="24"/>
              </w:rPr>
              <w:t>(湖南华弘检测</w:t>
            </w:r>
            <w:r>
              <w:rPr>
                <w:rFonts w:hAnsi="宋体"/>
                <w:b w:val="0"/>
                <w:bCs/>
                <w:color w:val="auto"/>
                <w:sz w:val="24"/>
              </w:rPr>
              <w:t>有限公司，</w:t>
            </w:r>
            <w:r>
              <w:rPr>
                <w:b w:val="0"/>
                <w:bCs/>
                <w:color w:val="auto"/>
                <w:sz w:val="24"/>
              </w:rPr>
              <w:t>2017</w:t>
            </w:r>
            <w:r>
              <w:rPr>
                <w:rFonts w:hAnsi="宋体"/>
                <w:b w:val="0"/>
                <w:bCs/>
                <w:color w:val="auto"/>
                <w:sz w:val="24"/>
              </w:rPr>
              <w:t>年</w:t>
            </w:r>
            <w:r>
              <w:rPr>
                <w:rFonts w:hint="eastAsia"/>
                <w:b w:val="0"/>
                <w:bCs/>
                <w:color w:val="auto"/>
                <w:sz w:val="24"/>
              </w:rPr>
              <w:t>2</w:t>
            </w:r>
            <w:r>
              <w:rPr>
                <w:rFonts w:hAnsi="宋体"/>
                <w:b w:val="0"/>
                <w:bCs/>
                <w:color w:val="auto"/>
                <w:sz w:val="24"/>
              </w:rPr>
              <w:t>月</w:t>
            </w:r>
            <w:r>
              <w:rPr>
                <w:b w:val="0"/>
                <w:bCs/>
                <w:color w:val="auto"/>
                <w:sz w:val="24"/>
              </w:rPr>
              <w:t>)</w:t>
            </w:r>
            <w:r>
              <w:rPr>
                <w:rFonts w:hint="eastAsia"/>
                <w:b w:val="0"/>
                <w:bCs/>
                <w:color w:val="auto"/>
                <w:sz w:val="24"/>
                <w:szCs w:val="24"/>
              </w:rPr>
              <w:t>及湖南省环保厅的审查意见；</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b w:val="0"/>
                <w:bCs/>
                <w:color w:val="auto"/>
                <w:sz w:val="24"/>
                <w:szCs w:val="24"/>
              </w:rPr>
            </w:pPr>
            <w:r>
              <w:rPr>
                <w:rFonts w:hint="eastAsia"/>
                <w:b w:val="0"/>
                <w:bCs/>
                <w:color w:val="auto"/>
                <w:sz w:val="24"/>
                <w:szCs w:val="24"/>
              </w:rPr>
              <w:t>2、</w:t>
            </w:r>
            <w:r>
              <w:rPr>
                <w:rFonts w:hAnsi="宋体"/>
                <w:b w:val="0"/>
                <w:bCs/>
                <w:color w:val="auto"/>
                <w:sz w:val="24"/>
              </w:rPr>
              <w:t>《平江县三阳化学农药厂污染土壤治理项目</w:t>
            </w:r>
            <w:r>
              <w:rPr>
                <w:rFonts w:hint="eastAsia" w:hAnsi="宋体"/>
                <w:b w:val="0"/>
                <w:bCs/>
                <w:color w:val="auto"/>
                <w:sz w:val="24"/>
              </w:rPr>
              <w:t>实施方案</w:t>
            </w:r>
            <w:r>
              <w:rPr>
                <w:rFonts w:hAnsi="宋体"/>
                <w:b w:val="0"/>
                <w:bCs/>
                <w:color w:val="auto"/>
                <w:sz w:val="24"/>
              </w:rPr>
              <w:t>》</w:t>
            </w:r>
            <w:r>
              <w:rPr>
                <w:b w:val="0"/>
                <w:bCs/>
                <w:color w:val="auto"/>
                <w:sz w:val="24"/>
              </w:rPr>
              <w:t>(湖南</w:t>
            </w:r>
            <w:r>
              <w:rPr>
                <w:rFonts w:hint="eastAsia"/>
                <w:b w:val="0"/>
                <w:bCs/>
                <w:color w:val="auto"/>
                <w:sz w:val="24"/>
              </w:rPr>
              <w:t>先瑞环境技术有限公司</w:t>
            </w:r>
            <w:r>
              <w:rPr>
                <w:rFonts w:hAnsi="宋体"/>
                <w:b w:val="0"/>
                <w:bCs/>
                <w:color w:val="auto"/>
                <w:sz w:val="24"/>
              </w:rPr>
              <w:t>有限公司，</w:t>
            </w:r>
            <w:r>
              <w:rPr>
                <w:b w:val="0"/>
                <w:bCs/>
                <w:color w:val="auto"/>
                <w:sz w:val="24"/>
              </w:rPr>
              <w:t>2017</w:t>
            </w:r>
            <w:r>
              <w:rPr>
                <w:rFonts w:hAnsi="宋体"/>
                <w:b w:val="0"/>
                <w:bCs/>
                <w:color w:val="auto"/>
                <w:sz w:val="24"/>
              </w:rPr>
              <w:t>年</w:t>
            </w:r>
            <w:r>
              <w:rPr>
                <w:rFonts w:hint="eastAsia"/>
                <w:b w:val="0"/>
                <w:bCs/>
                <w:color w:val="auto"/>
                <w:sz w:val="24"/>
              </w:rPr>
              <w:t>2</w:t>
            </w:r>
            <w:r>
              <w:rPr>
                <w:rFonts w:hAnsi="宋体"/>
                <w:b w:val="0"/>
                <w:bCs/>
                <w:color w:val="auto"/>
                <w:sz w:val="24"/>
              </w:rPr>
              <w:t>月</w:t>
            </w:r>
            <w:r>
              <w:rPr>
                <w:b w:val="0"/>
                <w:bCs/>
                <w:color w:val="auto"/>
                <w:sz w:val="24"/>
              </w:rPr>
              <w:t>)</w:t>
            </w:r>
            <w:r>
              <w:rPr>
                <w:rFonts w:hint="eastAsia"/>
                <w:b w:val="0"/>
                <w:bCs/>
                <w:color w:val="auto"/>
                <w:sz w:val="24"/>
                <w:szCs w:val="24"/>
              </w:rPr>
              <w:t>及专家审查意见；</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Ansi="宋体"/>
                <w:b w:val="0"/>
                <w:bCs/>
                <w:color w:val="auto"/>
                <w:sz w:val="24"/>
              </w:rPr>
            </w:pPr>
            <w:r>
              <w:rPr>
                <w:rFonts w:hint="eastAsia"/>
                <w:b w:val="0"/>
                <w:bCs/>
                <w:color w:val="auto"/>
                <w:sz w:val="24"/>
              </w:rPr>
              <w:t>3、</w:t>
            </w:r>
            <w:r>
              <w:rPr>
                <w:rFonts w:hAnsi="宋体"/>
                <w:b w:val="0"/>
                <w:bCs/>
                <w:color w:val="auto"/>
                <w:sz w:val="24"/>
              </w:rPr>
              <w:t>《平江县三阳化学农药厂污染</w:t>
            </w:r>
            <w:r>
              <w:rPr>
                <w:rFonts w:hint="eastAsia" w:hAnsi="宋体"/>
                <w:b w:val="0"/>
                <w:bCs/>
                <w:color w:val="auto"/>
                <w:sz w:val="24"/>
              </w:rPr>
              <w:t>场地土壤与地下水环境质量调查报告</w:t>
            </w:r>
            <w:r>
              <w:rPr>
                <w:rFonts w:hAnsi="宋体"/>
                <w:b w:val="0"/>
                <w:bCs/>
                <w:color w:val="auto"/>
                <w:sz w:val="24"/>
              </w:rPr>
              <w:t>》</w:t>
            </w:r>
            <w:r>
              <w:rPr>
                <w:rFonts w:hint="eastAsia" w:hAnsi="宋体"/>
                <w:b w:val="0"/>
                <w:bCs/>
                <w:color w:val="auto"/>
                <w:sz w:val="24"/>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Ansi="宋体"/>
                <w:b w:val="0"/>
                <w:bCs/>
                <w:color w:val="auto"/>
                <w:sz w:val="24"/>
              </w:rPr>
            </w:pPr>
            <w:r>
              <w:rPr>
                <w:rFonts w:hint="eastAsia" w:hAnsi="宋体"/>
                <w:b w:val="0"/>
                <w:bCs/>
                <w:color w:val="auto"/>
                <w:sz w:val="24"/>
              </w:rPr>
              <w:t>4、平江县人民政府关于明确城关镇人民政府担任原</w:t>
            </w:r>
            <w:r>
              <w:rPr>
                <w:rFonts w:hAnsi="宋体"/>
                <w:b w:val="0"/>
                <w:bCs/>
                <w:color w:val="auto"/>
                <w:sz w:val="24"/>
              </w:rPr>
              <w:t>三阳化学农药厂污染土壤治理项目</w:t>
            </w:r>
            <w:r>
              <w:rPr>
                <w:rFonts w:hint="eastAsia" w:hAnsi="宋体"/>
                <w:b w:val="0"/>
                <w:bCs/>
                <w:color w:val="auto"/>
                <w:sz w:val="24"/>
              </w:rPr>
              <w:t>业主的通知；</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rPr>
            </w:pPr>
            <w:r>
              <w:rPr>
                <w:rFonts w:hint="eastAsia" w:hAnsi="宋体"/>
                <w:b w:val="0"/>
                <w:bCs/>
                <w:color w:val="auto"/>
                <w:sz w:val="24"/>
              </w:rPr>
              <w:t>5、平江县发改委关于原</w:t>
            </w:r>
            <w:r>
              <w:rPr>
                <w:rFonts w:hAnsi="宋体"/>
                <w:b w:val="0"/>
                <w:bCs/>
                <w:color w:val="auto"/>
                <w:sz w:val="24"/>
              </w:rPr>
              <w:t>三阳化学农药厂污染土壤治理项目</w:t>
            </w:r>
            <w:r>
              <w:rPr>
                <w:rFonts w:hint="eastAsia" w:hAnsi="宋体"/>
                <w:b w:val="0"/>
                <w:bCs/>
                <w:color w:val="auto"/>
                <w:sz w:val="24"/>
              </w:rPr>
              <w:t>的立项批复。</w:t>
            </w:r>
          </w:p>
          <w:p>
            <w:pPr>
              <w:keepNext w:val="0"/>
              <w:keepLines w:val="0"/>
              <w:pageBreakBefore w:val="0"/>
              <w:widowControl w:val="0"/>
              <w:kinsoku/>
              <w:wordWrap/>
              <w:overflowPunct/>
              <w:topLinePunct w:val="0"/>
              <w:bidi w:val="0"/>
              <w:adjustRightInd/>
              <w:snapToGrid/>
              <w:spacing w:line="360" w:lineRule="auto"/>
              <w:ind w:left="0" w:leftChars="0" w:right="0" w:rightChars="0"/>
              <w:jc w:val="both"/>
              <w:textAlignment w:val="auto"/>
              <w:outlineLvl w:val="9"/>
              <w:rPr>
                <w:b/>
                <w:color w:val="auto"/>
                <w:sz w:val="24"/>
                <w:szCs w:val="24"/>
              </w:rPr>
            </w:pPr>
            <w:r>
              <w:rPr>
                <w:rFonts w:hint="eastAsia" w:hAnsi="宋体"/>
                <w:b/>
                <w:color w:val="auto"/>
                <w:sz w:val="24"/>
                <w:szCs w:val="24"/>
                <w:lang w:val="en-US" w:eastAsia="zh-CN"/>
              </w:rPr>
              <w:t>3</w:t>
            </w:r>
            <w:r>
              <w:rPr>
                <w:rFonts w:hAnsi="宋体"/>
                <w:b/>
                <w:color w:val="auto"/>
                <w:sz w:val="24"/>
                <w:szCs w:val="24"/>
              </w:rPr>
              <w:t>、项目概况</w:t>
            </w:r>
            <w:r>
              <w:rPr>
                <w:b/>
                <w:color w:val="auto"/>
                <w:sz w:val="24"/>
                <w:szCs w:val="24"/>
              </w:rPr>
              <w:t xml:space="preserve"> </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kern w:val="0"/>
                <w:sz w:val="24"/>
                <w:lang w:val="zh-CN"/>
              </w:rPr>
              <w:t>项目名称：</w:t>
            </w:r>
            <w:r>
              <w:rPr>
                <w:rFonts w:hint="eastAsia" w:hAnsi="宋体"/>
                <w:color w:val="auto"/>
                <w:sz w:val="24"/>
              </w:rPr>
              <w:t>平江县原三阳乡化学农药厂污染土壤治理项目</w:t>
            </w:r>
            <w:r>
              <w:rPr>
                <w:rFonts w:hAnsi="宋体"/>
                <w:color w:val="auto"/>
                <w:sz w:val="24"/>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建设性质：新建；</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建设单位：</w:t>
            </w:r>
            <w:r>
              <w:rPr>
                <w:rFonts w:hint="eastAsia" w:hAnsi="宋体"/>
                <w:color w:val="auto"/>
                <w:sz w:val="24"/>
                <w:u w:val="single"/>
              </w:rPr>
              <w:t>平江县城关镇人民政府</w:t>
            </w:r>
            <w:r>
              <w:rPr>
                <w:rFonts w:hAnsi="宋体"/>
                <w:color w:val="auto"/>
                <w:sz w:val="24"/>
                <w:szCs w:val="24"/>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建设地点：</w:t>
            </w:r>
            <w:r>
              <w:rPr>
                <w:rFonts w:hAnsi="宋体"/>
                <w:color w:val="auto"/>
                <w:sz w:val="24"/>
              </w:rPr>
              <w:t>湖南省岳阳市</w:t>
            </w:r>
            <w:r>
              <w:rPr>
                <w:rFonts w:hint="eastAsia" w:hAnsi="宋体"/>
                <w:color w:val="auto"/>
                <w:sz w:val="24"/>
              </w:rPr>
              <w:t>平江县城关镇长冲路与106国道交汇夹角北侧</w:t>
            </w:r>
            <w:r>
              <w:rPr>
                <w:rFonts w:hAnsi="宋体"/>
                <w:color w:val="auto"/>
                <w:sz w:val="24"/>
              </w:rPr>
              <w:t>（原</w:t>
            </w:r>
            <w:r>
              <w:rPr>
                <w:rFonts w:hint="eastAsia" w:hAnsi="宋体"/>
                <w:color w:val="auto"/>
                <w:sz w:val="24"/>
              </w:rPr>
              <w:t>平江县原三阳乡化学农药厂</w:t>
            </w:r>
            <w:r>
              <w:rPr>
                <w:rFonts w:hAnsi="宋体"/>
                <w:color w:val="auto"/>
                <w:sz w:val="24"/>
              </w:rPr>
              <w:t>）</w:t>
            </w:r>
            <w:r>
              <w:rPr>
                <w:rFonts w:hAnsi="宋体"/>
                <w:color w:val="auto"/>
                <w:sz w:val="24"/>
                <w:szCs w:val="24"/>
              </w:rPr>
              <w:t>，地理坐标为</w:t>
            </w:r>
            <w:r>
              <w:rPr>
                <w:color w:val="auto"/>
                <w:sz w:val="24"/>
                <w:szCs w:val="24"/>
              </w:rPr>
              <w:t xml:space="preserve">E113° </w:t>
            </w:r>
            <w:r>
              <w:rPr>
                <w:rFonts w:hint="eastAsia"/>
                <w:color w:val="auto"/>
                <w:sz w:val="24"/>
                <w:szCs w:val="24"/>
              </w:rPr>
              <w:t>35</w:t>
            </w:r>
            <w:r>
              <w:rPr>
                <w:color w:val="auto"/>
                <w:sz w:val="24"/>
                <w:szCs w:val="24"/>
              </w:rPr>
              <w:t>'</w:t>
            </w:r>
            <w:r>
              <w:rPr>
                <w:rFonts w:hint="eastAsia"/>
                <w:color w:val="auto"/>
                <w:sz w:val="24"/>
                <w:szCs w:val="24"/>
              </w:rPr>
              <w:t>42.33</w:t>
            </w:r>
            <w:r>
              <w:rPr>
                <w:color w:val="auto"/>
                <w:sz w:val="24"/>
                <w:szCs w:val="24"/>
              </w:rPr>
              <w:t>"</w:t>
            </w:r>
            <w:r>
              <w:rPr>
                <w:rFonts w:hAnsi="宋体"/>
                <w:color w:val="auto"/>
                <w:sz w:val="24"/>
                <w:szCs w:val="24"/>
              </w:rPr>
              <w:t>，</w:t>
            </w:r>
            <w:r>
              <w:rPr>
                <w:color w:val="auto"/>
                <w:sz w:val="24"/>
                <w:szCs w:val="24"/>
              </w:rPr>
              <w:t>N2</w:t>
            </w:r>
            <w:r>
              <w:rPr>
                <w:rFonts w:hint="eastAsia"/>
                <w:color w:val="auto"/>
                <w:sz w:val="24"/>
                <w:szCs w:val="24"/>
              </w:rPr>
              <w:t>8</w:t>
            </w:r>
            <w:r>
              <w:rPr>
                <w:color w:val="auto"/>
                <w:sz w:val="24"/>
                <w:szCs w:val="24"/>
              </w:rPr>
              <w:t>°</w:t>
            </w:r>
            <w:r>
              <w:rPr>
                <w:rFonts w:hint="eastAsia"/>
                <w:color w:val="auto"/>
                <w:sz w:val="24"/>
                <w:szCs w:val="24"/>
              </w:rPr>
              <w:t>40</w:t>
            </w:r>
            <w:r>
              <w:rPr>
                <w:color w:val="auto"/>
                <w:sz w:val="24"/>
                <w:szCs w:val="24"/>
              </w:rPr>
              <w:t>'</w:t>
            </w:r>
            <w:r>
              <w:rPr>
                <w:rFonts w:hint="eastAsia"/>
                <w:color w:val="auto"/>
                <w:sz w:val="24"/>
                <w:szCs w:val="24"/>
              </w:rPr>
              <w:t>38.07</w:t>
            </w:r>
            <w:r>
              <w:rPr>
                <w:color w:val="auto"/>
                <w:sz w:val="24"/>
                <w:szCs w:val="24"/>
              </w:rPr>
              <w:t>"</w:t>
            </w:r>
            <w:r>
              <w:rPr>
                <w:rFonts w:hAnsi="宋体"/>
                <w:color w:val="auto"/>
                <w:sz w:val="24"/>
                <w:szCs w:val="24"/>
              </w:rPr>
              <w:t>。项目地理位置图见附图</w:t>
            </w:r>
            <w:r>
              <w:rPr>
                <w:color w:val="auto"/>
                <w:sz w:val="24"/>
                <w:szCs w:val="24"/>
              </w:rPr>
              <w:t>1</w:t>
            </w:r>
            <w:r>
              <w:rPr>
                <w:rFonts w:hAnsi="宋体"/>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snapToGrid w:val="0"/>
                <w:color w:val="auto"/>
                <w:kern w:val="0"/>
                <w:sz w:val="24"/>
              </w:rPr>
            </w:pPr>
            <w:r>
              <w:rPr>
                <w:rFonts w:hAnsi="宋体"/>
                <w:color w:val="auto"/>
                <w:kern w:val="0"/>
                <w:sz w:val="24"/>
                <w:lang w:val="zh-CN"/>
              </w:rPr>
              <w:t>占地面积：</w:t>
            </w:r>
            <w:r>
              <w:rPr>
                <w:rFonts w:hAnsi="宋体"/>
                <w:snapToGrid w:val="0"/>
                <w:color w:val="auto"/>
                <w:kern w:val="0"/>
                <w:sz w:val="24"/>
              </w:rPr>
              <w:t>本项目总占地面积</w:t>
            </w:r>
            <w:r>
              <w:rPr>
                <w:rFonts w:hint="eastAsia"/>
                <w:snapToGrid w:val="0"/>
                <w:color w:val="auto"/>
                <w:kern w:val="0"/>
                <w:sz w:val="24"/>
              </w:rPr>
              <w:t>15339.777</w:t>
            </w:r>
            <w:r>
              <w:rPr>
                <w:snapToGrid w:val="0"/>
                <w:color w:val="auto"/>
                <w:kern w:val="0"/>
                <w:sz w:val="24"/>
              </w:rPr>
              <w:t>m</w:t>
            </w:r>
            <w:r>
              <w:rPr>
                <w:snapToGrid w:val="0"/>
                <w:color w:val="auto"/>
                <w:kern w:val="0"/>
                <w:sz w:val="24"/>
                <w:vertAlign w:val="superscript"/>
              </w:rPr>
              <w:t>2</w:t>
            </w:r>
            <w:r>
              <w:rPr>
                <w:rFonts w:hAnsi="宋体"/>
                <w:snapToGrid w:val="0"/>
                <w:color w:val="auto"/>
                <w:kern w:val="0"/>
                <w:sz w:val="24"/>
              </w:rPr>
              <w:t>（包括土壤修复区占地面积</w:t>
            </w:r>
            <w:r>
              <w:rPr>
                <w:rFonts w:hint="eastAsia"/>
                <w:color w:val="auto"/>
                <w:sz w:val="24"/>
              </w:rPr>
              <w:t>13539.777</w:t>
            </w:r>
            <w:r>
              <w:rPr>
                <w:color w:val="auto"/>
                <w:sz w:val="24"/>
              </w:rPr>
              <w:t>m</w:t>
            </w:r>
            <w:r>
              <w:rPr>
                <w:color w:val="auto"/>
                <w:sz w:val="24"/>
                <w:vertAlign w:val="superscript"/>
              </w:rPr>
              <w:t>2</w:t>
            </w:r>
            <w:r>
              <w:rPr>
                <w:rFonts w:hint="eastAsia" w:hAnsi="宋体"/>
                <w:color w:val="auto"/>
                <w:sz w:val="24"/>
              </w:rPr>
              <w:t>、</w:t>
            </w:r>
            <w:r>
              <w:rPr>
                <w:rFonts w:hAnsi="宋体"/>
                <w:color w:val="auto"/>
                <w:sz w:val="24"/>
              </w:rPr>
              <w:t>临时</w:t>
            </w:r>
            <w:r>
              <w:rPr>
                <w:rFonts w:hint="eastAsia" w:hAnsi="宋体"/>
                <w:color w:val="auto"/>
                <w:sz w:val="24"/>
              </w:rPr>
              <w:t>负压大棚</w:t>
            </w:r>
            <w:r>
              <w:rPr>
                <w:rFonts w:hAnsi="宋体"/>
                <w:color w:val="auto"/>
                <w:sz w:val="24"/>
              </w:rPr>
              <w:t>占地面积</w:t>
            </w:r>
            <w:r>
              <w:rPr>
                <w:rFonts w:hint="eastAsia" w:hAnsi="宋体"/>
                <w:color w:val="auto"/>
                <w:sz w:val="24"/>
              </w:rPr>
              <w:t>1800</w:t>
            </w:r>
            <w:r>
              <w:rPr>
                <w:color w:val="auto"/>
                <w:sz w:val="24"/>
              </w:rPr>
              <w:t>m</w:t>
            </w:r>
            <w:r>
              <w:rPr>
                <w:color w:val="auto"/>
                <w:sz w:val="24"/>
                <w:vertAlign w:val="superscript"/>
              </w:rPr>
              <w:t>2</w:t>
            </w:r>
            <w:r>
              <w:rPr>
                <w:rFonts w:hint="eastAsia"/>
                <w:color w:val="auto"/>
                <w:sz w:val="24"/>
              </w:rPr>
              <w:t>及临时修复合格土壤暂存区200</w:t>
            </w:r>
            <w:r>
              <w:rPr>
                <w:color w:val="auto"/>
                <w:sz w:val="24"/>
              </w:rPr>
              <w:t xml:space="preserve"> m</w:t>
            </w:r>
            <w:r>
              <w:rPr>
                <w:color w:val="auto"/>
                <w:sz w:val="24"/>
                <w:vertAlign w:val="superscript"/>
              </w:rPr>
              <w:t>2</w:t>
            </w:r>
            <w:r>
              <w:rPr>
                <w:rFonts w:hAnsi="宋体"/>
                <w:snapToGrid w:val="0"/>
                <w:color w:val="auto"/>
                <w:kern w:val="0"/>
                <w:sz w:val="24"/>
              </w:rPr>
              <w:t>），总建筑面积</w:t>
            </w:r>
            <w:r>
              <w:rPr>
                <w:rFonts w:hint="eastAsia"/>
                <w:snapToGrid w:val="0"/>
                <w:color w:val="auto"/>
                <w:kern w:val="0"/>
                <w:sz w:val="24"/>
              </w:rPr>
              <w:t>1800</w:t>
            </w:r>
            <w:r>
              <w:rPr>
                <w:snapToGrid w:val="0"/>
                <w:color w:val="auto"/>
                <w:kern w:val="0"/>
                <w:sz w:val="24"/>
              </w:rPr>
              <w:t>m</w:t>
            </w:r>
            <w:r>
              <w:rPr>
                <w:snapToGrid w:val="0"/>
                <w:color w:val="auto"/>
                <w:kern w:val="0"/>
                <w:sz w:val="24"/>
                <w:vertAlign w:val="superscript"/>
              </w:rPr>
              <w:t>2</w:t>
            </w:r>
            <w:r>
              <w:rPr>
                <w:rFonts w:hAnsi="宋体"/>
                <w:snapToGrid w:val="0"/>
                <w:color w:val="auto"/>
                <w:kern w:val="0"/>
                <w:sz w:val="24"/>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工程投资：项目总投资为</w:t>
            </w:r>
            <w:r>
              <w:rPr>
                <w:rFonts w:hint="eastAsia"/>
                <w:color w:val="auto"/>
                <w:sz w:val="24"/>
              </w:rPr>
              <w:t>2600</w:t>
            </w:r>
            <w:r>
              <w:rPr>
                <w:rFonts w:hAnsi="宋体"/>
                <w:color w:val="auto"/>
                <w:sz w:val="24"/>
              </w:rPr>
              <w:t>万元</w:t>
            </w:r>
            <w:r>
              <w:rPr>
                <w:rFonts w:hAnsi="宋体"/>
                <w:snapToGrid w:val="0"/>
                <w:color w:val="auto"/>
                <w:kern w:val="0"/>
                <w:sz w:val="24"/>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Ansi="宋体"/>
                <w:color w:val="auto"/>
                <w:sz w:val="24"/>
                <w:u w:val="single"/>
              </w:rPr>
            </w:pPr>
            <w:r>
              <w:rPr>
                <w:rFonts w:hAnsi="宋体"/>
                <w:color w:val="auto"/>
                <w:sz w:val="24"/>
                <w:u w:val="single"/>
              </w:rPr>
              <w:t>建设内容：根据《</w:t>
            </w:r>
            <w:r>
              <w:rPr>
                <w:rFonts w:hint="eastAsia" w:hAnsi="宋体"/>
                <w:color w:val="auto"/>
                <w:sz w:val="24"/>
                <w:u w:val="single"/>
              </w:rPr>
              <w:t>平江县三阳化学农药厂污染土壤治理项目场地调查报告</w:t>
            </w:r>
            <w:r>
              <w:rPr>
                <w:rFonts w:hAnsi="宋体"/>
                <w:color w:val="auto"/>
                <w:sz w:val="24"/>
                <w:u w:val="single"/>
              </w:rPr>
              <w:t>》</w:t>
            </w:r>
            <w:r>
              <w:rPr>
                <w:color w:val="auto"/>
                <w:sz w:val="24"/>
                <w:u w:val="single"/>
              </w:rPr>
              <w:t>(</w:t>
            </w:r>
            <w:r>
              <w:rPr>
                <w:rFonts w:hint="eastAsia" w:hAnsi="宋体"/>
                <w:color w:val="auto"/>
                <w:sz w:val="24"/>
                <w:u w:val="single"/>
              </w:rPr>
              <w:t>湖南华弘检测有限公司，2017年2月，</w:t>
            </w:r>
            <w:r>
              <w:rPr>
                <w:rFonts w:hAnsi="宋体"/>
                <w:color w:val="auto"/>
                <w:sz w:val="24"/>
                <w:u w:val="single"/>
              </w:rPr>
              <w:t>下称</w:t>
            </w:r>
            <w:r>
              <w:rPr>
                <w:color w:val="auto"/>
                <w:sz w:val="24"/>
                <w:u w:val="single"/>
              </w:rPr>
              <w:t>“</w:t>
            </w:r>
            <w:r>
              <w:rPr>
                <w:rFonts w:hAnsi="宋体"/>
                <w:color w:val="auto"/>
                <w:sz w:val="24"/>
                <w:u w:val="single"/>
              </w:rPr>
              <w:t>调查报告</w:t>
            </w:r>
            <w:r>
              <w:rPr>
                <w:color w:val="auto"/>
                <w:sz w:val="24"/>
                <w:u w:val="single"/>
              </w:rPr>
              <w:t>”)</w:t>
            </w:r>
            <w:r>
              <w:rPr>
                <w:rFonts w:hint="eastAsia"/>
                <w:color w:val="auto"/>
                <w:sz w:val="24"/>
                <w:u w:val="single"/>
              </w:rPr>
              <w:t>、</w:t>
            </w:r>
            <w:r>
              <w:rPr>
                <w:rFonts w:hAnsi="宋体"/>
                <w:color w:val="auto"/>
                <w:sz w:val="24"/>
                <w:u w:val="single"/>
              </w:rPr>
              <w:t>《</w:t>
            </w:r>
            <w:r>
              <w:rPr>
                <w:rFonts w:hint="eastAsia" w:hAnsi="宋体"/>
                <w:color w:val="auto"/>
                <w:sz w:val="24"/>
                <w:u w:val="single"/>
              </w:rPr>
              <w:t>平江县三阳化学农药厂污染土壤治理项目</w:t>
            </w:r>
            <w:r>
              <w:rPr>
                <w:rFonts w:hAnsi="宋体"/>
                <w:color w:val="auto"/>
                <w:sz w:val="24"/>
                <w:u w:val="single"/>
              </w:rPr>
              <w:t>实施方案》</w:t>
            </w:r>
            <w:r>
              <w:rPr>
                <w:color w:val="auto"/>
                <w:sz w:val="24"/>
                <w:u w:val="single"/>
              </w:rPr>
              <w:t>(</w:t>
            </w:r>
            <w:r>
              <w:rPr>
                <w:rFonts w:hAnsi="宋体"/>
                <w:color w:val="auto"/>
                <w:sz w:val="24"/>
                <w:u w:val="single"/>
              </w:rPr>
              <w:t>湖南</w:t>
            </w:r>
            <w:r>
              <w:rPr>
                <w:rFonts w:hint="eastAsia" w:hAnsi="宋体"/>
                <w:color w:val="auto"/>
                <w:sz w:val="24"/>
                <w:u w:val="single"/>
              </w:rPr>
              <w:t>先瑞环境技术</w:t>
            </w:r>
            <w:r>
              <w:rPr>
                <w:rFonts w:hAnsi="宋体"/>
                <w:color w:val="auto"/>
                <w:sz w:val="24"/>
                <w:szCs w:val="22"/>
                <w:u w:val="single"/>
              </w:rPr>
              <w:t>有限公司，</w:t>
            </w:r>
            <w:r>
              <w:rPr>
                <w:color w:val="auto"/>
                <w:sz w:val="24"/>
                <w:szCs w:val="22"/>
                <w:u w:val="single"/>
              </w:rPr>
              <w:t>2017</w:t>
            </w:r>
            <w:r>
              <w:rPr>
                <w:rFonts w:hAnsi="宋体"/>
                <w:color w:val="auto"/>
                <w:sz w:val="24"/>
                <w:szCs w:val="22"/>
                <w:u w:val="single"/>
              </w:rPr>
              <w:t>年</w:t>
            </w:r>
            <w:r>
              <w:rPr>
                <w:rFonts w:hint="eastAsia"/>
                <w:color w:val="auto"/>
                <w:sz w:val="24"/>
                <w:szCs w:val="22"/>
                <w:u w:val="single"/>
              </w:rPr>
              <w:t>2</w:t>
            </w:r>
            <w:r>
              <w:rPr>
                <w:rFonts w:hAnsi="宋体"/>
                <w:color w:val="auto"/>
                <w:sz w:val="24"/>
                <w:szCs w:val="22"/>
                <w:u w:val="single"/>
              </w:rPr>
              <w:t>月</w:t>
            </w:r>
            <w:r>
              <w:rPr>
                <w:rFonts w:hint="eastAsia" w:hAnsi="宋体"/>
                <w:color w:val="auto"/>
                <w:sz w:val="24"/>
                <w:u w:val="single"/>
              </w:rPr>
              <w:t>，</w:t>
            </w:r>
            <w:r>
              <w:rPr>
                <w:rFonts w:hAnsi="宋体"/>
                <w:color w:val="auto"/>
                <w:sz w:val="24"/>
                <w:u w:val="single"/>
              </w:rPr>
              <w:t>下称</w:t>
            </w:r>
            <w:r>
              <w:rPr>
                <w:color w:val="auto"/>
                <w:sz w:val="24"/>
                <w:u w:val="single"/>
              </w:rPr>
              <w:t>“</w:t>
            </w:r>
            <w:r>
              <w:rPr>
                <w:rFonts w:hint="eastAsia" w:hAnsi="宋体"/>
                <w:color w:val="auto"/>
                <w:sz w:val="24"/>
                <w:u w:val="single"/>
              </w:rPr>
              <w:t>实施方案</w:t>
            </w:r>
            <w:r>
              <w:rPr>
                <w:color w:val="auto"/>
                <w:sz w:val="24"/>
                <w:u w:val="single"/>
              </w:rPr>
              <w:t>”</w:t>
            </w:r>
            <w:r>
              <w:rPr>
                <w:color w:val="auto"/>
                <w:sz w:val="24"/>
                <w:szCs w:val="22"/>
                <w:u w:val="single"/>
              </w:rPr>
              <w:t>)</w:t>
            </w:r>
            <w:r>
              <w:rPr>
                <w:rFonts w:hint="eastAsia"/>
                <w:color w:val="auto"/>
                <w:sz w:val="24"/>
                <w:szCs w:val="22"/>
                <w:u w:val="single"/>
              </w:rPr>
              <w:t>、</w:t>
            </w:r>
            <w:r>
              <w:rPr>
                <w:rFonts w:hint="eastAsia"/>
                <w:color w:val="auto"/>
                <w:sz w:val="24"/>
                <w:szCs w:val="24"/>
                <w:u w:val="single"/>
              </w:rPr>
              <w:t>湖南省环保厅对实施方案报告的审查意见（见附件）</w:t>
            </w:r>
            <w:r>
              <w:rPr>
                <w:rFonts w:hAnsi="宋体"/>
                <w:color w:val="auto"/>
                <w:sz w:val="24"/>
                <w:u w:val="single"/>
              </w:rPr>
              <w:t>，</w:t>
            </w:r>
            <w:r>
              <w:rPr>
                <w:rFonts w:hint="eastAsia" w:hAnsi="宋体"/>
                <w:color w:val="auto"/>
                <w:sz w:val="24"/>
                <w:u w:val="single"/>
              </w:rPr>
              <w:t>本次</w:t>
            </w:r>
            <w:r>
              <w:rPr>
                <w:rFonts w:hAnsi="宋体"/>
                <w:color w:val="auto"/>
                <w:sz w:val="24"/>
                <w:u w:val="single"/>
              </w:rPr>
              <w:t>土壤污染面积为</w:t>
            </w:r>
            <w:r>
              <w:rPr>
                <w:color w:val="auto"/>
                <w:sz w:val="24"/>
                <w:u w:val="single"/>
              </w:rPr>
              <w:t>13539.777m</w:t>
            </w:r>
            <w:r>
              <w:rPr>
                <w:color w:val="auto"/>
                <w:sz w:val="24"/>
                <w:u w:val="single"/>
                <w:vertAlign w:val="superscript"/>
              </w:rPr>
              <w:t>2</w:t>
            </w:r>
            <w:r>
              <w:rPr>
                <w:rFonts w:hint="eastAsia"/>
                <w:color w:val="auto"/>
                <w:sz w:val="24"/>
                <w:u w:val="single"/>
                <w:vertAlign w:val="baseline"/>
                <w:lang w:eastAsia="zh-CN"/>
              </w:rPr>
              <w:t>，</w:t>
            </w:r>
            <w:r>
              <w:rPr>
                <w:rFonts w:hint="eastAsia"/>
                <w:color w:val="0000FF"/>
                <w:sz w:val="24"/>
                <w:u w:val="single"/>
                <w:vertAlign w:val="baseline"/>
                <w:lang w:eastAsia="zh-CN"/>
              </w:rPr>
              <w:t>重度污染土壤量约为</w:t>
            </w:r>
            <w:r>
              <w:rPr>
                <w:rFonts w:hint="eastAsia"/>
                <w:color w:val="0000FF"/>
                <w:sz w:val="24"/>
                <w:u w:val="single"/>
                <w:vertAlign w:val="baseline"/>
                <w:lang w:val="en-US" w:eastAsia="zh-CN"/>
              </w:rPr>
              <w:t>17491.3m³，中轻度污染土壤量约为26033m³，共计土壤污染总量</w:t>
            </w:r>
            <w:r>
              <w:rPr>
                <w:rFonts w:hint="eastAsia"/>
                <w:color w:val="0000FF"/>
                <w:sz w:val="24"/>
                <w:u w:val="single"/>
                <w:lang w:eastAsia="zh-CN"/>
              </w:rPr>
              <w:t>约</w:t>
            </w:r>
            <w:r>
              <w:rPr>
                <w:rFonts w:hint="eastAsia"/>
                <w:color w:val="0000FF"/>
                <w:sz w:val="24"/>
                <w:u w:val="single"/>
              </w:rPr>
              <w:t>43524.3</w:t>
            </w:r>
            <w:r>
              <w:rPr>
                <w:color w:val="0000FF"/>
                <w:sz w:val="24"/>
                <w:u w:val="single"/>
              </w:rPr>
              <w:t>m</w:t>
            </w:r>
            <w:r>
              <w:rPr>
                <w:color w:val="0000FF"/>
                <w:sz w:val="24"/>
                <w:u w:val="single"/>
                <w:vertAlign w:val="superscript"/>
              </w:rPr>
              <w:t>3</w:t>
            </w:r>
            <w:r>
              <w:rPr>
                <w:rFonts w:hint="eastAsia"/>
                <w:color w:val="0000FF"/>
                <w:sz w:val="24"/>
                <w:u w:val="single"/>
                <w:vertAlign w:val="baseline"/>
                <w:lang w:eastAsia="zh-CN"/>
              </w:rPr>
              <w:t>，</w:t>
            </w:r>
            <w:r>
              <w:rPr>
                <w:rFonts w:hAnsi="宋体"/>
                <w:color w:val="auto"/>
                <w:sz w:val="24"/>
                <w:u w:val="single"/>
              </w:rPr>
              <w:t>污染土壤</w:t>
            </w:r>
            <w:r>
              <w:rPr>
                <w:rFonts w:hint="eastAsia" w:hAnsi="宋体"/>
                <w:color w:val="auto"/>
                <w:sz w:val="24"/>
                <w:u w:val="single"/>
                <w:lang w:eastAsia="zh-CN"/>
              </w:rPr>
              <w:t>将采用硫酸亚铁为主要修复药剂进行</w:t>
            </w:r>
            <w:r>
              <w:rPr>
                <w:rFonts w:hAnsi="宋体"/>
                <w:color w:val="0000FF"/>
                <w:sz w:val="24"/>
                <w:u w:val="single"/>
              </w:rPr>
              <w:t>原位异地</w:t>
            </w:r>
            <w:r>
              <w:rPr>
                <w:rFonts w:hint="eastAsia" w:hAnsi="宋体"/>
                <w:color w:val="0000FF"/>
                <w:sz w:val="24"/>
                <w:u w:val="single"/>
              </w:rPr>
              <w:t>化学</w:t>
            </w:r>
            <w:r>
              <w:rPr>
                <w:rFonts w:hint="eastAsia" w:hAnsi="宋体"/>
                <w:color w:val="0000FF"/>
                <w:sz w:val="24"/>
                <w:u w:val="single"/>
                <w:lang w:eastAsia="zh-CN"/>
              </w:rPr>
              <w:t>氧化</w:t>
            </w:r>
            <w:r>
              <w:rPr>
                <w:rFonts w:hint="eastAsia" w:hAnsi="宋体"/>
                <w:color w:val="0000FF"/>
                <w:sz w:val="24"/>
                <w:u w:val="single"/>
                <w:lang w:val="en-US" w:eastAsia="zh-CN"/>
              </w:rPr>
              <w:t>技术</w:t>
            </w:r>
            <w:r>
              <w:rPr>
                <w:rFonts w:hAnsi="宋体"/>
                <w:color w:val="0000FF"/>
                <w:sz w:val="24"/>
                <w:u w:val="single"/>
              </w:rPr>
              <w:t>处理</w:t>
            </w:r>
            <w:r>
              <w:rPr>
                <w:rFonts w:hint="eastAsia" w:hAnsi="宋体"/>
                <w:color w:val="auto"/>
                <w:sz w:val="24"/>
                <w:u w:val="single"/>
                <w:lang w:eastAsia="zh-CN"/>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Ansi="宋体"/>
                <w:color w:val="auto"/>
                <w:sz w:val="24"/>
                <w:u w:val="single"/>
              </w:rPr>
              <w:t>本项目建设内容包括：</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Ansi="宋体"/>
                <w:color w:val="auto"/>
                <w:sz w:val="24"/>
                <w:u w:val="single"/>
              </w:rPr>
              <w:t>（</w:t>
            </w:r>
            <w:r>
              <w:rPr>
                <w:color w:val="auto"/>
                <w:sz w:val="24"/>
                <w:u w:val="single"/>
              </w:rPr>
              <w:t>1</w:t>
            </w:r>
            <w:r>
              <w:rPr>
                <w:rFonts w:hAnsi="宋体"/>
                <w:color w:val="auto"/>
                <w:sz w:val="24"/>
                <w:u w:val="single"/>
              </w:rPr>
              <w:t>）场地内建筑垃圾转运，对</w:t>
            </w:r>
            <w:r>
              <w:rPr>
                <w:rFonts w:hint="eastAsia" w:hAnsi="宋体"/>
                <w:color w:val="auto"/>
                <w:sz w:val="24"/>
                <w:u w:val="single"/>
              </w:rPr>
              <w:t>平江县原三阳乡化学农药厂</w:t>
            </w:r>
            <w:r>
              <w:rPr>
                <w:rFonts w:hAnsi="宋体"/>
                <w:color w:val="auto"/>
                <w:sz w:val="24"/>
                <w:u w:val="single"/>
              </w:rPr>
              <w:t>内建构筑物进行拆除，产生的</w:t>
            </w:r>
            <w:r>
              <w:rPr>
                <w:rFonts w:hint="eastAsia"/>
                <w:color w:val="auto"/>
                <w:sz w:val="24"/>
                <w:u w:val="single"/>
              </w:rPr>
              <w:t>4100</w:t>
            </w:r>
            <w:r>
              <w:rPr>
                <w:color w:val="auto"/>
                <w:sz w:val="24"/>
                <w:u w:val="single"/>
              </w:rPr>
              <w:t>m</w:t>
            </w:r>
            <w:r>
              <w:rPr>
                <w:color w:val="auto"/>
                <w:sz w:val="24"/>
                <w:u w:val="single"/>
                <w:vertAlign w:val="superscript"/>
              </w:rPr>
              <w:t>3</w:t>
            </w:r>
            <w:r>
              <w:rPr>
                <w:rFonts w:hAnsi="宋体"/>
                <w:color w:val="auto"/>
                <w:sz w:val="24"/>
                <w:u w:val="single"/>
              </w:rPr>
              <w:t>建筑垃圾转运至</w:t>
            </w:r>
            <w:r>
              <w:rPr>
                <w:rFonts w:hint="eastAsia" w:hAnsi="宋体"/>
                <w:color w:val="auto"/>
                <w:sz w:val="24"/>
                <w:u w:val="single"/>
                <w:lang w:eastAsia="zh-CN"/>
              </w:rPr>
              <w:t>相关专业机构进行处理</w:t>
            </w:r>
            <w:r>
              <w:rPr>
                <w:rFonts w:hAnsi="宋体"/>
                <w:color w:val="auto"/>
                <w:sz w:val="24"/>
                <w:u w:val="single"/>
              </w:rPr>
              <w:t>；设备拆除产生</w:t>
            </w:r>
            <w:r>
              <w:rPr>
                <w:rFonts w:hint="eastAsia"/>
                <w:color w:val="auto"/>
                <w:sz w:val="24"/>
                <w:u w:val="single"/>
              </w:rPr>
              <w:t>45</w:t>
            </w:r>
            <w:r>
              <w:rPr>
                <w:color w:val="auto"/>
                <w:sz w:val="24"/>
                <w:u w:val="single"/>
              </w:rPr>
              <w:t>t</w:t>
            </w:r>
            <w:r>
              <w:rPr>
                <w:rFonts w:hAnsi="宋体"/>
                <w:color w:val="auto"/>
                <w:sz w:val="24"/>
                <w:u w:val="single"/>
              </w:rPr>
              <w:t>钢材固废，转运至</w:t>
            </w:r>
            <w:r>
              <w:rPr>
                <w:rFonts w:hint="eastAsia" w:hAnsi="宋体"/>
                <w:color w:val="auto"/>
                <w:sz w:val="24"/>
                <w:u w:val="single"/>
                <w:lang w:eastAsia="zh-CN"/>
              </w:rPr>
              <w:t>相关专业机构进行处理</w:t>
            </w:r>
            <w:r>
              <w:rPr>
                <w:rFonts w:hAnsi="宋体"/>
                <w:color w:val="auto"/>
                <w:sz w:val="24"/>
                <w:u w:val="single"/>
              </w:rPr>
              <w:t>。</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rFonts w:hAnsi="宋体"/>
                <w:color w:val="auto"/>
                <w:sz w:val="24"/>
                <w:u w:val="single"/>
              </w:rPr>
            </w:pPr>
            <w:r>
              <w:rPr>
                <w:rFonts w:hAnsi="宋体"/>
                <w:color w:val="auto"/>
                <w:sz w:val="24"/>
                <w:u w:val="single"/>
              </w:rPr>
              <w:t>（</w:t>
            </w:r>
            <w:r>
              <w:rPr>
                <w:color w:val="auto"/>
                <w:sz w:val="24"/>
                <w:u w:val="single"/>
              </w:rPr>
              <w:t>2</w:t>
            </w:r>
            <w:r>
              <w:rPr>
                <w:rFonts w:hAnsi="宋体"/>
                <w:color w:val="auto"/>
                <w:sz w:val="24"/>
                <w:u w:val="single"/>
              </w:rPr>
              <w:t>）污染土壤清理，对</w:t>
            </w:r>
            <w:r>
              <w:rPr>
                <w:rFonts w:hint="eastAsia" w:hAnsi="宋体"/>
                <w:color w:val="auto"/>
                <w:sz w:val="24"/>
                <w:u w:val="single"/>
              </w:rPr>
              <w:t>平江县原三阳乡化学农药厂污染地块</w:t>
            </w:r>
            <w:r>
              <w:rPr>
                <w:color w:val="auto"/>
                <w:sz w:val="24"/>
                <w:u w:val="single"/>
              </w:rPr>
              <w:t>13539.777m</w:t>
            </w:r>
            <w:r>
              <w:rPr>
                <w:color w:val="auto"/>
                <w:sz w:val="24"/>
                <w:u w:val="single"/>
                <w:vertAlign w:val="superscript"/>
              </w:rPr>
              <w:t>2</w:t>
            </w:r>
            <w:r>
              <w:rPr>
                <w:rFonts w:hAnsi="宋体"/>
                <w:color w:val="auto"/>
                <w:sz w:val="24"/>
                <w:u w:val="single"/>
              </w:rPr>
              <w:t>污染范围内，</w:t>
            </w:r>
            <w:r>
              <w:rPr>
                <w:rFonts w:hint="eastAsia"/>
                <w:color w:val="auto"/>
                <w:sz w:val="24"/>
                <w:u w:val="single"/>
              </w:rPr>
              <w:t>43524.3</w:t>
            </w:r>
            <w:r>
              <w:rPr>
                <w:color w:val="auto"/>
                <w:sz w:val="24"/>
                <w:u w:val="single"/>
              </w:rPr>
              <w:t>m</w:t>
            </w:r>
            <w:r>
              <w:rPr>
                <w:color w:val="auto"/>
                <w:sz w:val="24"/>
                <w:u w:val="single"/>
                <w:vertAlign w:val="superscript"/>
              </w:rPr>
              <w:t>3</w:t>
            </w:r>
            <w:r>
              <w:rPr>
                <w:rFonts w:hAnsi="宋体"/>
                <w:color w:val="auto"/>
                <w:sz w:val="24"/>
                <w:u w:val="single"/>
              </w:rPr>
              <w:t>污染土壤进行原位异地</w:t>
            </w:r>
            <w:r>
              <w:rPr>
                <w:rFonts w:hint="eastAsia" w:hAnsi="宋体"/>
                <w:color w:val="auto"/>
                <w:sz w:val="24"/>
                <w:u w:val="single"/>
                <w:lang w:eastAsia="zh-CN"/>
              </w:rPr>
              <w:t>化学氧化技术</w:t>
            </w:r>
            <w:r>
              <w:rPr>
                <w:rFonts w:hAnsi="宋体"/>
                <w:color w:val="auto"/>
                <w:sz w:val="24"/>
                <w:u w:val="single"/>
              </w:rPr>
              <w:t>处理，处理后土壤</w:t>
            </w:r>
            <w:r>
              <w:rPr>
                <w:rFonts w:hint="eastAsia" w:hAnsi="宋体"/>
                <w:color w:val="auto"/>
                <w:sz w:val="24"/>
                <w:u w:val="single"/>
              </w:rPr>
              <w:t>暂存于修复合格土壤暂存区，定期</w:t>
            </w:r>
            <w:r>
              <w:rPr>
                <w:rFonts w:hAnsi="宋体"/>
                <w:color w:val="auto"/>
                <w:sz w:val="24"/>
                <w:u w:val="single"/>
              </w:rPr>
              <w:t>回填至原开挖区，并对回填区进行生态恢复。</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rPr>
            </w:pPr>
            <w:r>
              <w:rPr>
                <w:rFonts w:hint="eastAsia" w:hAnsi="宋体"/>
                <w:color w:val="auto"/>
                <w:sz w:val="24"/>
                <w:u w:val="single"/>
              </w:rPr>
              <w:t>（3）土壤污染特征，根据调查报告可知，本项目污染土壤主要因子为六六六及滴滴涕，地下水未检出六六六及滴滴涕。</w:t>
            </w:r>
          </w:p>
          <w:p>
            <w:pPr>
              <w:keepNext w:val="0"/>
              <w:keepLines w:val="0"/>
              <w:pageBreakBefore w:val="0"/>
              <w:widowControl w:val="0"/>
              <w:kinsoku/>
              <w:wordWrap/>
              <w:overflowPunct/>
              <w:topLinePunct w:val="0"/>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本项目工程建设内容一览表见表</w:t>
            </w:r>
            <w:r>
              <w:rPr>
                <w:color w:val="auto"/>
                <w:sz w:val="24"/>
              </w:rPr>
              <w:t>1</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lang w:val="zh-TW" w:eastAsia="zh-TW"/>
              </w:rPr>
            </w:pPr>
            <w:r>
              <w:rPr>
                <w:rFonts w:hint="eastAsia" w:hAnsi="宋体"/>
                <w:b/>
                <w:bCs/>
                <w:color w:val="auto"/>
                <w:u w:val="none"/>
                <w:lang w:val="zh-TW" w:eastAsia="zh-TW"/>
              </w:rPr>
              <w:t>表1  工程建设内容一览表</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2"/>
              <w:gridCol w:w="875"/>
              <w:gridCol w:w="7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blHeader/>
                <w:jc w:val="center"/>
              </w:trPr>
              <w:tc>
                <w:tcPr>
                  <w:tcW w:w="1257" w:type="dxa"/>
                  <w:gridSpan w:val="2"/>
                  <w:vAlign w:val="center"/>
                </w:tcPr>
                <w:p>
                  <w:pPr>
                    <w:jc w:val="center"/>
                    <w:rPr>
                      <w:color w:val="auto"/>
                      <w:sz w:val="21"/>
                      <w:szCs w:val="21"/>
                      <w:u w:val="single"/>
                    </w:rPr>
                  </w:pPr>
                  <w:r>
                    <w:rPr>
                      <w:rFonts w:hAnsi="宋体"/>
                      <w:color w:val="auto"/>
                      <w:sz w:val="21"/>
                      <w:szCs w:val="21"/>
                      <w:u w:val="single"/>
                    </w:rPr>
                    <w:t>类别</w:t>
                  </w:r>
                </w:p>
              </w:tc>
              <w:tc>
                <w:tcPr>
                  <w:tcW w:w="7813" w:type="dxa"/>
                  <w:vAlign w:val="center"/>
                </w:tcPr>
                <w:p>
                  <w:pPr>
                    <w:jc w:val="center"/>
                    <w:rPr>
                      <w:color w:val="auto"/>
                      <w:sz w:val="21"/>
                      <w:szCs w:val="21"/>
                      <w:u w:val="single"/>
                    </w:rPr>
                  </w:pPr>
                  <w:r>
                    <w:rPr>
                      <w:rFonts w:hAnsi="宋体"/>
                      <w:color w:val="auto"/>
                      <w:sz w:val="21"/>
                      <w:szCs w:val="21"/>
                      <w:u w:val="single"/>
                    </w:rPr>
                    <w:t>建设规模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blHeader/>
                <w:jc w:val="center"/>
              </w:trPr>
              <w:tc>
                <w:tcPr>
                  <w:tcW w:w="382" w:type="dxa"/>
                  <w:vMerge w:val="restart"/>
                  <w:vAlign w:val="center"/>
                </w:tcPr>
                <w:p>
                  <w:pPr>
                    <w:jc w:val="center"/>
                    <w:rPr>
                      <w:color w:val="auto"/>
                      <w:sz w:val="21"/>
                      <w:szCs w:val="21"/>
                      <w:u w:val="single"/>
                    </w:rPr>
                  </w:pPr>
                  <w:r>
                    <w:rPr>
                      <w:rFonts w:hAnsi="宋体"/>
                      <w:color w:val="auto"/>
                      <w:sz w:val="21"/>
                      <w:szCs w:val="21"/>
                      <w:u w:val="single"/>
                    </w:rPr>
                    <w:t>主体工程</w:t>
                  </w:r>
                </w:p>
              </w:tc>
              <w:tc>
                <w:tcPr>
                  <w:tcW w:w="875" w:type="dxa"/>
                  <w:vAlign w:val="center"/>
                </w:tcPr>
                <w:p>
                  <w:pPr>
                    <w:jc w:val="center"/>
                    <w:rPr>
                      <w:color w:val="auto"/>
                      <w:sz w:val="21"/>
                      <w:szCs w:val="21"/>
                      <w:u w:val="single"/>
                    </w:rPr>
                  </w:pPr>
                  <w:r>
                    <w:rPr>
                      <w:rFonts w:hAnsi="宋体"/>
                      <w:color w:val="auto"/>
                      <w:sz w:val="21"/>
                      <w:szCs w:val="21"/>
                      <w:u w:val="single"/>
                    </w:rPr>
                    <w:t>厂房及设备拆除</w:t>
                  </w:r>
                </w:p>
              </w:tc>
              <w:tc>
                <w:tcPr>
                  <w:tcW w:w="7813" w:type="dxa"/>
                  <w:vAlign w:val="center"/>
                </w:tcPr>
                <w:p>
                  <w:pPr>
                    <w:jc w:val="center"/>
                    <w:rPr>
                      <w:color w:val="auto"/>
                      <w:sz w:val="21"/>
                      <w:szCs w:val="21"/>
                      <w:u w:val="single"/>
                    </w:rPr>
                  </w:pPr>
                  <w:r>
                    <w:rPr>
                      <w:rFonts w:hAnsi="宋体"/>
                      <w:bCs/>
                      <w:color w:val="auto"/>
                      <w:sz w:val="21"/>
                      <w:szCs w:val="21"/>
                      <w:u w:val="single"/>
                    </w:rPr>
                    <w:t>需拆除厂房面积约</w:t>
                  </w:r>
                  <w:r>
                    <w:rPr>
                      <w:rFonts w:hint="eastAsia"/>
                      <w:bCs/>
                      <w:color w:val="auto"/>
                      <w:sz w:val="21"/>
                      <w:szCs w:val="21"/>
                      <w:u w:val="single"/>
                    </w:rPr>
                    <w:t>1122.2</w:t>
                  </w:r>
                  <w:r>
                    <w:rPr>
                      <w:bCs/>
                      <w:color w:val="auto"/>
                      <w:sz w:val="21"/>
                      <w:szCs w:val="21"/>
                      <w:u w:val="single"/>
                    </w:rPr>
                    <w:t>m</w:t>
                  </w:r>
                  <w:r>
                    <w:rPr>
                      <w:bCs/>
                      <w:color w:val="auto"/>
                      <w:sz w:val="21"/>
                      <w:szCs w:val="21"/>
                      <w:u w:val="single"/>
                      <w:vertAlign w:val="superscript"/>
                    </w:rPr>
                    <w:t>2</w:t>
                  </w:r>
                  <w:r>
                    <w:rPr>
                      <w:rFonts w:hAnsi="宋体"/>
                      <w:bCs/>
                      <w:color w:val="auto"/>
                      <w:sz w:val="21"/>
                      <w:szCs w:val="21"/>
                      <w:u w:val="single"/>
                    </w:rPr>
                    <w:t>，主要为砖混结构房屋及设备，同时对</w:t>
                  </w:r>
                  <w:r>
                    <w:rPr>
                      <w:rFonts w:hint="eastAsia"/>
                      <w:bCs/>
                      <w:color w:val="auto"/>
                      <w:sz w:val="21"/>
                      <w:szCs w:val="21"/>
                      <w:u w:val="single"/>
                    </w:rPr>
                    <w:t>1600</w:t>
                  </w:r>
                  <w:r>
                    <w:rPr>
                      <w:bCs/>
                      <w:color w:val="auto"/>
                      <w:sz w:val="21"/>
                      <w:szCs w:val="21"/>
                      <w:u w:val="single"/>
                    </w:rPr>
                    <w:t>m</w:t>
                  </w:r>
                  <w:r>
                    <w:rPr>
                      <w:bCs/>
                      <w:color w:val="auto"/>
                      <w:sz w:val="21"/>
                      <w:szCs w:val="21"/>
                      <w:u w:val="single"/>
                      <w:vertAlign w:val="superscript"/>
                    </w:rPr>
                    <w:t>2</w:t>
                  </w:r>
                  <w:r>
                    <w:rPr>
                      <w:rFonts w:hAnsi="宋体"/>
                      <w:bCs/>
                      <w:color w:val="auto"/>
                      <w:sz w:val="21"/>
                      <w:szCs w:val="21"/>
                      <w:u w:val="single"/>
                    </w:rPr>
                    <w:t>混凝土地面进行破碎拆除。厂房及设备拆除后，对钢材、木材、塑钢门窗等进行回收，建筑垃圾量约为</w:t>
                  </w:r>
                  <w:r>
                    <w:rPr>
                      <w:rFonts w:hint="eastAsia"/>
                      <w:bCs/>
                      <w:color w:val="auto"/>
                      <w:sz w:val="21"/>
                      <w:szCs w:val="21"/>
                      <w:u w:val="single"/>
                    </w:rPr>
                    <w:t>4100</w:t>
                  </w:r>
                  <w:r>
                    <w:rPr>
                      <w:bCs/>
                      <w:color w:val="auto"/>
                      <w:sz w:val="21"/>
                      <w:szCs w:val="21"/>
                      <w:u w:val="single"/>
                    </w:rPr>
                    <w:t>m</w:t>
                  </w:r>
                  <w:r>
                    <w:rPr>
                      <w:bCs/>
                      <w:color w:val="auto"/>
                      <w:sz w:val="21"/>
                      <w:szCs w:val="21"/>
                      <w:u w:val="single"/>
                      <w:vertAlign w:val="superscript"/>
                    </w:rPr>
                    <w:t>3</w:t>
                  </w:r>
                  <w:r>
                    <w:rPr>
                      <w:rFonts w:hAnsi="宋体"/>
                      <w:bCs/>
                      <w:color w:val="auto"/>
                      <w:sz w:val="21"/>
                      <w:szCs w:val="21"/>
                      <w:u w:val="single"/>
                    </w:rPr>
                    <w:t>，同时拆除设备产生</w:t>
                  </w:r>
                  <w:r>
                    <w:rPr>
                      <w:rFonts w:hint="eastAsia"/>
                      <w:bCs/>
                      <w:color w:val="auto"/>
                      <w:sz w:val="21"/>
                      <w:szCs w:val="21"/>
                      <w:u w:val="single"/>
                    </w:rPr>
                    <w:t>45</w:t>
                  </w:r>
                  <w:r>
                    <w:rPr>
                      <w:rFonts w:hint="eastAsia" w:hAnsi="宋体"/>
                      <w:bCs/>
                      <w:color w:val="auto"/>
                      <w:sz w:val="21"/>
                      <w:szCs w:val="21"/>
                      <w:u w:val="single"/>
                    </w:rPr>
                    <w:t>t</w:t>
                  </w:r>
                  <w:r>
                    <w:rPr>
                      <w:rFonts w:hAnsi="宋体"/>
                      <w:bCs/>
                      <w:color w:val="auto"/>
                      <w:sz w:val="21"/>
                      <w:szCs w:val="21"/>
                      <w:u w:val="single"/>
                    </w:rPr>
                    <w:t>钢结构垃圾，建筑垃圾均运至</w:t>
                  </w:r>
                  <w:r>
                    <w:rPr>
                      <w:rFonts w:hint="eastAsia" w:hAnsi="宋体"/>
                      <w:bCs/>
                      <w:color w:val="auto"/>
                      <w:sz w:val="21"/>
                      <w:szCs w:val="21"/>
                      <w:u w:val="single"/>
                    </w:rPr>
                    <w:t>相关专业机构进行处理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blHeader/>
                <w:jc w:val="center"/>
              </w:trPr>
              <w:tc>
                <w:tcPr>
                  <w:tcW w:w="382" w:type="dxa"/>
                  <w:vMerge w:val="continue"/>
                  <w:vAlign w:val="center"/>
                </w:tcPr>
                <w:p>
                  <w:pPr>
                    <w:jc w:val="center"/>
                    <w:rPr>
                      <w:rFonts w:hAnsi="宋体"/>
                      <w:color w:val="auto"/>
                      <w:sz w:val="21"/>
                      <w:szCs w:val="21"/>
                      <w:u w:val="single"/>
                    </w:rPr>
                  </w:pPr>
                </w:p>
              </w:tc>
              <w:tc>
                <w:tcPr>
                  <w:tcW w:w="875" w:type="dxa"/>
                  <w:vAlign w:val="center"/>
                </w:tcPr>
                <w:p>
                  <w:pPr>
                    <w:jc w:val="center"/>
                    <w:rPr>
                      <w:rFonts w:hAnsi="宋体"/>
                      <w:color w:val="auto"/>
                      <w:sz w:val="21"/>
                      <w:szCs w:val="21"/>
                      <w:u w:val="single"/>
                    </w:rPr>
                  </w:pPr>
                  <w:r>
                    <w:rPr>
                      <w:rFonts w:hint="eastAsia" w:hAnsi="宋体"/>
                      <w:color w:val="auto"/>
                      <w:sz w:val="21"/>
                      <w:szCs w:val="21"/>
                      <w:u w:val="single"/>
                    </w:rPr>
                    <w:t>土方清挖</w:t>
                  </w:r>
                </w:p>
              </w:tc>
              <w:tc>
                <w:tcPr>
                  <w:tcW w:w="7813" w:type="dxa"/>
                  <w:vAlign w:val="center"/>
                </w:tcPr>
                <w:p>
                  <w:pPr>
                    <w:jc w:val="center"/>
                    <w:rPr>
                      <w:rFonts w:hAnsi="宋体"/>
                      <w:bCs/>
                      <w:color w:val="auto"/>
                      <w:sz w:val="21"/>
                      <w:szCs w:val="21"/>
                      <w:u w:val="single"/>
                    </w:rPr>
                  </w:pPr>
                  <w:r>
                    <w:rPr>
                      <w:rFonts w:hint="eastAsia" w:hAnsi="宋体"/>
                      <w:bCs/>
                      <w:color w:val="auto"/>
                      <w:sz w:val="21"/>
                      <w:szCs w:val="21"/>
                      <w:u w:val="single"/>
                    </w:rPr>
                    <w:t>根据设计深度，及时测量，采用拉森Ⅳ型钢板桩+钢管内支撑和放坡+双排拉森Ⅳ型钢板桩的支护形式，设计深度2.4-5.0m，设置临时集水与排水沟排水，基坑坡顶设置300×300截水排水沟，基坑排水经两重沉淀净化后</w:t>
                  </w:r>
                  <w:r>
                    <w:rPr>
                      <w:rFonts w:hint="eastAsia" w:hAnsi="宋体"/>
                      <w:bCs/>
                      <w:color w:val="auto"/>
                      <w:sz w:val="21"/>
                      <w:szCs w:val="21"/>
                      <w:u w:val="single"/>
                      <w:lang w:eastAsia="zh-CN"/>
                    </w:rPr>
                    <w:t>，除部分回用泼洒抑尘外，其余经槽罐车运输至有处理能力的污水处理厂或企业污水处理装置处理</w:t>
                  </w:r>
                  <w:r>
                    <w:rPr>
                      <w:rFonts w:hint="eastAsia" w:hAnsi="宋体"/>
                      <w:bCs/>
                      <w:color w:val="auto"/>
                      <w:sz w:val="21"/>
                      <w:szCs w:val="21"/>
                      <w:u w:val="single"/>
                    </w:rPr>
                    <w:t>。施工区设置1.8m高围栏。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blHeader/>
                <w:jc w:val="center"/>
              </w:trPr>
              <w:tc>
                <w:tcPr>
                  <w:tcW w:w="382" w:type="dxa"/>
                  <w:vMerge w:val="continue"/>
                  <w:vAlign w:val="center"/>
                </w:tcPr>
                <w:p>
                  <w:pPr>
                    <w:jc w:val="center"/>
                    <w:rPr>
                      <w:color w:val="auto"/>
                      <w:sz w:val="21"/>
                      <w:szCs w:val="21"/>
                      <w:u w:val="single"/>
                    </w:rPr>
                  </w:pPr>
                </w:p>
              </w:tc>
              <w:tc>
                <w:tcPr>
                  <w:tcW w:w="875" w:type="dxa"/>
                  <w:vAlign w:val="center"/>
                </w:tcPr>
                <w:p>
                  <w:pPr>
                    <w:jc w:val="center"/>
                    <w:rPr>
                      <w:color w:val="auto"/>
                      <w:sz w:val="21"/>
                      <w:szCs w:val="21"/>
                      <w:u w:val="single"/>
                    </w:rPr>
                  </w:pPr>
                  <w:r>
                    <w:rPr>
                      <w:rFonts w:hAnsi="宋体"/>
                      <w:color w:val="auto"/>
                      <w:sz w:val="21"/>
                      <w:szCs w:val="21"/>
                      <w:u w:val="single"/>
                    </w:rPr>
                    <w:t>土壤修复</w:t>
                  </w:r>
                </w:p>
              </w:tc>
              <w:tc>
                <w:tcPr>
                  <w:tcW w:w="7813" w:type="dxa"/>
                  <w:vAlign w:val="center"/>
                </w:tcPr>
                <w:p>
                  <w:pPr>
                    <w:jc w:val="center"/>
                    <w:rPr>
                      <w:color w:val="auto"/>
                      <w:sz w:val="21"/>
                      <w:szCs w:val="21"/>
                      <w:u w:val="single"/>
                    </w:rPr>
                  </w:pPr>
                  <w:r>
                    <w:rPr>
                      <w:rFonts w:hAnsi="宋体"/>
                      <w:bCs/>
                      <w:color w:val="auto"/>
                      <w:sz w:val="21"/>
                      <w:szCs w:val="21"/>
                      <w:u w:val="single"/>
                      <w:lang w:val="zh-TW"/>
                    </w:rPr>
                    <w:t>需治理的土壤污染面积共</w:t>
                  </w:r>
                  <w:r>
                    <w:rPr>
                      <w:bCs/>
                      <w:color w:val="auto"/>
                      <w:sz w:val="21"/>
                      <w:szCs w:val="21"/>
                      <w:u w:val="single"/>
                    </w:rPr>
                    <w:t>13539.777m</w:t>
                  </w:r>
                  <w:r>
                    <w:rPr>
                      <w:bCs/>
                      <w:color w:val="auto"/>
                      <w:sz w:val="21"/>
                      <w:szCs w:val="21"/>
                      <w:u w:val="single"/>
                      <w:vertAlign w:val="superscript"/>
                      <w:lang w:val="zh-TW"/>
                    </w:rPr>
                    <w:t>2</w:t>
                  </w:r>
                  <w:r>
                    <w:rPr>
                      <w:rFonts w:hAnsi="宋体"/>
                      <w:bCs/>
                      <w:color w:val="auto"/>
                      <w:sz w:val="21"/>
                      <w:szCs w:val="21"/>
                      <w:u w:val="single"/>
                      <w:lang w:val="zh-TW"/>
                    </w:rPr>
                    <w:t>，土壤污染修复量</w:t>
                  </w:r>
                  <w:r>
                    <w:rPr>
                      <w:bCs/>
                      <w:color w:val="auto"/>
                      <w:sz w:val="21"/>
                      <w:szCs w:val="21"/>
                      <w:u w:val="single"/>
                    </w:rPr>
                    <w:t>43524.3m</w:t>
                  </w:r>
                  <w:r>
                    <w:rPr>
                      <w:bCs/>
                      <w:color w:val="auto"/>
                      <w:sz w:val="21"/>
                      <w:szCs w:val="21"/>
                      <w:u w:val="single"/>
                      <w:vertAlign w:val="superscript"/>
                      <w:lang w:val="zh-TW"/>
                    </w:rPr>
                    <w:t>3</w:t>
                  </w:r>
                  <w:r>
                    <w:rPr>
                      <w:rFonts w:hAnsi="宋体"/>
                      <w:bCs/>
                      <w:color w:val="auto"/>
                      <w:sz w:val="21"/>
                      <w:szCs w:val="21"/>
                      <w:u w:val="single"/>
                      <w:lang w:val="zh-TW"/>
                    </w:rPr>
                    <w:t>，采用</w:t>
                  </w:r>
                  <w:r>
                    <w:rPr>
                      <w:rFonts w:hint="eastAsia" w:hAnsi="宋体"/>
                      <w:bCs/>
                      <w:color w:val="auto"/>
                      <w:sz w:val="21"/>
                      <w:szCs w:val="21"/>
                      <w:u w:val="single"/>
                      <w:lang w:val="zh-TW" w:eastAsia="zh-CN"/>
                    </w:rPr>
                    <w:t>原位异地化学氧化技术</w:t>
                  </w:r>
                  <w:r>
                    <w:rPr>
                      <w:rFonts w:hAnsi="宋体"/>
                      <w:bCs/>
                      <w:color w:val="auto"/>
                      <w:sz w:val="21"/>
                      <w:szCs w:val="21"/>
                      <w:u w:val="single"/>
                      <w:lang w:val="zh-TW"/>
                    </w:rPr>
                    <w:t>，土壤运至</w:t>
                  </w:r>
                  <w:r>
                    <w:rPr>
                      <w:rFonts w:hint="eastAsia" w:hAnsi="宋体"/>
                      <w:bCs/>
                      <w:color w:val="auto"/>
                      <w:sz w:val="21"/>
                      <w:szCs w:val="21"/>
                      <w:u w:val="single"/>
                      <w:lang w:val="zh-TW" w:eastAsia="zh-CN"/>
                    </w:rPr>
                    <w:t>化学氧化</w:t>
                  </w:r>
                  <w:r>
                    <w:rPr>
                      <w:rFonts w:hint="eastAsia" w:hAnsi="宋体"/>
                      <w:bCs/>
                      <w:color w:val="auto"/>
                      <w:sz w:val="21"/>
                      <w:szCs w:val="21"/>
                      <w:u w:val="single"/>
                      <w:lang w:val="zh-TW"/>
                    </w:rPr>
                    <w:t>负压大棚</w:t>
                  </w:r>
                  <w:r>
                    <w:rPr>
                      <w:rFonts w:hAnsi="宋体"/>
                      <w:bCs/>
                      <w:color w:val="auto"/>
                      <w:sz w:val="21"/>
                      <w:szCs w:val="21"/>
                      <w:u w:val="single"/>
                      <w:lang w:val="zh-TW"/>
                    </w:rPr>
                    <w:t>处理后</w:t>
                  </w:r>
                  <w:r>
                    <w:rPr>
                      <w:rFonts w:hint="eastAsia" w:hAnsi="宋体"/>
                      <w:bCs/>
                      <w:color w:val="auto"/>
                      <w:sz w:val="21"/>
                      <w:szCs w:val="21"/>
                      <w:u w:val="single"/>
                      <w:lang w:val="zh-TW"/>
                    </w:rPr>
                    <w:t>，暂存于修复合格土壤暂存区，定期回填至原开挖区，并对回填区进行生态恢复。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blHeader/>
                <w:jc w:val="center"/>
              </w:trPr>
              <w:tc>
                <w:tcPr>
                  <w:tcW w:w="382" w:type="dxa"/>
                  <w:vMerge w:val="continue"/>
                  <w:vAlign w:val="center"/>
                </w:tcPr>
                <w:p>
                  <w:pPr>
                    <w:jc w:val="center"/>
                    <w:rPr>
                      <w:color w:val="auto"/>
                      <w:sz w:val="21"/>
                      <w:szCs w:val="21"/>
                      <w:u w:val="single"/>
                    </w:rPr>
                  </w:pPr>
                </w:p>
              </w:tc>
              <w:tc>
                <w:tcPr>
                  <w:tcW w:w="875" w:type="dxa"/>
                  <w:vAlign w:val="center"/>
                </w:tcPr>
                <w:p>
                  <w:pPr>
                    <w:jc w:val="center"/>
                    <w:rPr>
                      <w:color w:val="auto"/>
                      <w:sz w:val="21"/>
                      <w:szCs w:val="21"/>
                      <w:u w:val="single"/>
                    </w:rPr>
                  </w:pPr>
                  <w:r>
                    <w:rPr>
                      <w:rFonts w:hint="eastAsia" w:hAnsi="宋体"/>
                      <w:color w:val="auto"/>
                      <w:sz w:val="21"/>
                      <w:szCs w:val="21"/>
                      <w:u w:val="single"/>
                      <w:lang w:eastAsia="zh-CN"/>
                    </w:rPr>
                    <w:t>负压大棚</w:t>
                  </w:r>
                </w:p>
              </w:tc>
              <w:tc>
                <w:tcPr>
                  <w:tcW w:w="7813" w:type="dxa"/>
                  <w:vAlign w:val="center"/>
                </w:tcPr>
                <w:p>
                  <w:pPr>
                    <w:jc w:val="center"/>
                    <w:rPr>
                      <w:color w:val="auto"/>
                      <w:sz w:val="21"/>
                      <w:szCs w:val="21"/>
                      <w:u w:val="single"/>
                    </w:rPr>
                  </w:pPr>
                  <w:r>
                    <w:rPr>
                      <w:rFonts w:hAnsi="宋体"/>
                      <w:color w:val="auto"/>
                      <w:sz w:val="21"/>
                      <w:szCs w:val="21"/>
                      <w:u w:val="single"/>
                    </w:rPr>
                    <w:t>为临时工程，共占地约</w:t>
                  </w:r>
                  <w:r>
                    <w:rPr>
                      <w:rFonts w:hint="eastAsia"/>
                      <w:color w:val="auto"/>
                      <w:sz w:val="21"/>
                      <w:szCs w:val="21"/>
                      <w:u w:val="single"/>
                    </w:rPr>
                    <w:t>1800</w:t>
                  </w:r>
                  <w:r>
                    <w:rPr>
                      <w:color w:val="auto"/>
                      <w:sz w:val="21"/>
                      <w:szCs w:val="21"/>
                      <w:u w:val="single"/>
                    </w:rPr>
                    <w:t>m</w:t>
                  </w:r>
                  <w:r>
                    <w:rPr>
                      <w:color w:val="auto"/>
                      <w:sz w:val="21"/>
                      <w:szCs w:val="21"/>
                      <w:u w:val="single"/>
                      <w:vertAlign w:val="superscript"/>
                    </w:rPr>
                    <w:t>2</w:t>
                  </w:r>
                  <w:r>
                    <w:rPr>
                      <w:rFonts w:hAnsi="宋体"/>
                      <w:color w:val="auto"/>
                      <w:sz w:val="21"/>
                      <w:szCs w:val="21"/>
                      <w:u w:val="single"/>
                    </w:rPr>
                    <w:t>，</w:t>
                  </w:r>
                  <w:r>
                    <w:rPr>
                      <w:rFonts w:hint="eastAsia" w:hAnsi="宋体"/>
                      <w:color w:val="auto"/>
                      <w:sz w:val="21"/>
                      <w:szCs w:val="21"/>
                      <w:u w:val="single"/>
                    </w:rPr>
                    <w:t>采用膜结构搭建，</w:t>
                  </w:r>
                  <w:r>
                    <w:rPr>
                      <w:rFonts w:hAnsi="宋体"/>
                      <w:color w:val="auto"/>
                      <w:sz w:val="21"/>
                      <w:szCs w:val="21"/>
                      <w:u w:val="single"/>
                    </w:rPr>
                    <w:t>地面水泥硬底化</w:t>
                  </w:r>
                  <w:r>
                    <w:rPr>
                      <w:rFonts w:hint="eastAsia" w:hAnsi="宋体"/>
                      <w:color w:val="auto"/>
                      <w:sz w:val="21"/>
                      <w:szCs w:val="21"/>
                      <w:u w:val="single"/>
                    </w:rPr>
                    <w:t>，负压大棚设置防渗层</w:t>
                  </w:r>
                  <w:r>
                    <w:rPr>
                      <w:rFonts w:hAnsi="宋体"/>
                      <w:color w:val="auto"/>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blHeader/>
                <w:jc w:val="center"/>
              </w:trPr>
              <w:tc>
                <w:tcPr>
                  <w:tcW w:w="382" w:type="dxa"/>
                  <w:vMerge w:val="continue"/>
                  <w:vAlign w:val="center"/>
                </w:tcPr>
                <w:p>
                  <w:pPr>
                    <w:jc w:val="center"/>
                    <w:rPr>
                      <w:color w:val="auto"/>
                      <w:sz w:val="21"/>
                      <w:szCs w:val="21"/>
                      <w:u w:val="single"/>
                    </w:rPr>
                  </w:pPr>
                </w:p>
              </w:tc>
              <w:tc>
                <w:tcPr>
                  <w:tcW w:w="875" w:type="dxa"/>
                  <w:vAlign w:val="center"/>
                </w:tcPr>
                <w:p>
                  <w:pPr>
                    <w:jc w:val="center"/>
                    <w:rPr>
                      <w:rFonts w:hAnsi="宋体"/>
                      <w:color w:val="auto"/>
                      <w:sz w:val="21"/>
                      <w:szCs w:val="21"/>
                      <w:u w:val="single"/>
                    </w:rPr>
                  </w:pPr>
                  <w:r>
                    <w:rPr>
                      <w:rFonts w:hint="eastAsia" w:hAnsi="宋体"/>
                      <w:color w:val="auto"/>
                      <w:sz w:val="21"/>
                      <w:szCs w:val="21"/>
                      <w:u w:val="single"/>
                    </w:rPr>
                    <w:t>合格土壤临时储存区</w:t>
                  </w:r>
                </w:p>
              </w:tc>
              <w:tc>
                <w:tcPr>
                  <w:tcW w:w="7813" w:type="dxa"/>
                  <w:vAlign w:val="center"/>
                </w:tcPr>
                <w:p>
                  <w:pPr>
                    <w:jc w:val="center"/>
                    <w:rPr>
                      <w:rFonts w:hAnsi="宋体"/>
                      <w:color w:val="auto"/>
                      <w:sz w:val="21"/>
                      <w:szCs w:val="21"/>
                      <w:u w:val="single"/>
                    </w:rPr>
                  </w:pPr>
                  <w:r>
                    <w:rPr>
                      <w:rFonts w:hint="eastAsia" w:hAnsi="宋体"/>
                      <w:color w:val="auto"/>
                      <w:sz w:val="21"/>
                      <w:szCs w:val="21"/>
                      <w:u w:val="single"/>
                    </w:rPr>
                    <w:t>在负压大棚南侧，占地面积800</w:t>
                  </w:r>
                  <w:r>
                    <w:rPr>
                      <w:color w:val="auto"/>
                      <w:sz w:val="21"/>
                      <w:szCs w:val="21"/>
                      <w:u w:val="single"/>
                    </w:rPr>
                    <w:t xml:space="preserve"> m</w:t>
                  </w:r>
                  <w:r>
                    <w:rPr>
                      <w:color w:val="auto"/>
                      <w:sz w:val="21"/>
                      <w:szCs w:val="21"/>
                      <w:u w:val="single"/>
                      <w:vertAlign w:val="superscript"/>
                    </w:rPr>
                    <w:t>2</w:t>
                  </w:r>
                  <w:r>
                    <w:rPr>
                      <w:rFonts w:hint="eastAsia"/>
                      <w:color w:val="auto"/>
                      <w:sz w:val="21"/>
                      <w:szCs w:val="21"/>
                      <w:u w:val="single"/>
                    </w:rPr>
                    <w:t>，采用地面防渗，用于临时储存合格土壤，定期运至开挖区回填修复。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blHeader/>
                <w:jc w:val="center"/>
              </w:trPr>
              <w:tc>
                <w:tcPr>
                  <w:tcW w:w="382" w:type="dxa"/>
                  <w:vAlign w:val="center"/>
                </w:tcPr>
                <w:p>
                  <w:pPr>
                    <w:jc w:val="center"/>
                    <w:rPr>
                      <w:color w:val="auto"/>
                      <w:sz w:val="21"/>
                      <w:szCs w:val="21"/>
                      <w:u w:val="single"/>
                    </w:rPr>
                  </w:pPr>
                  <w:r>
                    <w:rPr>
                      <w:rFonts w:hAnsi="宋体"/>
                      <w:color w:val="auto"/>
                      <w:sz w:val="21"/>
                      <w:szCs w:val="21"/>
                      <w:u w:val="single"/>
                    </w:rPr>
                    <w:t>储运工程</w:t>
                  </w:r>
                </w:p>
              </w:tc>
              <w:tc>
                <w:tcPr>
                  <w:tcW w:w="875" w:type="dxa"/>
                  <w:vAlign w:val="center"/>
                </w:tcPr>
                <w:p>
                  <w:pPr>
                    <w:jc w:val="center"/>
                    <w:rPr>
                      <w:color w:val="auto"/>
                      <w:sz w:val="21"/>
                      <w:szCs w:val="21"/>
                      <w:u w:val="single"/>
                    </w:rPr>
                  </w:pPr>
                  <w:r>
                    <w:rPr>
                      <w:rFonts w:hAnsi="宋体"/>
                      <w:color w:val="auto"/>
                      <w:sz w:val="21"/>
                      <w:szCs w:val="21"/>
                      <w:u w:val="single"/>
                    </w:rPr>
                    <w:t>运输、储存</w:t>
                  </w:r>
                </w:p>
              </w:tc>
              <w:tc>
                <w:tcPr>
                  <w:tcW w:w="7813" w:type="dxa"/>
                  <w:vAlign w:val="center"/>
                </w:tcPr>
                <w:p>
                  <w:pPr>
                    <w:jc w:val="center"/>
                    <w:rPr>
                      <w:color w:val="auto"/>
                      <w:sz w:val="21"/>
                      <w:szCs w:val="21"/>
                      <w:u w:val="single"/>
                    </w:rPr>
                  </w:pPr>
                  <w:r>
                    <w:rPr>
                      <w:rFonts w:hAnsi="宋体"/>
                      <w:bCs/>
                      <w:color w:val="auto"/>
                      <w:sz w:val="21"/>
                      <w:szCs w:val="21"/>
                      <w:u w:val="single"/>
                    </w:rPr>
                    <w:t>租赁</w:t>
                  </w:r>
                  <w:r>
                    <w:rPr>
                      <w:rFonts w:hint="eastAsia"/>
                      <w:bCs/>
                      <w:color w:val="auto"/>
                      <w:sz w:val="21"/>
                      <w:szCs w:val="21"/>
                      <w:u w:val="single"/>
                    </w:rPr>
                    <w:t>2</w:t>
                  </w:r>
                  <w:r>
                    <w:rPr>
                      <w:rFonts w:hAnsi="宋体"/>
                      <w:bCs/>
                      <w:color w:val="auto"/>
                      <w:sz w:val="21"/>
                      <w:szCs w:val="21"/>
                      <w:u w:val="single"/>
                    </w:rPr>
                    <w:t>台长臂反铲挖掘机（斗容</w:t>
                  </w:r>
                  <w:r>
                    <w:rPr>
                      <w:bCs/>
                      <w:color w:val="auto"/>
                      <w:sz w:val="21"/>
                      <w:szCs w:val="21"/>
                      <w:u w:val="single"/>
                    </w:rPr>
                    <w:t>2m</w:t>
                  </w:r>
                  <w:r>
                    <w:rPr>
                      <w:bCs/>
                      <w:color w:val="auto"/>
                      <w:sz w:val="21"/>
                      <w:szCs w:val="21"/>
                      <w:u w:val="single"/>
                      <w:vertAlign w:val="superscript"/>
                    </w:rPr>
                    <w:t>3</w:t>
                  </w:r>
                  <w:r>
                    <w:rPr>
                      <w:rFonts w:hAnsi="宋体"/>
                      <w:bCs/>
                      <w:color w:val="auto"/>
                      <w:sz w:val="21"/>
                      <w:szCs w:val="21"/>
                      <w:u w:val="single"/>
                    </w:rPr>
                    <w:t>）进行土壤的开挖、回填；租赁</w:t>
                  </w:r>
                  <w:r>
                    <w:rPr>
                      <w:bCs/>
                      <w:color w:val="auto"/>
                      <w:sz w:val="21"/>
                      <w:szCs w:val="21"/>
                      <w:u w:val="single"/>
                    </w:rPr>
                    <w:t>4</w:t>
                  </w:r>
                  <w:r>
                    <w:rPr>
                      <w:rFonts w:hAnsi="宋体"/>
                      <w:bCs/>
                      <w:color w:val="auto"/>
                      <w:sz w:val="21"/>
                      <w:szCs w:val="21"/>
                      <w:u w:val="single"/>
                    </w:rPr>
                    <w:t>台</w:t>
                  </w:r>
                  <w:r>
                    <w:rPr>
                      <w:bCs/>
                      <w:color w:val="auto"/>
                      <w:sz w:val="21"/>
                      <w:szCs w:val="21"/>
                      <w:u w:val="single"/>
                    </w:rPr>
                    <w:t>10t</w:t>
                  </w:r>
                  <w:r>
                    <w:rPr>
                      <w:rFonts w:hAnsi="宋体"/>
                      <w:bCs/>
                      <w:color w:val="auto"/>
                      <w:sz w:val="21"/>
                      <w:szCs w:val="21"/>
                      <w:u w:val="single"/>
                    </w:rPr>
                    <w:t>密闭式自卸车用于污染土壤运输；建筑垃圾厂外运输由</w:t>
                  </w:r>
                  <w:r>
                    <w:rPr>
                      <w:rFonts w:hint="eastAsia" w:hAnsi="宋体"/>
                      <w:bCs/>
                      <w:color w:val="auto"/>
                      <w:sz w:val="21"/>
                      <w:szCs w:val="21"/>
                      <w:u w:val="single"/>
                    </w:rPr>
                    <w:t>相关专业机构</w:t>
                  </w:r>
                  <w:r>
                    <w:rPr>
                      <w:rFonts w:hAnsi="宋体"/>
                      <w:bCs/>
                      <w:color w:val="auto"/>
                      <w:sz w:val="21"/>
                      <w:szCs w:val="21"/>
                      <w:u w:val="single"/>
                    </w:rPr>
                    <w:t>专用运输车负责。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82" w:type="dxa"/>
                  <w:vMerge w:val="restart"/>
                  <w:vAlign w:val="center"/>
                </w:tcPr>
                <w:p>
                  <w:pPr>
                    <w:jc w:val="center"/>
                    <w:rPr>
                      <w:color w:val="auto"/>
                      <w:sz w:val="21"/>
                      <w:szCs w:val="21"/>
                      <w:u w:val="single"/>
                    </w:rPr>
                  </w:pPr>
                  <w:r>
                    <w:rPr>
                      <w:rFonts w:hAnsi="宋体"/>
                      <w:color w:val="auto"/>
                      <w:sz w:val="21"/>
                      <w:szCs w:val="21"/>
                      <w:u w:val="single"/>
                    </w:rPr>
                    <w:t>环保工程</w:t>
                  </w:r>
                </w:p>
              </w:tc>
              <w:tc>
                <w:tcPr>
                  <w:tcW w:w="875" w:type="dxa"/>
                  <w:vAlign w:val="center"/>
                </w:tcPr>
                <w:p>
                  <w:pPr>
                    <w:jc w:val="center"/>
                    <w:rPr>
                      <w:color w:val="auto"/>
                      <w:sz w:val="21"/>
                      <w:szCs w:val="21"/>
                      <w:u w:val="single"/>
                    </w:rPr>
                  </w:pPr>
                  <w:r>
                    <w:rPr>
                      <w:rFonts w:hAnsi="宋体"/>
                      <w:color w:val="auto"/>
                      <w:sz w:val="21"/>
                      <w:szCs w:val="21"/>
                      <w:u w:val="single"/>
                    </w:rPr>
                    <w:t>废水</w:t>
                  </w:r>
                </w:p>
              </w:tc>
              <w:tc>
                <w:tcPr>
                  <w:tcW w:w="7813" w:type="dxa"/>
                  <w:vAlign w:val="center"/>
                </w:tcPr>
                <w:p>
                  <w:pPr>
                    <w:jc w:val="center"/>
                    <w:rPr>
                      <w:color w:val="auto"/>
                      <w:sz w:val="21"/>
                      <w:szCs w:val="21"/>
                      <w:u w:val="single"/>
                    </w:rPr>
                  </w:pPr>
                  <w:r>
                    <w:rPr>
                      <w:rFonts w:hint="eastAsia" w:hAnsi="宋体"/>
                      <w:color w:val="auto"/>
                      <w:sz w:val="21"/>
                      <w:szCs w:val="21"/>
                      <w:u w:val="single"/>
                    </w:rPr>
                    <w:t>降雨产生的场地雨水，</w:t>
                  </w:r>
                  <w:r>
                    <w:rPr>
                      <w:rFonts w:hAnsi="宋体"/>
                      <w:color w:val="auto"/>
                      <w:sz w:val="21"/>
                      <w:szCs w:val="21"/>
                      <w:u w:val="single"/>
                    </w:rPr>
                    <w:t>土壤治理产生的</w:t>
                  </w:r>
                  <w:r>
                    <w:rPr>
                      <w:rFonts w:hint="eastAsia" w:hAnsi="宋体"/>
                      <w:color w:val="auto"/>
                      <w:sz w:val="21"/>
                      <w:szCs w:val="21"/>
                      <w:u w:val="single"/>
                    </w:rPr>
                    <w:t>洗车废水</w:t>
                  </w:r>
                  <w:r>
                    <w:rPr>
                      <w:rFonts w:hAnsi="宋体"/>
                      <w:color w:val="auto"/>
                      <w:sz w:val="21"/>
                      <w:szCs w:val="21"/>
                      <w:u w:val="single"/>
                    </w:rPr>
                    <w:t>、</w:t>
                  </w:r>
                  <w:r>
                    <w:rPr>
                      <w:rFonts w:hint="eastAsia" w:hAnsi="宋体"/>
                      <w:color w:val="auto"/>
                      <w:sz w:val="21"/>
                      <w:szCs w:val="21"/>
                      <w:u w:val="single"/>
                    </w:rPr>
                    <w:t>基坑</w:t>
                  </w:r>
                  <w:r>
                    <w:rPr>
                      <w:rFonts w:hAnsi="宋体"/>
                      <w:color w:val="auto"/>
                      <w:sz w:val="21"/>
                      <w:szCs w:val="21"/>
                      <w:u w:val="single"/>
                    </w:rPr>
                    <w:t>积水、施工开挖抽取的</w:t>
                  </w:r>
                  <w:r>
                    <w:rPr>
                      <w:rFonts w:hint="eastAsia" w:hAnsi="宋体"/>
                      <w:color w:val="auto"/>
                      <w:sz w:val="21"/>
                      <w:szCs w:val="21"/>
                      <w:u w:val="single"/>
                    </w:rPr>
                    <w:t>地下水</w:t>
                  </w:r>
                  <w:r>
                    <w:rPr>
                      <w:rFonts w:hAnsi="宋体"/>
                      <w:color w:val="auto"/>
                      <w:sz w:val="21"/>
                      <w:szCs w:val="21"/>
                      <w:u w:val="single"/>
                    </w:rPr>
                    <w:t>等经</w:t>
                  </w:r>
                  <w:r>
                    <w:rPr>
                      <w:rFonts w:hint="eastAsia" w:hAnsi="宋体"/>
                      <w:color w:val="auto"/>
                      <w:sz w:val="21"/>
                      <w:szCs w:val="21"/>
                      <w:u w:val="single"/>
                    </w:rPr>
                    <w:t>截流沟、</w:t>
                  </w:r>
                  <w:r>
                    <w:rPr>
                      <w:rFonts w:hAnsi="宋体"/>
                      <w:color w:val="auto"/>
                      <w:sz w:val="21"/>
                      <w:szCs w:val="21"/>
                      <w:u w:val="single"/>
                    </w:rPr>
                    <w:t>废水收集</w:t>
                  </w:r>
                  <w:r>
                    <w:rPr>
                      <w:rFonts w:hint="eastAsia" w:hAnsi="宋体"/>
                      <w:color w:val="auto"/>
                      <w:sz w:val="21"/>
                      <w:szCs w:val="21"/>
                      <w:u w:val="single"/>
                    </w:rPr>
                    <w:t>管网收集后</w:t>
                  </w:r>
                  <w:r>
                    <w:rPr>
                      <w:rFonts w:hAnsi="宋体"/>
                      <w:color w:val="auto"/>
                      <w:sz w:val="21"/>
                      <w:szCs w:val="21"/>
                      <w:u w:val="single"/>
                    </w:rPr>
                    <w:t>经</w:t>
                  </w:r>
                  <w:r>
                    <w:rPr>
                      <w:rFonts w:hint="eastAsia" w:hAnsi="宋体"/>
                      <w:color w:val="auto"/>
                      <w:sz w:val="21"/>
                      <w:szCs w:val="21"/>
                      <w:u w:val="single"/>
                    </w:rPr>
                    <w:t>两重沉淀后</w:t>
                  </w:r>
                  <w:r>
                    <w:rPr>
                      <w:rFonts w:hAnsi="宋体"/>
                      <w:color w:val="auto"/>
                      <w:sz w:val="21"/>
                      <w:szCs w:val="21"/>
                      <w:u w:val="single"/>
                    </w:rPr>
                    <w:t>处理后</w:t>
                  </w:r>
                  <w:r>
                    <w:rPr>
                      <w:rFonts w:hint="eastAsia" w:hAnsi="宋体"/>
                      <w:color w:val="auto"/>
                      <w:sz w:val="21"/>
                      <w:szCs w:val="21"/>
                      <w:u w:val="single"/>
                      <w:lang w:eastAsia="zh-CN"/>
                    </w:rPr>
                    <w:t>运输至有处理能力的污水处理厂或企业污水处理装置处理</w:t>
                  </w:r>
                  <w:r>
                    <w:rPr>
                      <w:rFonts w:hint="eastAsia" w:hAnsi="宋体"/>
                      <w:color w:val="auto"/>
                      <w:sz w:val="21"/>
                      <w:szCs w:val="21"/>
                      <w:u w:val="single"/>
                    </w:rPr>
                    <w:t>，不外排</w:t>
                  </w:r>
                  <w:r>
                    <w:rPr>
                      <w:rFonts w:hAnsi="宋体"/>
                      <w:color w:val="auto"/>
                      <w:sz w:val="21"/>
                      <w:szCs w:val="21"/>
                      <w:u w:val="single"/>
                    </w:rPr>
                    <w:t>；</w:t>
                  </w:r>
                  <w:r>
                    <w:rPr>
                      <w:rFonts w:hAnsi="宋体"/>
                      <w:bCs/>
                      <w:color w:val="auto"/>
                      <w:sz w:val="21"/>
                      <w:szCs w:val="21"/>
                      <w:u w:val="single"/>
                    </w:rPr>
                    <w:t>生活污水经化粪池处理后</w:t>
                  </w:r>
                  <w:r>
                    <w:rPr>
                      <w:rFonts w:hint="eastAsia" w:hAnsi="宋体"/>
                      <w:bCs/>
                      <w:color w:val="auto"/>
                      <w:sz w:val="21"/>
                      <w:szCs w:val="21"/>
                      <w:u w:val="single"/>
                    </w:rPr>
                    <w:t>由</w:t>
                  </w:r>
                  <w:r>
                    <w:rPr>
                      <w:rFonts w:hAnsi="宋体"/>
                      <w:bCs/>
                      <w:color w:val="auto"/>
                      <w:sz w:val="21"/>
                      <w:szCs w:val="21"/>
                      <w:u w:val="single"/>
                    </w:rPr>
                    <w:t>周边居民运作农肥，不外排。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82" w:type="dxa"/>
                  <w:vMerge w:val="continue"/>
                  <w:vAlign w:val="center"/>
                </w:tcPr>
                <w:p>
                  <w:pPr>
                    <w:jc w:val="center"/>
                    <w:rPr>
                      <w:color w:val="auto"/>
                      <w:sz w:val="21"/>
                      <w:szCs w:val="21"/>
                      <w:u w:val="single"/>
                    </w:rPr>
                  </w:pPr>
                </w:p>
              </w:tc>
              <w:tc>
                <w:tcPr>
                  <w:tcW w:w="875" w:type="dxa"/>
                  <w:vAlign w:val="center"/>
                </w:tcPr>
                <w:p>
                  <w:pPr>
                    <w:jc w:val="center"/>
                    <w:rPr>
                      <w:color w:val="auto"/>
                      <w:sz w:val="21"/>
                      <w:szCs w:val="21"/>
                      <w:u w:val="single"/>
                    </w:rPr>
                  </w:pPr>
                  <w:r>
                    <w:rPr>
                      <w:rFonts w:hAnsi="宋体"/>
                      <w:color w:val="auto"/>
                      <w:sz w:val="21"/>
                      <w:szCs w:val="21"/>
                      <w:u w:val="single"/>
                    </w:rPr>
                    <w:t>废气</w:t>
                  </w:r>
                </w:p>
              </w:tc>
              <w:tc>
                <w:tcPr>
                  <w:tcW w:w="7813" w:type="dxa"/>
                  <w:vAlign w:val="center"/>
                </w:tcPr>
                <w:p>
                  <w:pPr>
                    <w:jc w:val="center"/>
                    <w:rPr>
                      <w:rFonts w:hAnsi="宋体"/>
                      <w:color w:val="auto"/>
                      <w:sz w:val="21"/>
                      <w:szCs w:val="21"/>
                      <w:u w:val="single"/>
                    </w:rPr>
                  </w:pPr>
                  <w:r>
                    <w:rPr>
                      <w:rFonts w:hint="eastAsia" w:hAnsi="宋体"/>
                      <w:color w:val="auto"/>
                      <w:sz w:val="21"/>
                      <w:szCs w:val="21"/>
                      <w:u w:val="single"/>
                    </w:rPr>
                    <w:t>负压大棚尾气处理设置稳压的排风系统，设置滤筒除尘法+活性炭吸附处理处置，尾部加装尾气监测系统，通过15m高排气筒排放。</w:t>
                  </w:r>
                </w:p>
                <w:p>
                  <w:pPr>
                    <w:jc w:val="center"/>
                    <w:rPr>
                      <w:color w:val="auto"/>
                      <w:sz w:val="21"/>
                      <w:szCs w:val="21"/>
                      <w:u w:val="single"/>
                    </w:rPr>
                  </w:pPr>
                  <w:r>
                    <w:rPr>
                      <w:rFonts w:hAnsi="宋体"/>
                      <w:color w:val="auto"/>
                      <w:sz w:val="21"/>
                      <w:szCs w:val="21"/>
                      <w:u w:val="single"/>
                    </w:rPr>
                    <w:t>土壤开挖、</w:t>
                  </w:r>
                  <w:r>
                    <w:rPr>
                      <w:rFonts w:hint="eastAsia" w:hAnsi="宋体"/>
                      <w:color w:val="auto"/>
                      <w:sz w:val="21"/>
                      <w:szCs w:val="21"/>
                      <w:u w:val="single"/>
                    </w:rPr>
                    <w:t>回填、</w:t>
                  </w:r>
                  <w:r>
                    <w:rPr>
                      <w:rFonts w:hAnsi="宋体"/>
                      <w:color w:val="auto"/>
                      <w:sz w:val="21"/>
                      <w:szCs w:val="21"/>
                      <w:u w:val="single"/>
                    </w:rPr>
                    <w:t>车辆运输产生的扬尘采用喷淋洒水抑尘、运输道路清扫等措施</w:t>
                  </w:r>
                  <w:r>
                    <w:rPr>
                      <w:rFonts w:hint="eastAsia" w:hAnsi="宋体"/>
                      <w:color w:val="auto"/>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82" w:type="dxa"/>
                  <w:vMerge w:val="continue"/>
                  <w:vAlign w:val="center"/>
                </w:tcPr>
                <w:p>
                  <w:pPr>
                    <w:jc w:val="center"/>
                    <w:rPr>
                      <w:color w:val="auto"/>
                      <w:sz w:val="21"/>
                      <w:szCs w:val="21"/>
                      <w:u w:val="single"/>
                    </w:rPr>
                  </w:pPr>
                </w:p>
              </w:tc>
              <w:tc>
                <w:tcPr>
                  <w:tcW w:w="875" w:type="dxa"/>
                  <w:vAlign w:val="center"/>
                </w:tcPr>
                <w:p>
                  <w:pPr>
                    <w:jc w:val="center"/>
                    <w:rPr>
                      <w:color w:val="auto"/>
                      <w:sz w:val="21"/>
                      <w:szCs w:val="21"/>
                      <w:u w:val="single"/>
                    </w:rPr>
                  </w:pPr>
                  <w:r>
                    <w:rPr>
                      <w:rFonts w:hAnsi="宋体"/>
                      <w:color w:val="auto"/>
                      <w:sz w:val="21"/>
                      <w:szCs w:val="21"/>
                      <w:u w:val="single"/>
                    </w:rPr>
                    <w:t>噪声</w:t>
                  </w:r>
                </w:p>
              </w:tc>
              <w:tc>
                <w:tcPr>
                  <w:tcW w:w="7813" w:type="dxa"/>
                  <w:vAlign w:val="center"/>
                </w:tcPr>
                <w:p>
                  <w:pPr>
                    <w:jc w:val="center"/>
                    <w:rPr>
                      <w:color w:val="auto"/>
                      <w:sz w:val="21"/>
                      <w:szCs w:val="21"/>
                      <w:u w:val="single"/>
                    </w:rPr>
                  </w:pPr>
                  <w:r>
                    <w:rPr>
                      <w:rFonts w:hAnsi="宋体"/>
                      <w:color w:val="auto"/>
                      <w:sz w:val="21"/>
                      <w:szCs w:val="21"/>
                      <w:u w:val="single"/>
                    </w:rPr>
                    <w:t>减震垫、定期检修、围栏隔声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382" w:type="dxa"/>
                  <w:vMerge w:val="continue"/>
                  <w:vAlign w:val="center"/>
                </w:tcPr>
                <w:p>
                  <w:pPr>
                    <w:jc w:val="center"/>
                    <w:rPr>
                      <w:color w:val="auto"/>
                      <w:sz w:val="21"/>
                      <w:szCs w:val="21"/>
                      <w:u w:val="single"/>
                    </w:rPr>
                  </w:pPr>
                </w:p>
              </w:tc>
              <w:tc>
                <w:tcPr>
                  <w:tcW w:w="875" w:type="dxa"/>
                  <w:vAlign w:val="center"/>
                </w:tcPr>
                <w:p>
                  <w:pPr>
                    <w:jc w:val="center"/>
                    <w:rPr>
                      <w:color w:val="auto"/>
                      <w:sz w:val="21"/>
                      <w:szCs w:val="21"/>
                      <w:u w:val="single"/>
                    </w:rPr>
                  </w:pPr>
                  <w:r>
                    <w:rPr>
                      <w:rFonts w:hAnsi="宋体"/>
                      <w:color w:val="auto"/>
                      <w:sz w:val="21"/>
                      <w:szCs w:val="21"/>
                      <w:u w:val="single"/>
                    </w:rPr>
                    <w:t>固废</w:t>
                  </w:r>
                </w:p>
              </w:tc>
              <w:tc>
                <w:tcPr>
                  <w:tcW w:w="7813" w:type="dxa"/>
                  <w:vAlign w:val="center"/>
                </w:tcPr>
                <w:p>
                  <w:pPr>
                    <w:jc w:val="center"/>
                    <w:rPr>
                      <w:color w:val="auto"/>
                      <w:sz w:val="21"/>
                      <w:szCs w:val="21"/>
                      <w:u w:val="single"/>
                    </w:rPr>
                  </w:pPr>
                  <w:r>
                    <w:rPr>
                      <w:rFonts w:hAnsi="宋体"/>
                      <w:color w:val="auto"/>
                      <w:sz w:val="21"/>
                      <w:szCs w:val="21"/>
                      <w:u w:val="single"/>
                    </w:rPr>
                    <w:t>拆除的建筑垃圾、废防渗材料、渣块，运至</w:t>
                  </w:r>
                  <w:r>
                    <w:rPr>
                      <w:rFonts w:hint="eastAsia" w:hAnsi="宋体"/>
                      <w:color w:val="auto"/>
                      <w:sz w:val="21"/>
                      <w:szCs w:val="21"/>
                      <w:u w:val="single"/>
                    </w:rPr>
                    <w:t>相关专业机构进行处理</w:t>
                  </w:r>
                  <w:r>
                    <w:rPr>
                      <w:rFonts w:hAnsi="宋体"/>
                      <w:color w:val="auto"/>
                      <w:sz w:val="21"/>
                      <w:szCs w:val="21"/>
                      <w:u w:val="single"/>
                    </w:rPr>
                    <w:t>；</w:t>
                  </w:r>
                  <w:r>
                    <w:rPr>
                      <w:rFonts w:hint="eastAsia" w:hAnsi="宋体"/>
                      <w:color w:val="auto"/>
                      <w:sz w:val="21"/>
                      <w:szCs w:val="21"/>
                      <w:u w:val="single"/>
                      <w:lang w:eastAsia="zh-CN"/>
                    </w:rPr>
                    <w:t>化学氧化</w:t>
                  </w:r>
                  <w:r>
                    <w:rPr>
                      <w:rFonts w:hint="eastAsia" w:hAnsi="宋体"/>
                      <w:color w:val="auto"/>
                      <w:sz w:val="21"/>
                      <w:szCs w:val="21"/>
                      <w:u w:val="single"/>
                    </w:rPr>
                    <w:t>试剂包装桶，设置危废暂存区，委托有资质单位处理；</w:t>
                  </w:r>
                  <w:r>
                    <w:rPr>
                      <w:rFonts w:hAnsi="宋体"/>
                      <w:color w:val="auto"/>
                      <w:sz w:val="21"/>
                      <w:szCs w:val="21"/>
                      <w:u w:val="single"/>
                    </w:rPr>
                    <w:t>员工生活垃圾交由环卫部门清运处理。</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rPr>
            </w:pPr>
            <w:r>
              <w:rPr>
                <w:rFonts w:hint="eastAsia" w:hAnsi="宋体"/>
                <w:b/>
                <w:color w:val="auto"/>
                <w:sz w:val="24"/>
                <w:szCs w:val="24"/>
                <w:lang w:val="en-US" w:eastAsia="zh-CN"/>
              </w:rPr>
              <w:t>4</w:t>
            </w:r>
            <w:r>
              <w:rPr>
                <w:rFonts w:hAnsi="宋体"/>
                <w:b/>
                <w:color w:val="auto"/>
                <w:sz w:val="24"/>
                <w:szCs w:val="24"/>
              </w:rPr>
              <w:t>、建设规模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1</w:t>
            </w:r>
            <w:r>
              <w:rPr>
                <w:rFonts w:hAnsi="宋体"/>
                <w:color w:val="auto"/>
                <w:sz w:val="24"/>
              </w:rPr>
              <w:t>）建构筑物、设备拆除工程量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Ansi="宋体"/>
                <w:color w:val="auto"/>
                <w:sz w:val="24"/>
              </w:rPr>
              <w:t>项目场地内残留建构筑物分布见图</w:t>
            </w:r>
            <w:r>
              <w:rPr>
                <w:color w:val="auto"/>
                <w:sz w:val="24"/>
              </w:rPr>
              <w:t>1</w:t>
            </w:r>
            <w:r>
              <w:rPr>
                <w:rFonts w:hAnsi="宋体"/>
                <w:color w:val="auto"/>
                <w:sz w:val="24"/>
              </w:rPr>
              <w:t>，建构筑物、设备拆除工程量见表</w:t>
            </w:r>
            <w:r>
              <w:rPr>
                <w:color w:val="auto"/>
                <w:sz w:val="24"/>
              </w:rPr>
              <w:t>2</w:t>
            </w:r>
            <w:r>
              <w:rPr>
                <w:rFonts w:hAnsi="宋体"/>
                <w:color w:val="auto"/>
                <w:sz w:val="24"/>
              </w:rPr>
              <w:t>。</w:t>
            </w:r>
          </w:p>
          <w:p>
            <w:pPr>
              <w:pStyle w:val="2"/>
              <w:rPr>
                <w:rFonts w:hAnsi="宋体"/>
                <w:color w:val="auto"/>
                <w:sz w:val="24"/>
              </w:rPr>
            </w:pPr>
          </w:p>
          <w:p>
            <w:pPr>
              <w:pStyle w:val="2"/>
              <w:rPr>
                <w:rFonts w:hAnsi="宋体"/>
                <w:color w:val="auto"/>
                <w:sz w:val="24"/>
              </w:rPr>
            </w:pPr>
          </w:p>
          <w:p>
            <w:pPr>
              <w:pStyle w:val="2"/>
              <w:rPr>
                <w:rFonts w:hAnsi="宋体"/>
                <w:color w:val="auto"/>
                <w:sz w:val="24"/>
              </w:rPr>
            </w:pPr>
          </w:p>
          <w:p>
            <w:pPr>
              <w:pStyle w:val="2"/>
              <w:rPr>
                <w:rFonts w:hAnsi="宋体"/>
                <w:color w:val="auto"/>
                <w:sz w:val="24"/>
              </w:rPr>
            </w:pPr>
          </w:p>
          <w:p>
            <w:pPr>
              <w:pStyle w:val="2"/>
              <w:rPr>
                <w:rFonts w:hAnsi="宋体"/>
                <w:color w:val="auto"/>
                <w:sz w:val="24"/>
              </w:rPr>
            </w:pPr>
          </w:p>
          <w:p>
            <w:pPr>
              <w:pStyle w:val="2"/>
              <w:rPr>
                <w:rFonts w:hAnsi="宋体"/>
                <w:color w:val="auto"/>
                <w:sz w:val="24"/>
              </w:rPr>
            </w:pPr>
          </w:p>
          <w:p>
            <w:pPr>
              <w:pStyle w:val="2"/>
              <w:rPr>
                <w:rFonts w:hAnsi="宋体"/>
                <w:color w:val="auto"/>
                <w:sz w:val="24"/>
              </w:rPr>
            </w:pPr>
          </w:p>
          <w:p>
            <w:pPr>
              <w:pStyle w:val="2"/>
              <w:rPr>
                <w:rFonts w:hAnsi="宋体"/>
                <w:color w:val="auto"/>
                <w:sz w:val="24"/>
              </w:rPr>
            </w:pPr>
          </w:p>
          <w:p>
            <w:pPr>
              <w:pStyle w:val="2"/>
              <w:rPr>
                <w:rFonts w:hAnsi="宋体"/>
                <w:color w:val="auto"/>
                <w:sz w:val="24"/>
              </w:rPr>
            </w:pPr>
          </w:p>
          <w:p>
            <w:pPr>
              <w:pStyle w:val="2"/>
              <w:rPr>
                <w:rFonts w:hAnsi="宋体"/>
                <w:color w:val="auto"/>
                <w:sz w:val="24"/>
              </w:rPr>
            </w:pPr>
          </w:p>
          <w:p>
            <w:pPr>
              <w:spacing w:line="360" w:lineRule="auto"/>
              <w:rPr>
                <w:color w:val="auto"/>
                <w:sz w:val="24"/>
              </w:rPr>
            </w:pPr>
            <w:r>
              <w:rPr>
                <w:color w:val="auto"/>
              </w:rPr>
              <mc:AlternateContent>
                <mc:Choice Requires="wps">
                  <w:drawing>
                    <wp:anchor distT="0" distB="0" distL="114300" distR="114300" simplePos="0" relativeHeight="251643904" behindDoc="0" locked="0" layoutInCell="1" allowOverlap="1">
                      <wp:simplePos x="0" y="0"/>
                      <wp:positionH relativeFrom="column">
                        <wp:posOffset>1918970</wp:posOffset>
                      </wp:positionH>
                      <wp:positionV relativeFrom="paragraph">
                        <wp:posOffset>483870</wp:posOffset>
                      </wp:positionV>
                      <wp:extent cx="1905000" cy="1952625"/>
                      <wp:effectExtent l="4445" t="4445" r="14605" b="5080"/>
                      <wp:wrapNone/>
                      <wp:docPr id="107" name="任意多边形 107"/>
                      <wp:cNvGraphicFramePr/>
                      <a:graphic xmlns:a="http://schemas.openxmlformats.org/drawingml/2006/main">
                        <a:graphicData uri="http://schemas.microsoft.com/office/word/2010/wordprocessingShape">
                          <wps:wsp>
                            <wps:cNvSpPr/>
                            <wps:spPr>
                              <a:xfrm>
                                <a:off x="0" y="0"/>
                                <a:ext cx="1905000" cy="1952625"/>
                              </a:xfrm>
                              <a:custGeom>
                                <a:avLst/>
                                <a:gdLst>
                                  <a:gd name="connsiteX0" fmla="*/ 438150 w 1905000"/>
                                  <a:gd name="connsiteY0" fmla="*/ 1952625 h 1952625"/>
                                  <a:gd name="connsiteX1" fmla="*/ 1038225 w 1905000"/>
                                  <a:gd name="connsiteY1" fmla="*/ 1666875 h 1952625"/>
                                  <a:gd name="connsiteX2" fmla="*/ 1905000 w 1905000"/>
                                  <a:gd name="connsiteY2" fmla="*/ 962025 h 1952625"/>
                                  <a:gd name="connsiteX3" fmla="*/ 1771650 w 1905000"/>
                                  <a:gd name="connsiteY3" fmla="*/ 714375 h 1952625"/>
                                  <a:gd name="connsiteX4" fmla="*/ 1304925 w 1905000"/>
                                  <a:gd name="connsiteY4" fmla="*/ 990600 h 1952625"/>
                                  <a:gd name="connsiteX5" fmla="*/ 895350 w 1905000"/>
                                  <a:gd name="connsiteY5" fmla="*/ 1343025 h 1952625"/>
                                  <a:gd name="connsiteX6" fmla="*/ 409575 w 1905000"/>
                                  <a:gd name="connsiteY6" fmla="*/ 1533525 h 1952625"/>
                                  <a:gd name="connsiteX7" fmla="*/ 628650 w 1905000"/>
                                  <a:gd name="connsiteY7" fmla="*/ 1257300 h 1952625"/>
                                  <a:gd name="connsiteX8" fmla="*/ 609600 w 1905000"/>
                                  <a:gd name="connsiteY8" fmla="*/ 1047750 h 1952625"/>
                                  <a:gd name="connsiteX9" fmla="*/ 847725 w 1905000"/>
                                  <a:gd name="connsiteY9" fmla="*/ 428625 h 1952625"/>
                                  <a:gd name="connsiteX10" fmla="*/ 1400175 w 1905000"/>
                                  <a:gd name="connsiteY10" fmla="*/ 200025 h 1952625"/>
                                  <a:gd name="connsiteX11" fmla="*/ 1304925 w 1905000"/>
                                  <a:gd name="connsiteY11" fmla="*/ 0 h 1952625"/>
                                  <a:gd name="connsiteX12" fmla="*/ 647700 w 1905000"/>
                                  <a:gd name="connsiteY12" fmla="*/ 266700 h 1952625"/>
                                  <a:gd name="connsiteX13" fmla="*/ 571500 w 1905000"/>
                                  <a:gd name="connsiteY13" fmla="*/ 247650 h 1952625"/>
                                  <a:gd name="connsiteX14" fmla="*/ 238125 w 1905000"/>
                                  <a:gd name="connsiteY14" fmla="*/ 895350 h 1952625"/>
                                  <a:gd name="connsiteX15" fmla="*/ 333375 w 1905000"/>
                                  <a:gd name="connsiteY15" fmla="*/ 971550 h 1952625"/>
                                  <a:gd name="connsiteX16" fmla="*/ 0 w 1905000"/>
                                  <a:gd name="connsiteY16" fmla="*/ 1504950 h 1952625"/>
                                  <a:gd name="connsiteX17" fmla="*/ 276225 w 1905000"/>
                                  <a:gd name="connsiteY17" fmla="*/ 1685925 h 1952625"/>
                                  <a:gd name="connsiteX18" fmla="*/ 438150 w 1905000"/>
                                  <a:gd name="connsiteY18" fmla="*/ 1952625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5000" h="1952625">
                                    <a:moveTo>
                                      <a:pt x="438150" y="1952625"/>
                                    </a:moveTo>
                                    <a:lnTo>
                                      <a:pt x="1038225" y="1666875"/>
                                    </a:lnTo>
                                    <a:lnTo>
                                      <a:pt x="1905000" y="962025"/>
                                    </a:lnTo>
                                    <a:lnTo>
                                      <a:pt x="1771650" y="714375"/>
                                    </a:lnTo>
                                    <a:lnTo>
                                      <a:pt x="1304925" y="990600"/>
                                    </a:lnTo>
                                    <a:lnTo>
                                      <a:pt x="895350" y="1343025"/>
                                    </a:lnTo>
                                    <a:lnTo>
                                      <a:pt x="409575" y="1533525"/>
                                    </a:lnTo>
                                    <a:lnTo>
                                      <a:pt x="628650" y="1257300"/>
                                    </a:lnTo>
                                    <a:lnTo>
                                      <a:pt x="609600" y="1047750"/>
                                    </a:lnTo>
                                    <a:lnTo>
                                      <a:pt x="847725" y="428625"/>
                                    </a:lnTo>
                                    <a:lnTo>
                                      <a:pt x="1400175" y="200025"/>
                                    </a:lnTo>
                                    <a:lnTo>
                                      <a:pt x="1304925" y="0"/>
                                    </a:lnTo>
                                    <a:lnTo>
                                      <a:pt x="647700" y="266700"/>
                                    </a:lnTo>
                                    <a:lnTo>
                                      <a:pt x="571500" y="247650"/>
                                    </a:lnTo>
                                    <a:lnTo>
                                      <a:pt x="238125" y="895350"/>
                                    </a:lnTo>
                                    <a:lnTo>
                                      <a:pt x="333375" y="971550"/>
                                    </a:lnTo>
                                    <a:lnTo>
                                      <a:pt x="0" y="1504950"/>
                                    </a:lnTo>
                                    <a:lnTo>
                                      <a:pt x="276225" y="1685925"/>
                                    </a:lnTo>
                                    <a:lnTo>
                                      <a:pt x="438150" y="1952625"/>
                                    </a:lnTo>
                                    <a:close/>
                                  </a:path>
                                </a:pathLst>
                              </a:custGeom>
                              <a:noFill/>
                              <a:ln w="9525">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151.1pt;margin-top:38.1pt;height:153.75pt;width:150pt;z-index:251643904;v-text-anchor:middle;mso-width-relative:page;mso-height-relative:page;" filled="f" stroked="t" coordsize="1905000,1952625" o:gfxdata="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K5f+SPUAAAACgEAAA8AAAAAAAAAAQAgAAAAIgAAAGRycy9k&#10;b3ducmV2LnhtbFBLAQIUABQAAAAIAIdO4kAf/V52XQUAAO0UAAAOAAAAAAAAAAEAIAAAACMBAABk&#10;cnMvZTJvRG9jLnhtbFBLBQYAAAAABgAGAFkBAADyCAAAAAA=&#10;" path="m438150,1952625l1038225,1666875,1905000,962025,1771650,714375,1304925,990600,895350,1343025,409575,1533525,628650,1257300,609600,1047750,847725,428625,1400175,200025,1304925,0,647700,266700,571500,247650,238125,895350,333375,971550,0,1504950,276225,1685925,438150,1952625xe">
                      <v:path o:connectlocs="438150,1952625;1038225,1666875;1905000,962025;1771650,714375;1304925,990600;895350,1343025;409575,1533525;628650,1257300;609600,1047750;847725,428625;1400175,200025;1304925,0;647700,266700;571500,247650;238125,895350;333375,971550;0,1504950;276225,1685925;438150,1952625" o:connectangles="0,0,0,0,0,0,0,0,0,0,0,0,0,0,0,0,0,0,0"/>
                      <v:fill on="f" focussize="0,0"/>
                      <v:stroke color="#FF0000 [3204]" joinstyle="round"/>
                      <v:imagedata o:title=""/>
                      <o:lock v:ext="edit" aspectratio="f"/>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3204845</wp:posOffset>
                      </wp:positionH>
                      <wp:positionV relativeFrom="paragraph">
                        <wp:posOffset>702945</wp:posOffset>
                      </wp:positionV>
                      <wp:extent cx="333375" cy="304800"/>
                      <wp:effectExtent l="4445" t="4445" r="5080" b="14605"/>
                      <wp:wrapNone/>
                      <wp:docPr id="106" name="任意多边形 106"/>
                      <wp:cNvGraphicFramePr/>
                      <a:graphic xmlns:a="http://schemas.openxmlformats.org/drawingml/2006/main">
                        <a:graphicData uri="http://schemas.microsoft.com/office/word/2010/wordprocessingShape">
                          <wps:wsp>
                            <wps:cNvSpPr/>
                            <wps:spPr>
                              <a:xfrm>
                                <a:off x="0" y="0"/>
                                <a:ext cx="333375" cy="304800"/>
                              </a:xfrm>
                              <a:custGeom>
                                <a:avLst/>
                                <a:gdLst>
                                  <a:gd name="connsiteX0" fmla="*/ 104775 w 333375"/>
                                  <a:gd name="connsiteY0" fmla="*/ 304800 h 304800"/>
                                  <a:gd name="connsiteX1" fmla="*/ 333375 w 333375"/>
                                  <a:gd name="connsiteY1" fmla="*/ 219075 h 304800"/>
                                  <a:gd name="connsiteX2" fmla="*/ 219075 w 333375"/>
                                  <a:gd name="connsiteY2" fmla="*/ 0 h 304800"/>
                                  <a:gd name="connsiteX3" fmla="*/ 0 w 333375"/>
                                  <a:gd name="connsiteY3" fmla="*/ 85725 h 304800"/>
                                  <a:gd name="connsiteX4" fmla="*/ 104775 w 333375"/>
                                  <a:gd name="connsiteY4" fmla="*/ 304800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375" h="304800">
                                    <a:moveTo>
                                      <a:pt x="104775" y="304800"/>
                                    </a:moveTo>
                                    <a:lnTo>
                                      <a:pt x="333375" y="219075"/>
                                    </a:lnTo>
                                    <a:lnTo>
                                      <a:pt x="219075" y="0"/>
                                    </a:lnTo>
                                    <a:lnTo>
                                      <a:pt x="0" y="85725"/>
                                    </a:lnTo>
                                    <a:lnTo>
                                      <a:pt x="104775" y="304800"/>
                                    </a:lnTo>
                                    <a:close/>
                                  </a:path>
                                </a:pathLst>
                              </a:custGeom>
                              <a:noFill/>
                              <a:ln w="63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252.35pt;margin-top:55.35pt;height:24pt;width:26.25pt;z-index:251670528;v-text-anchor:middle;mso-width-relative:page;mso-height-relative:page;" filled="f" stroked="t" coordsize="333375,304800" o:gfxdata="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S&#10;FNRx2wAAAAsBAAAPAAAAAAAAAAEAIAAAACIAAABkcnMvZG93bnJldi54bWxQSwECFAAUAAAACACH&#10;TuJAYHNbZ3cDAAARCQAADgAAAAAAAAABACAAAAAqAQAAZHJzL2Uyb0RvYy54bWxQSwUGAAAAAAYA&#10;BgBZAQAAEwcAAAAA&#10;" path="m104775,304800l333375,219075,219075,0,0,85725,104775,304800xe">
                      <v:path o:connectlocs="104775,304800;333375,219075;219075,0;0,85725;104775,304800" o:connectangles="0,0,0,0,0"/>
                      <v:fill on="f" focussize="0,0"/>
                      <v:stroke weight="0.5pt" color="#FF0000 [3204]" joinstyle="round"/>
                      <v:imagedata o:title=""/>
                      <o:lock v:ext="edit" aspectratio="f"/>
                    </v:shape>
                  </w:pict>
                </mc:Fallback>
              </mc:AlternateContent>
            </w:r>
            <w:r>
              <w:rPr>
                <w:color w:val="auto"/>
              </w:rPr>
              <w:drawing>
                <wp:anchor distT="0" distB="0" distL="114300" distR="114300" simplePos="0" relativeHeight="251642880" behindDoc="1" locked="0" layoutInCell="1" allowOverlap="1">
                  <wp:simplePos x="0" y="0"/>
                  <wp:positionH relativeFrom="column">
                    <wp:posOffset>175895</wp:posOffset>
                  </wp:positionH>
                  <wp:positionV relativeFrom="paragraph">
                    <wp:posOffset>-1905</wp:posOffset>
                  </wp:positionV>
                  <wp:extent cx="5486400" cy="318897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86400" cy="3188970"/>
                          </a:xfrm>
                          <a:prstGeom prst="rect">
                            <a:avLst/>
                          </a:prstGeom>
                        </pic:spPr>
                      </pic:pic>
                    </a:graphicData>
                  </a:graphic>
                </wp:anchor>
              </w:drawing>
            </w:r>
            <w:r>
              <w:rPr>
                <w:b/>
                <w:color w:val="auto"/>
                <w:sz w:val="24"/>
              </w:rPr>
              <mc:AlternateContent>
                <mc:Choice Requires="wps">
                  <w:drawing>
                    <wp:anchor distT="0" distB="0" distL="114300" distR="114300" simplePos="0" relativeHeight="251669504" behindDoc="0" locked="0" layoutInCell="1" allowOverlap="1">
                      <wp:simplePos x="0" y="0"/>
                      <wp:positionH relativeFrom="column">
                        <wp:posOffset>5231765</wp:posOffset>
                      </wp:positionH>
                      <wp:positionV relativeFrom="paragraph">
                        <wp:posOffset>65405</wp:posOffset>
                      </wp:positionV>
                      <wp:extent cx="335915" cy="295910"/>
                      <wp:effectExtent l="0" t="0" r="0" b="0"/>
                      <wp:wrapNone/>
                      <wp:docPr id="104" name="文本框 612"/>
                      <wp:cNvGraphicFramePr/>
                      <a:graphic xmlns:a="http://schemas.openxmlformats.org/drawingml/2006/main">
                        <a:graphicData uri="http://schemas.microsoft.com/office/word/2010/wordprocessingShape">
                          <wps:wsp>
                            <wps:cNvSpPr txBox="1">
                              <a:spLocks noChangeArrowheads="1"/>
                            </wps:cNvSpPr>
                            <wps:spPr bwMode="auto">
                              <a:xfrm>
                                <a:off x="0" y="0"/>
                                <a:ext cx="335915" cy="295910"/>
                              </a:xfrm>
                              <a:prstGeom prst="rect">
                                <a:avLst/>
                              </a:prstGeom>
                              <a:noFill/>
                              <a:ln>
                                <a:noFill/>
                              </a:ln>
                              <a:effectLst/>
                            </wps:spPr>
                            <wps:txbx>
                              <w:txbxContent>
                                <w:p>
                                  <w:pPr>
                                    <w:rPr>
                                      <w:color w:val="FF0000"/>
                                    </w:rPr>
                                  </w:pPr>
                                  <w:r>
                                    <w:rPr>
                                      <w:rFonts w:hint="eastAsia"/>
                                      <w:color w:val="FF0000"/>
                                    </w:rPr>
                                    <w:t>N</w:t>
                                  </w:r>
                                </w:p>
                              </w:txbxContent>
                            </wps:txbx>
                            <wps:bodyPr rot="0" vert="horz" wrap="square" lIns="91440" tIns="45720" rIns="91440" bIns="45720" anchor="t" anchorCtr="0" upright="1">
                              <a:noAutofit/>
                            </wps:bodyPr>
                          </wps:wsp>
                        </a:graphicData>
                      </a:graphic>
                    </wp:anchor>
                  </w:drawing>
                </mc:Choice>
                <mc:Fallback>
                  <w:pict>
                    <v:shape id="文本框 612" o:spid="_x0000_s1026" o:spt="202" type="#_x0000_t202" style="position:absolute;left:0pt;margin-left:411.95pt;margin-top:5.15pt;height:23.3pt;width:26.45pt;z-index:251669504;mso-width-relative:page;mso-height-relative:page;" filled="f" stroked="f" coordsize="21600,21600" o:gfxdata="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uwcA7XAAAACQEAAA8AAAAAAAAAAQAgAAAAIgAAAGRycy9k&#10;b3ducmV2LnhtbFBLAQIUABQAAAAIAIdO4kCyAe0RAwIAANgDAAAOAAAAAAAAAAEAIAAAACYBAABk&#10;cnMvZTJvRG9jLnhtbFBLBQYAAAAABgAGAFkBAACbBQAAAAA=&#10;">
                      <v:fill on="f" focussize="0,0"/>
                      <v:stroke on="f"/>
                      <v:imagedata o:title=""/>
                      <o:lock v:ext="edit" aspectratio="f"/>
                      <v:textbox>
                        <w:txbxContent>
                          <w:p>
                            <w:pPr>
                              <w:rPr>
                                <w:color w:val="FF0000"/>
                              </w:rPr>
                            </w:pPr>
                            <w:r>
                              <w:rPr>
                                <w:rFonts w:hint="eastAsia"/>
                                <w:color w:val="FF0000"/>
                              </w:rPr>
                              <w:t>N</w:t>
                            </w:r>
                          </w:p>
                        </w:txbxContent>
                      </v:textbox>
                    </v:shap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5395595</wp:posOffset>
                      </wp:positionH>
                      <wp:positionV relativeFrom="paragraph">
                        <wp:posOffset>290830</wp:posOffset>
                      </wp:positionV>
                      <wp:extent cx="0" cy="297180"/>
                      <wp:effectExtent l="38100" t="0" r="38100" b="7620"/>
                      <wp:wrapNone/>
                      <wp:docPr id="103" name="直线 611"/>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FF0000"/>
                                </a:solidFill>
                                <a:round/>
                                <a:tailEnd type="triangle" w="med" len="med"/>
                              </a:ln>
                              <a:effectLst/>
                            </wps:spPr>
                            <wps:bodyPr/>
                          </wps:wsp>
                        </a:graphicData>
                      </a:graphic>
                    </wp:anchor>
                  </w:drawing>
                </mc:Choice>
                <mc:Fallback>
                  <w:pict>
                    <v:line id="直线 611" o:spid="_x0000_s1026" o:spt="20" style="position:absolute;left:0pt;flip:y;margin-left:424.85pt;margin-top:22.9pt;height:23.4pt;width:0pt;z-index:251668480;mso-width-relative:page;mso-height-relative:page;" filled="f" stroked="t" coordsize="21600,21600" o:gfxdata="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pJnenWAAAA&#10;CQEAAA8AAAAAAAAAAQAgAAAAIgAAAGRycy9kb3ducmV2LnhtbFBLAQIUABQAAAAIAIdO4kBwules&#10;5gEAAJwDAAAOAAAAAAAAAAEAIAAAACUBAABkcnMvZTJvRG9jLnhtbFBLBQYAAAAABgAGAFkBAAB9&#10;BQAAAAA=&#10;">
                      <v:fill on="f" focussize="0,0"/>
                      <v:stroke color="#FF0000" joinstyle="round" endarrow="block"/>
                      <v:imagedata o:title=""/>
                      <o:lock v:ext="edit" aspectratio="f"/>
                    </v:line>
                  </w:pict>
                </mc:Fallback>
              </mc:AlternateContent>
            </w: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r>
              <w:rPr>
                <w:color w:val="auto"/>
              </w:rPr>
              <mc:AlternateContent>
                <mc:Choice Requires="wps">
                  <w:drawing>
                    <wp:anchor distT="0" distB="0" distL="114300" distR="114300" simplePos="0" relativeHeight="251673600" behindDoc="0" locked="0" layoutInCell="1" allowOverlap="1">
                      <wp:simplePos x="0" y="0"/>
                      <wp:positionH relativeFrom="column">
                        <wp:posOffset>2277745</wp:posOffset>
                      </wp:positionH>
                      <wp:positionV relativeFrom="paragraph">
                        <wp:posOffset>182880</wp:posOffset>
                      </wp:positionV>
                      <wp:extent cx="542925" cy="3429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542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35pt;margin-top:14.4pt;height:27pt;width:42.75pt;z-index:251673600;mso-width-relative:margin;mso-height-relative:margin;" filled="f" stroked="f" coordsize="21600,21600" o:gfxdata="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ucJdoAAAAJAQAADwAAAAAAAAABACAAAAAiAAAAZHJzL2Rvd25yZXYueG1sUEsBAhQAFAAA&#10;AAgAh07iQKkKlpwmAgAAKQQAAA4AAAAAAAAAAQAgAAAAKQEAAGRycy9lMm9Eb2MueG1sUEsFBgAA&#10;AAAGAAYAWQEAAMEFAAAAAA==&#10;">
                      <v:fill on="f" focussize="0,0"/>
                      <v:stroke on="f" weight="0.5pt"/>
                      <v:imagedata o:title=""/>
                      <o:lock v:ext="edit" aspectratio="f"/>
                      <v:textbox>
                        <w:txbxContent>
                          <w:p>
                            <w:r>
                              <w:rPr>
                                <w:rFonts w:hint="eastAsia"/>
                              </w:rPr>
                              <w:t>厂房</w:t>
                            </w:r>
                          </w:p>
                        </w:txbxContent>
                      </v:textbox>
                    </v:shape>
                  </w:pict>
                </mc:Fallback>
              </mc:AlternateContent>
            </w: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r>
              <w:rPr>
                <w:color w:val="auto"/>
              </w:rPr>
              <mc:AlternateContent>
                <mc:Choice Requires="wps">
                  <w:drawing>
                    <wp:anchor distT="0" distB="0" distL="114300" distR="114300" simplePos="0" relativeHeight="251722752" behindDoc="0" locked="0" layoutInCell="1" allowOverlap="1">
                      <wp:simplePos x="0" y="0"/>
                      <wp:positionH relativeFrom="column">
                        <wp:posOffset>2807970</wp:posOffset>
                      </wp:positionH>
                      <wp:positionV relativeFrom="paragraph">
                        <wp:posOffset>60960</wp:posOffset>
                      </wp:positionV>
                      <wp:extent cx="542925" cy="3429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429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1pt;margin-top:4.8pt;height:27pt;width:42.75pt;z-index:251722752;mso-width-relative:margin;mso-height-relative:margin;" filled="f" stroked="f" coordsize="21600,21600" o:gfxdata="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VSXL3aAAAACAEAAA8AAAAAAAAAAQAgAAAAIgAAAGRycy9kb3ducmV2LnhtbFBLAQIUABQAAAAI&#10;AIdO4kAyaOlpJAIAACcEAAAOAAAAAAAAAAEAIAAAACkBAABkcnMvZTJvRG9jLnhtbFBLBQYAAAAA&#10;BgAGAFkBAAC/BQAAAAA=&#10;">
                      <v:fill on="f" focussize="0,0"/>
                      <v:stroke on="f" weight="0.5pt"/>
                      <v:imagedata o:title=""/>
                      <o:lock v:ext="edit" aspectratio="f"/>
                      <v:textbox>
                        <w:txbxContent>
                          <w:p>
                            <w:r>
                              <w:rPr>
                                <w:rFonts w:hint="eastAsia"/>
                              </w:rPr>
                              <w:t>仓库</w:t>
                            </w:r>
                          </w:p>
                        </w:txbxContent>
                      </v:textbox>
                    </v:shape>
                  </w:pict>
                </mc:Fallback>
              </mc:AlternateContent>
            </w: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p>
          <w:p>
            <w:pPr>
              <w:adjustRightInd w:val="0"/>
              <w:snapToGrid w:val="0"/>
              <w:spacing w:line="360" w:lineRule="auto"/>
              <w:jc w:val="center"/>
              <w:rPr>
                <w:rFonts w:hAnsi="宋体"/>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lang w:val="zh-TW" w:eastAsia="zh-TW"/>
              </w:rPr>
            </w:pPr>
            <w:r>
              <w:rPr>
                <w:rFonts w:hint="eastAsia" w:hAnsi="宋体"/>
                <w:b/>
                <w:bCs/>
                <w:color w:val="auto"/>
                <w:u w:val="none"/>
                <w:lang w:val="zh-TW" w:eastAsia="zh-TW"/>
              </w:rPr>
              <w:t>图1  项目场地内残留建构筑物分布图</w:t>
            </w:r>
          </w:p>
          <w:p>
            <w:pPr>
              <w:pStyle w:val="2"/>
              <w:rPr>
                <w:rFonts w:hint="eastAsia"/>
                <w:color w:val="auto"/>
                <w:lang w:val="zh-TW" w:eastAsia="zh-TW"/>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lang w:val="zh-TW" w:eastAsia="zh-TW"/>
              </w:rPr>
            </w:pPr>
            <w:r>
              <w:rPr>
                <w:rFonts w:hint="eastAsia" w:hAnsi="宋体"/>
                <w:b/>
                <w:bCs/>
                <w:color w:val="auto"/>
                <w:u w:val="none"/>
                <w:lang w:val="zh-TW" w:eastAsia="zh-TW"/>
              </w:rPr>
              <w:t>表2 建构筑物拆除工程量一览表</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22"/>
              <w:gridCol w:w="2112"/>
              <w:gridCol w:w="1954"/>
              <w:gridCol w:w="2467"/>
              <w:gridCol w:w="1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序号</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名称</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面积</w:t>
                  </w:r>
                  <w:r>
                    <w:rPr>
                      <w:rStyle w:val="110"/>
                      <w:rFonts w:ascii="Times New Roman" w:hAnsi="宋体" w:eastAsia="宋体" w:cs="Times New Roman"/>
                      <w:color w:val="auto"/>
                      <w:sz w:val="21"/>
                      <w:szCs w:val="21"/>
                      <w:u w:val="single"/>
                      <w:lang w:eastAsia="zh-CN"/>
                    </w:rPr>
                    <w:t>（</w:t>
                  </w:r>
                  <w:r>
                    <w:rPr>
                      <w:rStyle w:val="111"/>
                      <w:rFonts w:ascii="Times New Roman" w:eastAsia="宋体" w:cs="Times New Roman"/>
                      <w:color w:val="auto"/>
                      <w:sz w:val="21"/>
                      <w:szCs w:val="21"/>
                      <w:u w:val="single"/>
                    </w:rPr>
                    <w:t>m</w:t>
                  </w:r>
                  <w:r>
                    <w:rPr>
                      <w:rStyle w:val="111"/>
                      <w:rFonts w:ascii="Times New Roman" w:eastAsia="宋体" w:cs="Times New Roman"/>
                      <w:color w:val="auto"/>
                      <w:sz w:val="21"/>
                      <w:szCs w:val="21"/>
                      <w:u w:val="single"/>
                      <w:vertAlign w:val="superscript"/>
                    </w:rPr>
                    <w:t>2</w:t>
                  </w:r>
                  <w:r>
                    <w:rPr>
                      <w:rStyle w:val="111"/>
                      <w:rFonts w:ascii="Times New Roman" w:eastAsia="宋体" w:cs="Times New Roman"/>
                      <w:color w:val="auto"/>
                      <w:sz w:val="21"/>
                      <w:szCs w:val="21"/>
                      <w:u w:val="single"/>
                    </w:rPr>
                    <w:t>)</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固废废物产生量</w:t>
                  </w:r>
                  <w:r>
                    <w:rPr>
                      <w:rStyle w:val="111"/>
                      <w:rFonts w:ascii="Times New Roman" w:eastAsia="宋体" w:cs="Times New Roman"/>
                      <w:color w:val="auto"/>
                      <w:sz w:val="21"/>
                      <w:szCs w:val="21"/>
                      <w:u w:val="single"/>
                    </w:rPr>
                    <w:t>(m</w:t>
                  </w:r>
                  <w:r>
                    <w:rPr>
                      <w:rStyle w:val="111"/>
                      <w:rFonts w:ascii="Times New Roman" w:eastAsia="宋体" w:cs="Times New Roman"/>
                      <w:color w:val="auto"/>
                      <w:sz w:val="21"/>
                      <w:szCs w:val="21"/>
                      <w:u w:val="single"/>
                      <w:vertAlign w:val="superscript"/>
                    </w:rPr>
                    <w:t>3</w:t>
                  </w:r>
                  <w:r>
                    <w:rPr>
                      <w:rStyle w:val="111"/>
                      <w:rFonts w:ascii="Times New Roman" w:eastAsia="宋体" w:cs="Times New Roman"/>
                      <w:color w:val="auto"/>
                      <w:sz w:val="21"/>
                      <w:szCs w:val="21"/>
                      <w:u w:val="single"/>
                    </w:rPr>
                    <w:t>)</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lang w:val="zh-TW" w:eastAsia="zh-TW"/>
                    </w:rPr>
                    <w:t>1</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hint="eastAsia" w:ascii="Times New Roman" w:hAnsi="宋体" w:eastAsia="宋体" w:cs="Times New Roman"/>
                      <w:color w:val="auto"/>
                      <w:sz w:val="21"/>
                      <w:szCs w:val="21"/>
                      <w:u w:val="single"/>
                      <w:lang w:eastAsia="zh-CN"/>
                    </w:rPr>
                    <w:t>厂房</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632.6</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948.4</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lang w:val="zh-TW" w:eastAsia="zh-TW"/>
                    </w:rPr>
                    <w:t>2</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hint="eastAsia" w:ascii="Times New Roman" w:hAnsi="宋体" w:eastAsia="宋体" w:cs="Times New Roman"/>
                      <w:color w:val="auto"/>
                      <w:sz w:val="21"/>
                      <w:szCs w:val="21"/>
                      <w:u w:val="single"/>
                      <w:lang w:eastAsia="zh-CN"/>
                    </w:rPr>
                    <w:t>仓库</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489.6</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489.6</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lang w:val="zh-TW" w:eastAsia="zh-TW"/>
                    </w:rPr>
                    <w:t>3</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hint="eastAsia" w:ascii="Times New Roman" w:hAnsi="宋体" w:eastAsia="宋体" w:cs="Times New Roman"/>
                      <w:color w:val="auto"/>
                      <w:sz w:val="21"/>
                      <w:szCs w:val="21"/>
                      <w:u w:val="single"/>
                      <w:lang w:eastAsia="zh-CN"/>
                    </w:rPr>
                    <w:t>储罐</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50</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25</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lang w:val="zh-TW" w:eastAsia="zh-TW"/>
                    </w:rPr>
                    <w:t>4</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hint="eastAsia" w:ascii="Times New Roman" w:hAnsi="宋体" w:eastAsia="宋体" w:cs="Times New Roman"/>
                      <w:color w:val="auto"/>
                      <w:sz w:val="21"/>
                      <w:szCs w:val="21"/>
                      <w:u w:val="single"/>
                      <w:lang w:eastAsia="zh-CN"/>
                    </w:rPr>
                    <w:t>水池</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100</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50</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lang w:val="zh-TW" w:eastAsia="zh-TW"/>
                    </w:rPr>
                    <w:t>5</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hint="eastAsia" w:ascii="Times New Roman" w:hAnsi="宋体" w:eastAsia="宋体" w:cs="Times New Roman"/>
                      <w:color w:val="auto"/>
                      <w:sz w:val="21"/>
                      <w:szCs w:val="21"/>
                      <w:u w:val="single"/>
                      <w:lang w:eastAsia="zh-CN"/>
                    </w:rPr>
                    <w:t>设备</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150</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75</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砖混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lang w:val="zh-TW" w:eastAsia="zh-TW"/>
                    </w:rPr>
                    <w:t>6</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混凝土</w:t>
                  </w:r>
                  <w:r>
                    <w:rPr>
                      <w:rStyle w:val="110"/>
                      <w:rFonts w:hint="eastAsia" w:ascii="Times New Roman" w:hAnsi="宋体" w:eastAsia="宋体" w:cs="Times New Roman"/>
                      <w:color w:val="auto"/>
                      <w:sz w:val="21"/>
                      <w:szCs w:val="21"/>
                      <w:u w:val="single"/>
                      <w:lang w:eastAsia="zh-CN"/>
                    </w:rPr>
                    <w:t>地面</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1600</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rPr>
                    <w:t>650</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lang w:val="zh-TW" w:eastAsia="zh-TW"/>
                    </w:rPr>
                    <w:t>7</w:t>
                  </w: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hint="eastAsia" w:ascii="Times New Roman" w:hAnsi="宋体" w:eastAsia="宋体" w:cs="Times New Roman"/>
                      <w:color w:val="auto"/>
                      <w:sz w:val="21"/>
                      <w:szCs w:val="21"/>
                      <w:u w:val="single"/>
                      <w:lang w:eastAsia="zh-CN"/>
                    </w:rPr>
                    <w:t>生产</w:t>
                  </w:r>
                  <w:r>
                    <w:rPr>
                      <w:rStyle w:val="110"/>
                      <w:rFonts w:ascii="Times New Roman" w:hAnsi="宋体" w:eastAsia="宋体" w:cs="Times New Roman"/>
                      <w:color w:val="auto"/>
                      <w:sz w:val="21"/>
                      <w:szCs w:val="21"/>
                      <w:u w:val="single"/>
                    </w:rPr>
                    <w:t>设备</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ascii="Times New Roman" w:eastAsia="宋体" w:cs="Times New Roman"/>
                      <w:color w:val="auto"/>
                      <w:sz w:val="21"/>
                      <w:szCs w:val="21"/>
                      <w:u w:val="single"/>
                    </w:rPr>
                    <w:t>---</w:t>
                  </w: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1"/>
                      <w:rFonts w:hint="eastAsia" w:ascii="Times New Roman" w:eastAsia="宋体" w:cs="Times New Roman"/>
                      <w:color w:val="auto"/>
                      <w:sz w:val="21"/>
                      <w:szCs w:val="21"/>
                      <w:u w:val="single"/>
                      <w:lang w:val="zh-TW"/>
                    </w:rPr>
                    <w:t>45</w:t>
                  </w:r>
                  <w:r>
                    <w:rPr>
                      <w:rStyle w:val="111"/>
                      <w:rFonts w:ascii="Times New Roman" w:eastAsia="宋体" w:cs="Times New Roman"/>
                      <w:color w:val="auto"/>
                      <w:sz w:val="21"/>
                      <w:szCs w:val="21"/>
                      <w:u w:val="single"/>
                    </w:rPr>
                    <w:t>(</w:t>
                  </w:r>
                  <w:r>
                    <w:rPr>
                      <w:rStyle w:val="110"/>
                      <w:rFonts w:ascii="Times New Roman" w:hAnsi="宋体" w:eastAsia="宋体" w:cs="Times New Roman"/>
                      <w:color w:val="auto"/>
                      <w:sz w:val="21"/>
                      <w:szCs w:val="21"/>
                      <w:u w:val="single"/>
                    </w:rPr>
                    <w:t>吨）</w:t>
                  </w: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u w:val="single"/>
                    </w:rPr>
                  </w:pPr>
                  <w:r>
                    <w:rPr>
                      <w:rStyle w:val="110"/>
                      <w:rFonts w:ascii="Times New Roman" w:hAnsi="宋体" w:eastAsia="宋体" w:cs="Times New Roman"/>
                      <w:color w:val="auto"/>
                      <w:sz w:val="21"/>
                      <w:szCs w:val="21"/>
                      <w:u w:val="single"/>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02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1"/>
                      <w:rFonts w:ascii="Times New Roman" w:eastAsia="宋体" w:cs="Times New Roman"/>
                      <w:color w:val="auto"/>
                      <w:sz w:val="21"/>
                      <w:szCs w:val="21"/>
                      <w:u w:val="single"/>
                      <w:lang w:val="zh-TW" w:eastAsia="zh-TW"/>
                    </w:rPr>
                  </w:pPr>
                </w:p>
              </w:tc>
              <w:tc>
                <w:tcPr>
                  <w:tcW w:w="2112"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0"/>
                      <w:rFonts w:ascii="Times New Roman" w:hAnsi="宋体" w:eastAsia="宋体" w:cs="Times New Roman"/>
                      <w:color w:val="auto"/>
                      <w:sz w:val="21"/>
                      <w:szCs w:val="21"/>
                      <w:u w:val="single"/>
                      <w:lang w:eastAsia="zh-CN"/>
                    </w:rPr>
                  </w:pPr>
                  <w:r>
                    <w:rPr>
                      <w:rStyle w:val="110"/>
                      <w:rFonts w:hint="eastAsia" w:ascii="Times New Roman" w:hAnsi="宋体" w:eastAsia="宋体" w:cs="Times New Roman"/>
                      <w:color w:val="auto"/>
                      <w:sz w:val="21"/>
                      <w:szCs w:val="21"/>
                      <w:u w:val="single"/>
                      <w:lang w:eastAsia="zh-CN"/>
                    </w:rPr>
                    <w:t>合计</w:t>
                  </w:r>
                </w:p>
              </w:tc>
              <w:tc>
                <w:tcPr>
                  <w:tcW w:w="1954"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1"/>
                      <w:rFonts w:ascii="Times New Roman" w:eastAsia="宋体" w:cs="Times New Roman"/>
                      <w:color w:val="auto"/>
                      <w:sz w:val="21"/>
                      <w:szCs w:val="21"/>
                      <w:u w:val="single"/>
                    </w:rPr>
                  </w:pPr>
                </w:p>
              </w:tc>
              <w:tc>
                <w:tcPr>
                  <w:tcW w:w="246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1"/>
                      <w:rFonts w:ascii="Times New Roman" w:eastAsia="宋体" w:cs="Times New Roman"/>
                      <w:color w:val="auto"/>
                      <w:sz w:val="21"/>
                      <w:szCs w:val="21"/>
                      <w:u w:val="single"/>
                      <w:lang w:val="zh-TW"/>
                    </w:rPr>
                  </w:pPr>
                </w:p>
              </w:tc>
              <w:tc>
                <w:tcPr>
                  <w:tcW w:w="1515"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0"/>
                      <w:rFonts w:ascii="Times New Roman" w:hAnsi="宋体" w:eastAsia="宋体" w:cs="Times New Roman"/>
                      <w:color w:val="auto"/>
                      <w:sz w:val="21"/>
                      <w:szCs w:val="21"/>
                      <w:u w:val="singl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2</w:t>
            </w:r>
            <w:r>
              <w:rPr>
                <w:rFonts w:hAnsi="宋体"/>
                <w:color w:val="auto"/>
                <w:sz w:val="24"/>
              </w:rPr>
              <w:t>）污染土壤处理工程量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szCs w:val="24"/>
              </w:rPr>
            </w:pPr>
            <w:r>
              <w:rPr>
                <w:rFonts w:hAnsi="宋体"/>
                <w:color w:val="auto"/>
                <w:sz w:val="24"/>
                <w:szCs w:val="24"/>
              </w:rPr>
              <w:t>根据</w:t>
            </w:r>
            <w:r>
              <w:rPr>
                <w:rFonts w:hAnsi="宋体"/>
                <w:color w:val="auto"/>
                <w:sz w:val="24"/>
              </w:rPr>
              <w:t>场地调查报告，采用单元面积为</w:t>
            </w:r>
            <w:r>
              <w:rPr>
                <w:color w:val="auto"/>
                <w:sz w:val="24"/>
              </w:rPr>
              <w:t>900m</w:t>
            </w:r>
            <w:r>
              <w:rPr>
                <w:color w:val="auto"/>
                <w:sz w:val="24"/>
                <w:vertAlign w:val="superscript"/>
              </w:rPr>
              <w:t>2</w:t>
            </w:r>
            <w:r>
              <w:rPr>
                <w:rFonts w:hAnsi="宋体"/>
                <w:color w:val="auto"/>
                <w:sz w:val="24"/>
              </w:rPr>
              <w:t>（</w:t>
            </w:r>
            <w:r>
              <w:rPr>
                <w:color w:val="auto"/>
                <w:sz w:val="24"/>
              </w:rPr>
              <w:t>30m×30m</w:t>
            </w:r>
            <w:r>
              <w:rPr>
                <w:rFonts w:hAnsi="宋体"/>
                <w:color w:val="auto"/>
                <w:sz w:val="24"/>
              </w:rPr>
              <w:t>网格）布点方式进行调查，</w:t>
            </w:r>
            <w:r>
              <w:rPr>
                <w:rFonts w:hAnsi="宋体"/>
                <w:color w:val="auto"/>
                <w:sz w:val="24"/>
                <w:szCs w:val="24"/>
              </w:rPr>
              <w:t>调查污染土壤面积共</w:t>
            </w:r>
            <w:r>
              <w:rPr>
                <w:color w:val="auto"/>
                <w:sz w:val="24"/>
                <w:u w:val="single"/>
              </w:rPr>
              <w:t>13539.777m</w:t>
            </w:r>
            <w:r>
              <w:rPr>
                <w:color w:val="auto"/>
                <w:sz w:val="24"/>
                <w:u w:val="single"/>
                <w:vertAlign w:val="superscript"/>
              </w:rPr>
              <w:t>2</w:t>
            </w:r>
            <w:r>
              <w:rPr>
                <w:rFonts w:hAnsi="宋体"/>
                <w:color w:val="auto"/>
                <w:sz w:val="24"/>
                <w:szCs w:val="24"/>
              </w:rPr>
              <w:t>，污染土壤处理量约</w:t>
            </w:r>
            <w:r>
              <w:rPr>
                <w:rFonts w:hint="eastAsia"/>
                <w:color w:val="auto"/>
                <w:sz w:val="24"/>
                <w:u w:val="single"/>
              </w:rPr>
              <w:t>43524.3</w:t>
            </w:r>
            <w:r>
              <w:rPr>
                <w:color w:val="auto"/>
                <w:sz w:val="24"/>
                <w:szCs w:val="24"/>
              </w:rPr>
              <w:t>m</w:t>
            </w:r>
            <w:r>
              <w:rPr>
                <w:color w:val="auto"/>
                <w:sz w:val="24"/>
                <w:szCs w:val="24"/>
                <w:vertAlign w:val="superscript"/>
              </w:rPr>
              <w:t>3</w:t>
            </w:r>
            <w:r>
              <w:rPr>
                <w:rFonts w:hAnsi="宋体"/>
                <w:color w:val="auto"/>
                <w:sz w:val="24"/>
                <w:szCs w:val="24"/>
              </w:rPr>
              <w:t>，调查区域分区情况见附图</w:t>
            </w:r>
            <w:r>
              <w:rPr>
                <w:rFonts w:hint="eastAsia"/>
                <w:color w:val="auto"/>
                <w:sz w:val="24"/>
                <w:szCs w:val="24"/>
              </w:rPr>
              <w:t>2</w:t>
            </w:r>
            <w:r>
              <w:rPr>
                <w:rFonts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rPr>
                <w:rFonts w:hint="eastAsia" w:hAnsi="宋体"/>
                <w:b/>
                <w:bCs/>
                <w:color w:val="auto"/>
                <w:u w:val="none"/>
                <w:lang w:val="zh-TW" w:eastAsia="zh-TW"/>
              </w:rPr>
              <w:t>表</w:t>
            </w:r>
            <w:r>
              <w:rPr>
                <w:rFonts w:hint="eastAsia" w:hAnsi="宋体"/>
                <w:b/>
                <w:bCs/>
                <w:color w:val="auto"/>
                <w:u w:val="none"/>
                <w:lang w:eastAsia="zh-CN"/>
              </w:rPr>
              <w:t>3 污染</w:t>
            </w:r>
            <w:r>
              <w:rPr>
                <w:rFonts w:hint="eastAsia" w:hAnsi="宋体"/>
                <w:b/>
                <w:bCs/>
                <w:color w:val="auto"/>
                <w:u w:val="none"/>
                <w:lang w:val="zh-TW" w:eastAsia="zh-TW"/>
              </w:rPr>
              <w:t>土壤</w:t>
            </w:r>
            <w:r>
              <w:rPr>
                <w:rFonts w:hint="eastAsia" w:hAnsi="宋体"/>
                <w:b/>
                <w:bCs/>
                <w:color w:val="auto"/>
                <w:u w:val="none"/>
                <w:lang w:val="zh-TW"/>
              </w:rPr>
              <w:t>处理工程量一览表</w:t>
            </w:r>
          </w:p>
          <w:tbl>
            <w:tblPr>
              <w:tblStyle w:val="30"/>
              <w:tblW w:w="906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0"/>
              <w:gridCol w:w="1666"/>
              <w:gridCol w:w="2125"/>
              <w:gridCol w:w="2145"/>
              <w:gridCol w:w="2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3" w:hRule="atLeast"/>
              </w:trPr>
              <w:tc>
                <w:tcPr>
                  <w:tcW w:w="1010"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Ansi="宋体"/>
                      <w:color w:val="auto"/>
                      <w:szCs w:val="21"/>
                      <w:u w:val="single"/>
                      <w:lang w:val="zh-TW" w:eastAsia="zh-TW"/>
                    </w:rPr>
                    <w:t>序号</w:t>
                  </w:r>
                </w:p>
              </w:tc>
              <w:tc>
                <w:tcPr>
                  <w:tcW w:w="1666"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Ansi="宋体"/>
                      <w:color w:val="auto"/>
                      <w:szCs w:val="21"/>
                      <w:u w:val="single"/>
                      <w:lang w:val="zh-TW" w:eastAsia="zh-TW"/>
                    </w:rPr>
                    <w:t>点位</w:t>
                  </w:r>
                </w:p>
              </w:tc>
              <w:tc>
                <w:tcPr>
                  <w:tcW w:w="2125"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Ansi="宋体"/>
                      <w:color w:val="auto"/>
                      <w:szCs w:val="21"/>
                      <w:u w:val="single"/>
                      <w:lang w:val="zh-TW" w:eastAsia="zh-TW"/>
                    </w:rPr>
                    <w:t>面积</w:t>
                  </w:r>
                  <w:r>
                    <w:rPr>
                      <w:rFonts w:hAnsi="宋体"/>
                      <w:color w:val="auto"/>
                      <w:szCs w:val="21"/>
                      <w:u w:val="single"/>
                    </w:rPr>
                    <w:t>（</w:t>
                  </w:r>
                  <w:r>
                    <w:rPr>
                      <w:rStyle w:val="105"/>
                      <w:rFonts w:ascii="Times New Roman" w:eastAsia="宋体" w:cs="Times New Roman"/>
                      <w:color w:val="auto"/>
                      <w:u w:val="single"/>
                      <w:lang w:eastAsia="zh-CN"/>
                    </w:rPr>
                    <w:t>m</w:t>
                  </w:r>
                  <w:r>
                    <w:rPr>
                      <w:rStyle w:val="105"/>
                      <w:rFonts w:ascii="Times New Roman" w:eastAsia="宋体" w:cs="Times New Roman"/>
                      <w:color w:val="auto"/>
                      <w:u w:val="single"/>
                      <w:vertAlign w:val="superscript"/>
                      <w:lang w:eastAsia="zh-CN"/>
                    </w:rPr>
                    <w:t>2</w:t>
                  </w:r>
                  <w:r>
                    <w:rPr>
                      <w:rStyle w:val="105"/>
                      <w:rFonts w:ascii="Times New Roman" w:eastAsia="宋体" w:cs="Times New Roman"/>
                      <w:color w:val="auto"/>
                      <w:u w:val="single"/>
                      <w:lang w:eastAsia="zh-CN"/>
                    </w:rPr>
                    <w:t>)</w:t>
                  </w:r>
                </w:p>
              </w:tc>
              <w:tc>
                <w:tcPr>
                  <w:tcW w:w="2145"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Ansi="宋体"/>
                      <w:color w:val="auto"/>
                      <w:szCs w:val="21"/>
                      <w:u w:val="single"/>
                      <w:lang w:val="zh-TW" w:eastAsia="zh-TW"/>
                    </w:rPr>
                    <w:t>深度</w:t>
                  </w:r>
                  <w:r>
                    <w:rPr>
                      <w:rFonts w:hAnsi="宋体"/>
                      <w:color w:val="auto"/>
                      <w:szCs w:val="21"/>
                      <w:u w:val="single"/>
                    </w:rPr>
                    <w:t>（</w:t>
                  </w:r>
                  <w:r>
                    <w:rPr>
                      <w:rStyle w:val="105"/>
                      <w:rFonts w:ascii="Times New Roman" w:eastAsia="宋体" w:cs="Times New Roman"/>
                      <w:color w:val="auto"/>
                      <w:u w:val="single"/>
                      <w:lang w:eastAsia="zh-CN"/>
                    </w:rPr>
                    <w:t>m)</w:t>
                  </w:r>
                </w:p>
              </w:tc>
              <w:tc>
                <w:tcPr>
                  <w:tcW w:w="2114"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Ansi="宋体"/>
                      <w:color w:val="auto"/>
                      <w:szCs w:val="21"/>
                      <w:u w:val="single"/>
                      <w:lang w:val="zh-TW" w:eastAsia="zh-TW"/>
                    </w:rPr>
                    <w:t>数量</w:t>
                  </w:r>
                  <w:r>
                    <w:rPr>
                      <w:rFonts w:hAnsi="宋体"/>
                      <w:color w:val="auto"/>
                      <w:szCs w:val="21"/>
                      <w:u w:val="single"/>
                    </w:rPr>
                    <w:t>（</w:t>
                  </w:r>
                  <w:r>
                    <w:rPr>
                      <w:rStyle w:val="105"/>
                      <w:rFonts w:ascii="Times New Roman" w:eastAsia="宋体" w:cs="Times New Roman"/>
                      <w:color w:val="auto"/>
                      <w:u w:val="single"/>
                      <w:lang w:eastAsia="zh-CN"/>
                    </w:rPr>
                    <w:t>m</w:t>
                  </w:r>
                  <w:r>
                    <w:rPr>
                      <w:rStyle w:val="105"/>
                      <w:rFonts w:ascii="Times New Roman" w:eastAsia="宋体" w:cs="Times New Roman"/>
                      <w:color w:val="auto"/>
                      <w:u w:val="single"/>
                      <w:vertAlign w:val="superscript"/>
                      <w:lang w:eastAsia="zh-CN"/>
                    </w:rPr>
                    <w:t>3</w:t>
                  </w:r>
                  <w:r>
                    <w:rPr>
                      <w:rStyle w:val="105"/>
                      <w:rFonts w:ascii="Times New Roman" w:eastAsia="宋体" w:cs="Times New Roman"/>
                      <w:color w:val="auto"/>
                      <w:u w:val="singl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1010"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Style w:val="105"/>
                      <w:rFonts w:ascii="Times New Roman" w:eastAsia="宋体" w:cs="Times New Roman"/>
                      <w:color w:val="auto"/>
                      <w:u w:val="single"/>
                      <w:lang w:val="zh-TW" w:eastAsia="zh-TW"/>
                    </w:rPr>
                    <w:t>1</w:t>
                  </w:r>
                </w:p>
              </w:tc>
              <w:tc>
                <w:tcPr>
                  <w:tcW w:w="1666"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Style w:val="105"/>
                      <w:rFonts w:hint="eastAsia" w:ascii="Times New Roman" w:eastAsia="宋体" w:cs="Times New Roman"/>
                      <w:color w:val="auto"/>
                      <w:u w:val="single"/>
                      <w:lang w:eastAsia="zh-CN"/>
                    </w:rPr>
                    <w:t>重度污染区</w:t>
                  </w:r>
                </w:p>
              </w:tc>
              <w:tc>
                <w:tcPr>
                  <w:tcW w:w="2125"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int="eastAsia"/>
                      <w:color w:val="auto"/>
                    </w:rPr>
                    <w:t>5042.753</w:t>
                  </w:r>
                </w:p>
              </w:tc>
              <w:tc>
                <w:tcPr>
                  <w:tcW w:w="2145"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Style w:val="105"/>
                      <w:rFonts w:hint="eastAsia" w:ascii="Times New Roman" w:eastAsia="宋体" w:cs="Times New Roman"/>
                      <w:color w:val="auto"/>
                      <w:u w:val="single"/>
                      <w:lang w:eastAsia="zh-CN"/>
                    </w:rPr>
                    <w:t>2-4</w:t>
                  </w:r>
                </w:p>
              </w:tc>
              <w:tc>
                <w:tcPr>
                  <w:tcW w:w="2114"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int="eastAsia"/>
                      <w:color w:val="auto"/>
                    </w:rPr>
                    <w:t>17491.3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1010"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Style w:val="105"/>
                      <w:rFonts w:ascii="Times New Roman" w:eastAsia="宋体" w:cs="Times New Roman"/>
                      <w:color w:val="auto"/>
                      <w:u w:val="single"/>
                      <w:lang w:val="zh-TW" w:eastAsia="zh-TW"/>
                    </w:rPr>
                    <w:t>2</w:t>
                  </w:r>
                </w:p>
              </w:tc>
              <w:tc>
                <w:tcPr>
                  <w:tcW w:w="1666"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int="eastAsia"/>
                      <w:color w:val="auto"/>
                    </w:rPr>
                    <w:t>中轻度污染区</w:t>
                  </w:r>
                </w:p>
              </w:tc>
              <w:tc>
                <w:tcPr>
                  <w:tcW w:w="2125"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int="eastAsia"/>
                      <w:color w:val="auto"/>
                    </w:rPr>
                    <w:t>8497.024</w:t>
                  </w:r>
                </w:p>
              </w:tc>
              <w:tc>
                <w:tcPr>
                  <w:tcW w:w="2145"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Style w:val="105"/>
                      <w:rFonts w:ascii="Times New Roman" w:eastAsia="宋体" w:cs="Times New Roman"/>
                      <w:color w:val="auto"/>
                      <w:u w:val="single"/>
                      <w:lang w:eastAsia="zh-CN"/>
                    </w:rPr>
                    <w:t>2</w:t>
                  </w:r>
                  <w:r>
                    <w:rPr>
                      <w:rStyle w:val="105"/>
                      <w:rFonts w:hint="eastAsia" w:ascii="Times New Roman" w:eastAsia="宋体" w:cs="Times New Roman"/>
                      <w:color w:val="auto"/>
                      <w:u w:val="single"/>
                      <w:lang w:eastAsia="zh-CN"/>
                    </w:rPr>
                    <w:t>-</w:t>
                  </w:r>
                  <w:r>
                    <w:rPr>
                      <w:rStyle w:val="105"/>
                      <w:rFonts w:ascii="Times New Roman" w:eastAsia="宋体" w:cs="Times New Roman"/>
                      <w:color w:val="auto"/>
                      <w:u w:val="single"/>
                      <w:lang w:eastAsia="zh-CN"/>
                    </w:rPr>
                    <w:t>4</w:t>
                  </w:r>
                </w:p>
              </w:tc>
              <w:tc>
                <w:tcPr>
                  <w:tcW w:w="2114"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int="eastAsia"/>
                      <w:color w:val="auto"/>
                    </w:rPr>
                    <w:t>26033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1010"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Ansi="宋体"/>
                      <w:color w:val="auto"/>
                      <w:szCs w:val="21"/>
                      <w:u w:val="single"/>
                      <w:lang w:val="zh-TW" w:eastAsia="zh-TW"/>
                    </w:rPr>
                    <w:t>合计</w:t>
                  </w:r>
                </w:p>
              </w:tc>
              <w:tc>
                <w:tcPr>
                  <w:tcW w:w="1666" w:type="dxa"/>
                  <w:tcBorders>
                    <w:tl2br w:val="nil"/>
                    <w:tr2bl w:val="nil"/>
                  </w:tcBorders>
                  <w:shd w:val="clear" w:color="auto" w:fill="auto"/>
                  <w:vAlign w:val="center"/>
                </w:tcPr>
                <w:p>
                  <w:pPr>
                    <w:spacing w:before="100" w:beforeAutospacing="1" w:after="100" w:afterAutospacing="1"/>
                    <w:jc w:val="center"/>
                    <w:rPr>
                      <w:color w:val="auto"/>
                      <w:szCs w:val="21"/>
                      <w:u w:val="single"/>
                    </w:rPr>
                  </w:pPr>
                </w:p>
              </w:tc>
              <w:tc>
                <w:tcPr>
                  <w:tcW w:w="2125" w:type="dxa"/>
                  <w:tcBorders>
                    <w:tl2br w:val="nil"/>
                    <w:tr2bl w:val="nil"/>
                  </w:tcBorders>
                  <w:shd w:val="clear" w:color="auto" w:fill="auto"/>
                  <w:vAlign w:val="center"/>
                </w:tcPr>
                <w:p>
                  <w:pPr>
                    <w:spacing w:before="100" w:beforeAutospacing="1" w:after="100" w:afterAutospacing="1"/>
                    <w:jc w:val="center"/>
                    <w:rPr>
                      <w:color w:val="auto"/>
                      <w:szCs w:val="21"/>
                      <w:u w:val="single"/>
                    </w:rPr>
                  </w:pPr>
                </w:p>
              </w:tc>
              <w:tc>
                <w:tcPr>
                  <w:tcW w:w="2145" w:type="dxa"/>
                  <w:tcBorders>
                    <w:tl2br w:val="nil"/>
                    <w:tr2bl w:val="nil"/>
                  </w:tcBorders>
                  <w:shd w:val="clear" w:color="auto" w:fill="auto"/>
                  <w:vAlign w:val="center"/>
                </w:tcPr>
                <w:p>
                  <w:pPr>
                    <w:spacing w:before="100" w:beforeAutospacing="1" w:after="100" w:afterAutospacing="1"/>
                    <w:jc w:val="center"/>
                    <w:rPr>
                      <w:color w:val="auto"/>
                      <w:szCs w:val="21"/>
                      <w:u w:val="single"/>
                    </w:rPr>
                  </w:pPr>
                </w:p>
              </w:tc>
              <w:tc>
                <w:tcPr>
                  <w:tcW w:w="2114" w:type="dxa"/>
                  <w:tcBorders>
                    <w:tl2br w:val="nil"/>
                    <w:tr2bl w:val="nil"/>
                  </w:tcBorders>
                  <w:shd w:val="clear" w:color="auto" w:fill="auto"/>
                  <w:vAlign w:val="center"/>
                </w:tcPr>
                <w:p>
                  <w:pPr>
                    <w:pStyle w:val="2"/>
                    <w:spacing w:before="100" w:beforeAutospacing="1" w:after="100" w:afterAutospacing="1"/>
                    <w:jc w:val="center"/>
                    <w:rPr>
                      <w:color w:val="auto"/>
                      <w:szCs w:val="21"/>
                      <w:u w:val="single"/>
                    </w:rPr>
                  </w:pPr>
                  <w:r>
                    <w:rPr>
                      <w:rFonts w:hint="eastAsia"/>
                      <w:color w:val="auto"/>
                    </w:rPr>
                    <w:t>43524.3</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3</w:t>
            </w:r>
            <w:r>
              <w:rPr>
                <w:rFonts w:hAnsi="宋体"/>
                <w:color w:val="auto"/>
                <w:sz w:val="24"/>
              </w:rPr>
              <w:t>）</w:t>
            </w:r>
            <w:r>
              <w:rPr>
                <w:rFonts w:hint="eastAsia" w:hAnsi="宋体"/>
                <w:color w:val="auto"/>
                <w:sz w:val="24"/>
              </w:rPr>
              <w:t>负压大棚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int="eastAsia" w:hAnsi="宋体"/>
                <w:color w:val="FF0000"/>
                <w:sz w:val="24"/>
                <w:u w:val="single"/>
              </w:rPr>
              <w:t>负压大棚</w:t>
            </w:r>
            <w:r>
              <w:rPr>
                <w:rFonts w:hAnsi="宋体"/>
                <w:color w:val="FF0000"/>
                <w:sz w:val="24"/>
                <w:u w:val="single"/>
              </w:rPr>
              <w:t>设置在污染地块</w:t>
            </w:r>
            <w:r>
              <w:rPr>
                <w:rFonts w:hint="eastAsia" w:hAnsi="宋体"/>
                <w:color w:val="FF0000"/>
                <w:sz w:val="24"/>
                <w:u w:val="single"/>
                <w:lang w:eastAsia="zh-CN"/>
              </w:rPr>
              <w:t>北</w:t>
            </w:r>
            <w:r>
              <w:rPr>
                <w:rFonts w:hAnsi="宋体"/>
                <w:color w:val="FF0000"/>
                <w:sz w:val="24"/>
                <w:u w:val="single"/>
              </w:rPr>
              <w:t>侧约</w:t>
            </w:r>
            <w:r>
              <w:rPr>
                <w:rFonts w:hint="eastAsia" w:hAnsi="宋体"/>
                <w:color w:val="FF0000"/>
                <w:sz w:val="24"/>
                <w:u w:val="single"/>
                <w:lang w:val="en-US" w:eastAsia="zh-CN"/>
              </w:rPr>
              <w:t>5</w:t>
            </w:r>
            <w:r>
              <w:rPr>
                <w:color w:val="FF0000"/>
                <w:sz w:val="24"/>
                <w:u w:val="single"/>
              </w:rPr>
              <w:t>m</w:t>
            </w:r>
            <w:r>
              <w:rPr>
                <w:rFonts w:hAnsi="宋体"/>
                <w:color w:val="FF0000"/>
                <w:sz w:val="24"/>
                <w:u w:val="single"/>
              </w:rPr>
              <w:t>处</w:t>
            </w:r>
            <w:r>
              <w:rPr>
                <w:rFonts w:hAnsi="宋体"/>
                <w:color w:val="auto"/>
                <w:sz w:val="24"/>
              </w:rPr>
              <w:t>，为临时工程，</w:t>
            </w:r>
            <w:r>
              <w:rPr>
                <w:rFonts w:hint="eastAsia" w:hAnsi="宋体"/>
                <w:color w:val="auto"/>
                <w:sz w:val="24"/>
              </w:rPr>
              <w:t>大棚长60米，宽30米，高15米，采用膜结构搭建，由整幅单层多功能摸、铝合金固定卡具、充气风机、止回阀、充气软管及控制装置组成，底部设计圈梁基础保持大棚的整体密封。配套设置除尘器+活性炭吸附装置处理废气，地面用抗渗混凝土作硬化处理，混凝土面厚20cm。负压大棚</w:t>
            </w:r>
            <w:r>
              <w:rPr>
                <w:rFonts w:hAnsi="宋体"/>
                <w:color w:val="auto"/>
                <w:sz w:val="24"/>
              </w:rPr>
              <w:t>的土壤</w:t>
            </w:r>
            <w:r>
              <w:rPr>
                <w:rFonts w:hint="eastAsia" w:hAnsi="宋体"/>
                <w:color w:val="auto"/>
                <w:sz w:val="24"/>
              </w:rPr>
              <w:t>平均</w:t>
            </w:r>
            <w:r>
              <w:rPr>
                <w:rFonts w:hAnsi="宋体"/>
                <w:color w:val="auto"/>
                <w:sz w:val="24"/>
              </w:rPr>
              <w:t>日处理规模为</w:t>
            </w:r>
            <w:r>
              <w:rPr>
                <w:rFonts w:hint="eastAsia"/>
                <w:color w:val="auto"/>
                <w:sz w:val="24"/>
              </w:rPr>
              <w:t>800</w:t>
            </w:r>
            <w:r>
              <w:rPr>
                <w:color w:val="auto"/>
                <w:sz w:val="24"/>
              </w:rPr>
              <w:t>m</w:t>
            </w:r>
            <w:r>
              <w:rPr>
                <w:color w:val="auto"/>
                <w:sz w:val="24"/>
                <w:vertAlign w:val="superscript"/>
              </w:rPr>
              <w:t>3</w:t>
            </w:r>
            <w:r>
              <w:rPr>
                <w:color w:val="auto"/>
                <w:sz w:val="24"/>
              </w:rPr>
              <w:t>/d</w:t>
            </w:r>
            <w:r>
              <w:rPr>
                <w:rFonts w:hAnsi="宋体"/>
                <w:color w:val="auto"/>
                <w:sz w:val="24"/>
              </w:rPr>
              <w:t>，每天运行时间</w:t>
            </w:r>
            <w:r>
              <w:rPr>
                <w:color w:val="auto"/>
                <w:sz w:val="24"/>
              </w:rPr>
              <w:t>12h</w:t>
            </w:r>
            <w:r>
              <w:rPr>
                <w:rFonts w:hAnsi="宋体"/>
                <w:color w:val="auto"/>
                <w:sz w:val="24"/>
              </w:rPr>
              <w:t>。</w:t>
            </w:r>
          </w:p>
          <w:p>
            <w:pPr>
              <w:pStyle w:val="2"/>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color w:val="auto"/>
                <w:sz w:val="24"/>
                <w:u w:val="single"/>
                <w:lang w:eastAsia="zh-CN"/>
              </w:rPr>
            </w:pPr>
            <w:r>
              <w:rPr>
                <w:rFonts w:hint="eastAsia" w:hAnsi="宋体"/>
                <w:color w:val="auto"/>
                <w:sz w:val="24"/>
                <w:u w:val="single"/>
                <w:lang w:eastAsia="zh-CN"/>
              </w:rPr>
              <w:t>土壤修复目标值及标准值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sz w:val="24"/>
                <w:u w:val="single"/>
              </w:rPr>
            </w:pPr>
            <w:r>
              <w:rPr>
                <w:rFonts w:hint="eastAsia"/>
                <w:color w:val="auto"/>
                <w:sz w:val="24"/>
                <w:u w:val="single"/>
                <w:lang w:eastAsia="zh-CN"/>
              </w:rPr>
              <w:t>根据建设单位提供的资料可知，本项目土壤修复后将作为平江县二类居民用地。本项目土壤修复目标值依据《场地调查报告》建立的场地暴露概念模型，参照我国《污染场地风险评估技术导则》（报批稿）（</w:t>
            </w:r>
            <w:r>
              <w:rPr>
                <w:rFonts w:hint="eastAsia"/>
                <w:color w:val="auto"/>
                <w:sz w:val="24"/>
                <w:u w:val="single"/>
                <w:lang w:val="en-US" w:eastAsia="zh-CN"/>
              </w:rPr>
              <w:t>C-RAG</w:t>
            </w:r>
            <w:r>
              <w:rPr>
                <w:rFonts w:hint="eastAsia"/>
                <w:color w:val="auto"/>
                <w:sz w:val="24"/>
                <w:u w:val="single"/>
                <w:lang w:eastAsia="zh-CN"/>
              </w:rPr>
              <w:t>）与美国的</w:t>
            </w:r>
            <w:r>
              <w:rPr>
                <w:rFonts w:hint="eastAsia"/>
                <w:color w:val="auto"/>
                <w:sz w:val="24"/>
                <w:u w:val="single"/>
                <w:lang w:val="en-US" w:eastAsia="zh-CN"/>
              </w:rPr>
              <w:t>ASTME2081导则进行计算和模型参数的优化，并采用中国科学院南京土壤研究所污染场地修复中心研发的风险评估软件HERA（Version1.0）来推导本项目土壤修复目标值</w:t>
            </w:r>
            <w:r>
              <w:rPr>
                <w:rFonts w:hint="eastAsia"/>
                <w:color w:val="auto"/>
                <w:sz w:val="24"/>
                <w:u w:val="single"/>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color w:val="auto"/>
                <w:u w:val="single"/>
                <w:lang w:eastAsia="zh-CN"/>
              </w:rPr>
            </w:pPr>
            <w:r>
              <w:rPr>
                <w:rFonts w:hint="eastAsia"/>
                <w:color w:val="auto"/>
                <w:sz w:val="24"/>
                <w:u w:val="single"/>
                <w:lang w:eastAsia="zh-CN"/>
              </w:rPr>
              <w:t>由于本次污染场地作为化学农药</w:t>
            </w:r>
            <w:r>
              <w:rPr>
                <w:rFonts w:hint="eastAsia"/>
                <w:color w:val="auto"/>
                <w:sz w:val="24"/>
                <w:u w:val="single"/>
                <w:lang w:val="en-US" w:eastAsia="zh-CN"/>
              </w:rPr>
              <w:t>DDT/六六六污染场地，并按照平江县土地利用规划作为二类居民用地，故本次土壤目标修复值结合美国EPA通用土壤筛选值、国家土壤环境质量标准（GB15618-1995）、《展览会用地土壤环境质量标准（暂行）》（HJ350-2007）以及《场地调查报告》中土壤修复筛选值，做出如下比较。</w:t>
            </w:r>
          </w:p>
          <w:p>
            <w:pPr>
              <w:pStyle w:val="142"/>
              <w:adjustRightInd w:val="0"/>
              <w:snapToGrid w:val="0"/>
              <w:ind w:firstLine="198"/>
              <w:jc w:val="center"/>
              <w:rPr>
                <w:rFonts w:hint="eastAsia"/>
                <w:b/>
                <w:bCs/>
                <w:color w:val="auto"/>
                <w:u w:val="single"/>
              </w:rPr>
            </w:pPr>
            <w:r>
              <w:rPr>
                <w:rFonts w:hint="eastAsia"/>
                <w:b/>
                <w:bCs/>
                <w:color w:val="auto"/>
                <w:u w:val="single"/>
              </w:rPr>
              <w:t>表</w:t>
            </w:r>
            <w:r>
              <w:rPr>
                <w:rFonts w:hint="eastAsia"/>
                <w:b/>
                <w:bCs/>
                <w:color w:val="auto"/>
                <w:u w:val="single"/>
                <w:lang w:val="en-US" w:eastAsia="zh-CN"/>
              </w:rPr>
              <w:t xml:space="preserve">4 </w:t>
            </w:r>
            <w:r>
              <w:rPr>
                <w:rFonts w:hint="eastAsia"/>
                <w:b/>
                <w:bCs/>
                <w:color w:val="auto"/>
                <w:u w:val="single"/>
              </w:rPr>
              <w:t xml:space="preserve"> 土壤修复</w:t>
            </w:r>
            <w:r>
              <w:rPr>
                <w:rFonts w:hint="eastAsia"/>
                <w:b/>
                <w:bCs/>
                <w:color w:val="auto"/>
                <w:u w:val="single"/>
                <w:lang w:eastAsia="zh-CN"/>
              </w:rPr>
              <w:t>目标</w:t>
            </w:r>
            <w:r>
              <w:rPr>
                <w:rFonts w:hint="eastAsia"/>
                <w:b/>
                <w:bCs/>
                <w:color w:val="auto"/>
                <w:u w:val="single"/>
              </w:rPr>
              <w:t>值</w:t>
            </w:r>
            <w:r>
              <w:rPr>
                <w:rFonts w:hint="eastAsia"/>
                <w:b/>
                <w:bCs/>
                <w:color w:val="auto"/>
                <w:u w:val="single"/>
                <w:lang w:eastAsia="zh-CN"/>
              </w:rPr>
              <w:t>比较</w:t>
            </w:r>
            <w:r>
              <w:rPr>
                <w:rFonts w:hint="eastAsia"/>
                <w:b/>
                <w:bCs/>
                <w:color w:val="auto"/>
                <w:u w:val="single"/>
              </w:rPr>
              <w:t>（mg/Kg）</w:t>
            </w:r>
          </w:p>
          <w:tbl>
            <w:tblPr>
              <w:tblStyle w:val="30"/>
              <w:tblW w:w="9070"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213"/>
              <w:gridCol w:w="1864"/>
              <w:gridCol w:w="1665"/>
              <w:gridCol w:w="1664"/>
              <w:gridCol w:w="166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0" w:hRule="atLeast"/>
              </w:trPr>
              <w:tc>
                <w:tcPr>
                  <w:tcW w:w="2213" w:type="dxa"/>
                  <w:vAlign w:val="center"/>
                </w:tcPr>
                <w:p>
                  <w:pPr>
                    <w:jc w:val="center"/>
                    <w:rPr>
                      <w:rFonts w:hint="eastAsia"/>
                      <w:b/>
                      <w:bCs/>
                      <w:color w:val="auto"/>
                      <w:u w:val="single"/>
                    </w:rPr>
                  </w:pPr>
                  <w:r>
                    <w:rPr>
                      <w:rFonts w:hint="eastAsia"/>
                      <w:b/>
                      <w:bCs/>
                      <w:color w:val="auto"/>
                      <w:u w:val="single"/>
                    </w:rPr>
                    <w:t>污染物</w:t>
                  </w:r>
                </w:p>
              </w:tc>
              <w:tc>
                <w:tcPr>
                  <w:tcW w:w="1864" w:type="dxa"/>
                  <w:vAlign w:val="center"/>
                </w:tcPr>
                <w:p>
                  <w:pPr>
                    <w:jc w:val="center"/>
                    <w:rPr>
                      <w:rFonts w:hint="eastAsia" w:eastAsia="宋体"/>
                      <w:b/>
                      <w:bCs/>
                      <w:color w:val="auto"/>
                      <w:u w:val="single"/>
                      <w:lang w:eastAsia="zh-CN"/>
                    </w:rPr>
                  </w:pPr>
                  <w:r>
                    <w:rPr>
                      <w:rFonts w:hint="eastAsia"/>
                      <w:b/>
                      <w:bCs/>
                      <w:color w:val="auto"/>
                      <w:u w:val="single"/>
                      <w:lang w:eastAsia="zh-CN"/>
                    </w:rPr>
                    <w:t>国标（三级）</w:t>
                  </w:r>
                </w:p>
              </w:tc>
              <w:tc>
                <w:tcPr>
                  <w:tcW w:w="1665" w:type="dxa"/>
                  <w:vAlign w:val="center"/>
                </w:tcPr>
                <w:p>
                  <w:pPr>
                    <w:jc w:val="center"/>
                    <w:rPr>
                      <w:rFonts w:hint="eastAsia" w:eastAsia="宋体"/>
                      <w:b/>
                      <w:bCs/>
                      <w:color w:val="auto"/>
                      <w:u w:val="single"/>
                      <w:lang w:eastAsia="zh-CN"/>
                    </w:rPr>
                  </w:pPr>
                  <w:r>
                    <w:rPr>
                      <w:rFonts w:hint="eastAsia"/>
                      <w:b/>
                      <w:bCs/>
                      <w:color w:val="auto"/>
                      <w:u w:val="single"/>
                      <w:lang w:eastAsia="zh-CN"/>
                    </w:rPr>
                    <w:t>展会标</w:t>
                  </w:r>
                </w:p>
              </w:tc>
              <w:tc>
                <w:tcPr>
                  <w:tcW w:w="1664" w:type="dxa"/>
                  <w:vAlign w:val="center"/>
                </w:tcPr>
                <w:p>
                  <w:pPr>
                    <w:jc w:val="center"/>
                    <w:rPr>
                      <w:rFonts w:hint="eastAsia" w:eastAsia="宋体"/>
                      <w:b/>
                      <w:bCs/>
                      <w:color w:val="auto"/>
                      <w:u w:val="single"/>
                      <w:lang w:eastAsia="zh-CN"/>
                    </w:rPr>
                  </w:pPr>
                  <w:r>
                    <w:rPr>
                      <w:rFonts w:hint="eastAsia"/>
                      <w:b/>
                      <w:bCs/>
                      <w:color w:val="auto"/>
                      <w:u w:val="single"/>
                      <w:lang w:eastAsia="zh-CN"/>
                    </w:rPr>
                    <w:t>风险评估下的土壤修复筛选值</w:t>
                  </w:r>
                </w:p>
              </w:tc>
              <w:tc>
                <w:tcPr>
                  <w:tcW w:w="1664" w:type="dxa"/>
                  <w:vAlign w:val="center"/>
                </w:tcPr>
                <w:p>
                  <w:pPr>
                    <w:jc w:val="center"/>
                    <w:rPr>
                      <w:rFonts w:hint="eastAsia" w:eastAsia="宋体"/>
                      <w:b/>
                      <w:bCs/>
                      <w:color w:val="auto"/>
                      <w:u w:val="single"/>
                      <w:lang w:eastAsia="zh-CN"/>
                    </w:rPr>
                  </w:pPr>
                  <w:r>
                    <w:rPr>
                      <w:rFonts w:hint="eastAsia"/>
                      <w:b/>
                      <w:bCs/>
                      <w:color w:val="auto"/>
                      <w:u w:val="single"/>
                      <w:lang w:eastAsia="zh-CN"/>
                    </w:rPr>
                    <w:t>美国</w:t>
                  </w:r>
                  <w:r>
                    <w:rPr>
                      <w:rFonts w:hint="eastAsia"/>
                      <w:b/>
                      <w:bCs/>
                      <w:color w:val="auto"/>
                      <w:u w:val="single"/>
                      <w:lang w:val="en-US" w:eastAsia="zh-CN"/>
                    </w:rPr>
                    <w:t>GSSL（摄入）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rPr>
              <w:tc>
                <w:tcPr>
                  <w:tcW w:w="2213" w:type="dxa"/>
                  <w:vAlign w:val="center"/>
                </w:tcPr>
                <w:p>
                  <w:pPr>
                    <w:jc w:val="center"/>
                    <w:rPr>
                      <w:rFonts w:hint="eastAsia" w:eastAsia="宋体"/>
                      <w:color w:val="auto"/>
                      <w:u w:val="single"/>
                      <w:lang w:eastAsia="zh-CN"/>
                    </w:rPr>
                  </w:pPr>
                  <w:r>
                    <w:rPr>
                      <w:rFonts w:hint="eastAsia"/>
                      <w:color w:val="auto"/>
                      <w:u w:val="single"/>
                      <w:lang w:eastAsia="zh-CN"/>
                    </w:rPr>
                    <w:t>D</w:t>
                  </w:r>
                  <w:r>
                    <w:rPr>
                      <w:rFonts w:hint="eastAsia"/>
                      <w:color w:val="auto"/>
                      <w:u w:val="single"/>
                      <w:lang w:val="en-US" w:eastAsia="zh-CN"/>
                    </w:rPr>
                    <w:t>DT</w:t>
                  </w:r>
                </w:p>
              </w:tc>
              <w:tc>
                <w:tcPr>
                  <w:tcW w:w="1864" w:type="dxa"/>
                  <w:vAlign w:val="center"/>
                </w:tcPr>
                <w:p>
                  <w:pPr>
                    <w:jc w:val="center"/>
                    <w:rPr>
                      <w:rFonts w:hint="eastAsia" w:eastAsia="宋体"/>
                      <w:color w:val="auto"/>
                      <w:u w:val="single"/>
                      <w:lang w:val="en-US" w:eastAsia="zh-CN"/>
                    </w:rPr>
                  </w:pPr>
                  <w:r>
                    <w:rPr>
                      <w:rFonts w:hint="eastAsia"/>
                      <w:color w:val="auto"/>
                      <w:u w:val="single"/>
                      <w:lang w:val="en-US" w:eastAsia="zh-CN"/>
                    </w:rPr>
                    <w:t>1.0</w:t>
                  </w:r>
                </w:p>
              </w:tc>
              <w:tc>
                <w:tcPr>
                  <w:tcW w:w="1665" w:type="dxa"/>
                  <w:vAlign w:val="center"/>
                </w:tcPr>
                <w:p>
                  <w:pPr>
                    <w:jc w:val="center"/>
                    <w:rPr>
                      <w:rFonts w:hint="eastAsia"/>
                      <w:color w:val="auto"/>
                      <w:u w:val="single"/>
                    </w:rPr>
                  </w:pPr>
                  <w:r>
                    <w:rPr>
                      <w:rFonts w:hint="eastAsia"/>
                      <w:color w:val="auto"/>
                      <w:u w:val="single"/>
                      <w:lang w:val="en-US" w:eastAsia="zh-CN"/>
                    </w:rPr>
                    <w:t>1.0</w:t>
                  </w:r>
                </w:p>
              </w:tc>
              <w:tc>
                <w:tcPr>
                  <w:tcW w:w="1664" w:type="dxa"/>
                  <w:vAlign w:val="center"/>
                </w:tcPr>
                <w:p>
                  <w:pPr>
                    <w:jc w:val="center"/>
                    <w:rPr>
                      <w:rFonts w:hint="eastAsia" w:eastAsia="宋体"/>
                      <w:color w:val="auto"/>
                      <w:u w:val="single"/>
                      <w:lang w:val="en-US" w:eastAsia="zh-CN"/>
                    </w:rPr>
                  </w:pPr>
                  <w:r>
                    <w:rPr>
                      <w:rFonts w:hint="eastAsia"/>
                      <w:color w:val="auto"/>
                      <w:u w:val="single"/>
                      <w:lang w:val="en-US" w:eastAsia="zh-CN"/>
                    </w:rPr>
                    <w:t>1.47</w:t>
                  </w:r>
                </w:p>
              </w:tc>
              <w:tc>
                <w:tcPr>
                  <w:tcW w:w="1664" w:type="dxa"/>
                  <w:vAlign w:val="center"/>
                </w:tcPr>
                <w:p>
                  <w:pPr>
                    <w:jc w:val="center"/>
                    <w:rPr>
                      <w:rFonts w:hint="eastAsia" w:eastAsia="宋体"/>
                      <w:color w:val="auto"/>
                      <w:u w:val="single"/>
                      <w:lang w:val="en-US" w:eastAsia="zh-CN"/>
                    </w:rPr>
                  </w:pPr>
                  <w:r>
                    <w:rPr>
                      <w:rFonts w:hint="eastAsia"/>
                      <w:color w:val="auto"/>
                      <w:u w:val="single"/>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31" w:hRule="atLeast"/>
              </w:trPr>
              <w:tc>
                <w:tcPr>
                  <w:tcW w:w="2213" w:type="dxa"/>
                  <w:vAlign w:val="center"/>
                </w:tcPr>
                <w:p>
                  <w:pPr>
                    <w:jc w:val="center"/>
                    <w:rPr>
                      <w:rFonts w:hint="eastAsia" w:eastAsia="宋体"/>
                      <w:color w:val="auto"/>
                      <w:u w:val="single"/>
                      <w:lang w:val="en-US" w:eastAsia="zh-CN"/>
                    </w:rPr>
                  </w:pPr>
                  <w:r>
                    <w:rPr>
                      <w:rFonts w:hint="eastAsia"/>
                      <w:color w:val="auto"/>
                      <w:u w:val="single"/>
                      <w:lang w:val="en-US" w:eastAsia="zh-CN"/>
                    </w:rPr>
                    <w:t>六六六</w:t>
                  </w:r>
                </w:p>
              </w:tc>
              <w:tc>
                <w:tcPr>
                  <w:tcW w:w="1864" w:type="dxa"/>
                  <w:vAlign w:val="center"/>
                </w:tcPr>
                <w:p>
                  <w:pPr>
                    <w:jc w:val="center"/>
                    <w:rPr>
                      <w:rFonts w:hint="eastAsia"/>
                      <w:color w:val="auto"/>
                      <w:u w:val="single"/>
                    </w:rPr>
                  </w:pPr>
                  <w:r>
                    <w:rPr>
                      <w:rFonts w:hint="eastAsia"/>
                      <w:color w:val="auto"/>
                      <w:u w:val="single"/>
                      <w:lang w:val="en-US" w:eastAsia="zh-CN"/>
                    </w:rPr>
                    <w:t>1.0</w:t>
                  </w:r>
                </w:p>
              </w:tc>
              <w:tc>
                <w:tcPr>
                  <w:tcW w:w="1665" w:type="dxa"/>
                  <w:vAlign w:val="center"/>
                </w:tcPr>
                <w:p>
                  <w:pPr>
                    <w:jc w:val="center"/>
                    <w:rPr>
                      <w:rFonts w:hint="eastAsia"/>
                      <w:color w:val="auto"/>
                      <w:u w:val="single"/>
                    </w:rPr>
                  </w:pPr>
                  <w:r>
                    <w:rPr>
                      <w:rFonts w:hint="eastAsia"/>
                      <w:color w:val="auto"/>
                      <w:u w:val="single"/>
                      <w:lang w:val="en-US" w:eastAsia="zh-CN"/>
                    </w:rPr>
                    <w:t>1.0</w:t>
                  </w:r>
                </w:p>
              </w:tc>
              <w:tc>
                <w:tcPr>
                  <w:tcW w:w="1664" w:type="dxa"/>
                  <w:vAlign w:val="center"/>
                </w:tcPr>
                <w:p>
                  <w:pPr>
                    <w:jc w:val="center"/>
                    <w:rPr>
                      <w:rFonts w:hint="eastAsia" w:eastAsia="宋体"/>
                      <w:color w:val="auto"/>
                      <w:u w:val="single"/>
                      <w:lang w:val="en-US" w:eastAsia="zh-CN"/>
                    </w:rPr>
                  </w:pPr>
                  <w:r>
                    <w:rPr>
                      <w:rFonts w:hint="eastAsia"/>
                      <w:color w:val="auto"/>
                      <w:u w:val="single"/>
                      <w:lang w:val="en-US" w:eastAsia="zh-CN"/>
                    </w:rPr>
                    <w:t>1.25</w:t>
                  </w:r>
                </w:p>
              </w:tc>
              <w:tc>
                <w:tcPr>
                  <w:tcW w:w="1664" w:type="dxa"/>
                  <w:vAlign w:val="center"/>
                </w:tcPr>
                <w:p>
                  <w:pPr>
                    <w:jc w:val="center"/>
                    <w:rPr>
                      <w:rFonts w:hint="eastAsia"/>
                      <w:color w:val="auto"/>
                      <w:u w:val="single"/>
                    </w:rPr>
                  </w:pPr>
                  <w:r>
                    <w:rPr>
                      <w:rFonts w:hint="eastAsia"/>
                      <w:color w:val="auto"/>
                      <w:u w:val="single"/>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color w:val="auto"/>
                <w:sz w:val="24"/>
                <w:szCs w:val="22"/>
                <w:u w:val="none"/>
                <w:lang w:val="en-US" w:eastAsia="zh-CN"/>
              </w:rPr>
            </w:pPr>
            <w:r>
              <w:rPr>
                <w:rFonts w:hint="eastAsia"/>
                <w:color w:val="auto"/>
                <w:sz w:val="24"/>
                <w:szCs w:val="22"/>
                <w:u w:val="single"/>
                <w:lang w:val="en-US" w:eastAsia="zh-CN"/>
              </w:rPr>
              <w:t>为了更好的修复受污染土壤，确定土壤污染物DDT修复目标值为1mg/kg、六六六修复目标值为1mg/kg。</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rPr>
            </w:pPr>
            <w:r>
              <w:rPr>
                <w:rFonts w:hint="eastAsia" w:hAnsi="宋体"/>
                <w:b/>
                <w:color w:val="auto"/>
                <w:sz w:val="24"/>
                <w:szCs w:val="24"/>
                <w:lang w:val="en-US" w:eastAsia="zh-CN"/>
              </w:rPr>
              <w:t>5</w:t>
            </w:r>
            <w:r>
              <w:rPr>
                <w:rFonts w:hAnsi="宋体"/>
                <w:b/>
                <w:color w:val="auto"/>
                <w:sz w:val="24"/>
                <w:szCs w:val="24"/>
              </w:rPr>
              <w:t>、主要原辅材料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项目土壤修复使用的原辅材料主要为硫酸亚铁</w:t>
            </w:r>
            <w:bookmarkStart w:id="2" w:name="OLE_LINK10"/>
            <w:r>
              <w:rPr>
                <w:rFonts w:hint="eastAsia" w:hAnsi="宋体"/>
                <w:color w:val="auto"/>
                <w:sz w:val="24"/>
                <w:szCs w:val="24"/>
                <w:u w:val="single"/>
              </w:rPr>
              <w:t>。重度</w:t>
            </w:r>
            <w:r>
              <w:rPr>
                <w:rFonts w:hAnsi="宋体"/>
                <w:color w:val="auto"/>
                <w:sz w:val="24"/>
                <w:szCs w:val="24"/>
                <w:u w:val="single"/>
              </w:rPr>
              <w:t>污染土壤：</w:t>
            </w:r>
            <w:r>
              <w:rPr>
                <w:rFonts w:hint="eastAsia" w:hAnsi="宋体"/>
                <w:color w:val="auto"/>
                <w:sz w:val="24"/>
                <w:szCs w:val="24"/>
                <w:u w:val="single"/>
                <w:lang w:eastAsia="zh-CN"/>
              </w:rPr>
              <w:t>修复药</w:t>
            </w:r>
            <w:r>
              <w:rPr>
                <w:rFonts w:hint="eastAsia" w:hAnsi="宋体"/>
                <w:color w:val="auto"/>
                <w:sz w:val="24"/>
                <w:szCs w:val="24"/>
                <w:u w:val="single"/>
              </w:rPr>
              <w:t>剂=100：4</w:t>
            </w:r>
            <w:bookmarkEnd w:id="2"/>
            <w:r>
              <w:rPr>
                <w:rFonts w:hint="eastAsia"/>
                <w:color w:val="auto"/>
                <w:sz w:val="24"/>
                <w:szCs w:val="24"/>
                <w:u w:val="single"/>
              </w:rPr>
              <w:t>；</w:t>
            </w:r>
            <w:r>
              <w:rPr>
                <w:rFonts w:hint="eastAsia" w:hAnsi="宋体"/>
                <w:color w:val="auto"/>
                <w:sz w:val="24"/>
                <w:szCs w:val="24"/>
                <w:u w:val="single"/>
              </w:rPr>
              <w:t>中轻度</w:t>
            </w:r>
            <w:r>
              <w:rPr>
                <w:rFonts w:hAnsi="宋体"/>
                <w:color w:val="auto"/>
                <w:sz w:val="24"/>
                <w:szCs w:val="24"/>
                <w:u w:val="single"/>
              </w:rPr>
              <w:t>污染土壤：</w:t>
            </w:r>
            <w:r>
              <w:rPr>
                <w:rFonts w:hint="eastAsia" w:hAnsi="宋体"/>
                <w:color w:val="auto"/>
                <w:sz w:val="24"/>
                <w:szCs w:val="24"/>
                <w:u w:val="single"/>
                <w:lang w:eastAsia="zh-CN"/>
              </w:rPr>
              <w:t>修复药</w:t>
            </w:r>
            <w:r>
              <w:rPr>
                <w:rFonts w:hint="eastAsia" w:hAnsi="宋体"/>
                <w:color w:val="auto"/>
                <w:sz w:val="24"/>
                <w:szCs w:val="24"/>
                <w:u w:val="single"/>
              </w:rPr>
              <w:t>剂=100：2，保证反应环境pH=9</w:t>
            </w:r>
            <w:r>
              <w:rPr>
                <w:rFonts w:hAnsi="宋体"/>
                <w:color w:val="auto"/>
                <w:sz w:val="24"/>
                <w:szCs w:val="24"/>
                <w:u w:val="single"/>
              </w:rPr>
              <w:t>。主要原辅材料使用量见表</w:t>
            </w:r>
            <w:r>
              <w:rPr>
                <w:rFonts w:hint="eastAsia" w:hAnsi="宋体"/>
                <w:color w:val="auto"/>
                <w:sz w:val="24"/>
                <w:szCs w:val="24"/>
                <w:u w:val="single"/>
                <w:lang w:val="en-US" w:eastAsia="zh-CN"/>
              </w:rPr>
              <w:t>5</w:t>
            </w:r>
            <w:r>
              <w:rPr>
                <w:rFonts w:hAnsi="宋体"/>
                <w:color w:val="auto"/>
                <w:sz w:val="24"/>
                <w:szCs w:val="24"/>
                <w:u w:val="single"/>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rPr>
                <w:rFonts w:hint="eastAsia" w:hAnsi="宋体"/>
                <w:b/>
                <w:bCs/>
                <w:color w:val="auto"/>
                <w:u w:val="none"/>
              </w:rPr>
              <w:t>表</w:t>
            </w:r>
            <w:r>
              <w:rPr>
                <w:rFonts w:hint="eastAsia" w:hAnsi="宋体"/>
                <w:b/>
                <w:bCs/>
                <w:color w:val="auto"/>
                <w:u w:val="none"/>
                <w:lang w:val="en-US" w:eastAsia="zh-CN"/>
              </w:rPr>
              <w:t>5</w:t>
            </w:r>
            <w:r>
              <w:rPr>
                <w:rFonts w:hint="eastAsia" w:hAnsi="宋体"/>
                <w:b/>
                <w:bCs/>
                <w:color w:val="auto"/>
                <w:u w:val="none"/>
              </w:rPr>
              <w:t xml:space="preserve">  土壤修复原辅材料用量一览表</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1"/>
              <w:gridCol w:w="869"/>
              <w:gridCol w:w="895"/>
              <w:gridCol w:w="960"/>
              <w:gridCol w:w="1450"/>
              <w:gridCol w:w="937"/>
              <w:gridCol w:w="979"/>
              <w:gridCol w:w="1082"/>
              <w:gridCol w:w="1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531" w:type="dxa"/>
                  <w:vAlign w:val="center"/>
                </w:tcPr>
                <w:p>
                  <w:pPr>
                    <w:jc w:val="center"/>
                    <w:rPr>
                      <w:color w:val="auto"/>
                      <w:szCs w:val="21"/>
                      <w:u w:val="single"/>
                    </w:rPr>
                  </w:pPr>
                  <w:r>
                    <w:rPr>
                      <w:rFonts w:hAnsi="宋体"/>
                      <w:color w:val="auto"/>
                      <w:szCs w:val="21"/>
                      <w:u w:val="single"/>
                    </w:rPr>
                    <w:t>序号</w:t>
                  </w:r>
                </w:p>
              </w:tc>
              <w:tc>
                <w:tcPr>
                  <w:tcW w:w="869" w:type="dxa"/>
                  <w:vAlign w:val="center"/>
                </w:tcPr>
                <w:p>
                  <w:pPr>
                    <w:jc w:val="center"/>
                    <w:rPr>
                      <w:rFonts w:hAnsi="宋体"/>
                      <w:color w:val="auto"/>
                      <w:szCs w:val="21"/>
                      <w:u w:val="single"/>
                    </w:rPr>
                  </w:pPr>
                  <w:r>
                    <w:rPr>
                      <w:rFonts w:hint="eastAsia" w:hAnsi="宋体"/>
                      <w:color w:val="auto"/>
                      <w:szCs w:val="21"/>
                      <w:u w:val="single"/>
                    </w:rPr>
                    <w:t>污染土壤类型</w:t>
                  </w:r>
                </w:p>
              </w:tc>
              <w:tc>
                <w:tcPr>
                  <w:tcW w:w="895" w:type="dxa"/>
                  <w:vAlign w:val="center"/>
                </w:tcPr>
                <w:p>
                  <w:pPr>
                    <w:jc w:val="center"/>
                    <w:rPr>
                      <w:color w:val="auto"/>
                      <w:szCs w:val="21"/>
                      <w:u w:val="single"/>
                    </w:rPr>
                  </w:pPr>
                  <w:r>
                    <w:rPr>
                      <w:rFonts w:hAnsi="宋体"/>
                      <w:color w:val="auto"/>
                      <w:szCs w:val="21"/>
                      <w:u w:val="single"/>
                    </w:rPr>
                    <w:t>名称</w:t>
                  </w:r>
                </w:p>
              </w:tc>
              <w:tc>
                <w:tcPr>
                  <w:tcW w:w="960" w:type="dxa"/>
                  <w:vAlign w:val="center"/>
                </w:tcPr>
                <w:p>
                  <w:pPr>
                    <w:jc w:val="center"/>
                    <w:rPr>
                      <w:color w:val="auto"/>
                      <w:szCs w:val="21"/>
                      <w:u w:val="single"/>
                    </w:rPr>
                  </w:pPr>
                  <w:r>
                    <w:rPr>
                      <w:rFonts w:hAnsi="宋体"/>
                      <w:color w:val="auto"/>
                      <w:szCs w:val="21"/>
                      <w:u w:val="single"/>
                    </w:rPr>
                    <w:t>用途</w:t>
                  </w:r>
                </w:p>
              </w:tc>
              <w:tc>
                <w:tcPr>
                  <w:tcW w:w="1450" w:type="dxa"/>
                  <w:vAlign w:val="center"/>
                </w:tcPr>
                <w:p>
                  <w:pPr>
                    <w:jc w:val="center"/>
                    <w:rPr>
                      <w:color w:val="auto"/>
                      <w:szCs w:val="21"/>
                      <w:u w:val="single"/>
                    </w:rPr>
                  </w:pPr>
                  <w:r>
                    <w:rPr>
                      <w:rFonts w:hAnsi="宋体"/>
                      <w:color w:val="auto"/>
                      <w:szCs w:val="21"/>
                      <w:u w:val="single"/>
                    </w:rPr>
                    <w:t>总消耗量</w:t>
                  </w:r>
                </w:p>
                <w:p>
                  <w:pPr>
                    <w:jc w:val="center"/>
                    <w:rPr>
                      <w:color w:val="auto"/>
                      <w:szCs w:val="21"/>
                      <w:u w:val="single"/>
                    </w:rPr>
                  </w:pPr>
                  <w:r>
                    <w:rPr>
                      <w:color w:val="auto"/>
                      <w:szCs w:val="21"/>
                      <w:u w:val="single"/>
                    </w:rPr>
                    <w:t>(</w:t>
                  </w:r>
                  <w:r>
                    <w:rPr>
                      <w:rFonts w:hAnsi="宋体"/>
                      <w:color w:val="auto"/>
                      <w:szCs w:val="21"/>
                      <w:u w:val="single"/>
                    </w:rPr>
                    <w:t>吨</w:t>
                  </w:r>
                  <w:r>
                    <w:rPr>
                      <w:color w:val="auto"/>
                      <w:szCs w:val="21"/>
                      <w:u w:val="single"/>
                    </w:rPr>
                    <w:t>)</w:t>
                  </w:r>
                </w:p>
              </w:tc>
              <w:tc>
                <w:tcPr>
                  <w:tcW w:w="937" w:type="dxa"/>
                  <w:vAlign w:val="center"/>
                </w:tcPr>
                <w:p>
                  <w:pPr>
                    <w:jc w:val="center"/>
                    <w:rPr>
                      <w:color w:val="auto"/>
                      <w:szCs w:val="21"/>
                      <w:u w:val="single"/>
                    </w:rPr>
                  </w:pPr>
                  <w:r>
                    <w:rPr>
                      <w:rFonts w:hAnsi="宋体"/>
                      <w:color w:val="auto"/>
                      <w:szCs w:val="21"/>
                      <w:u w:val="single"/>
                    </w:rPr>
                    <w:t>最大储存量</w:t>
                  </w:r>
                  <w:r>
                    <w:rPr>
                      <w:color w:val="auto"/>
                      <w:szCs w:val="21"/>
                      <w:u w:val="single"/>
                    </w:rPr>
                    <w:t>(</w:t>
                  </w:r>
                  <w:r>
                    <w:rPr>
                      <w:rFonts w:hAnsi="宋体"/>
                      <w:color w:val="auto"/>
                      <w:szCs w:val="21"/>
                      <w:u w:val="single"/>
                    </w:rPr>
                    <w:t>吨</w:t>
                  </w:r>
                  <w:r>
                    <w:rPr>
                      <w:color w:val="auto"/>
                      <w:szCs w:val="21"/>
                      <w:u w:val="single"/>
                    </w:rPr>
                    <w:t>)</w:t>
                  </w:r>
                </w:p>
              </w:tc>
              <w:tc>
                <w:tcPr>
                  <w:tcW w:w="979" w:type="dxa"/>
                  <w:vAlign w:val="center"/>
                </w:tcPr>
                <w:p>
                  <w:pPr>
                    <w:jc w:val="center"/>
                    <w:rPr>
                      <w:color w:val="auto"/>
                      <w:szCs w:val="21"/>
                      <w:u w:val="single"/>
                    </w:rPr>
                  </w:pPr>
                  <w:r>
                    <w:rPr>
                      <w:rFonts w:hAnsi="宋体"/>
                      <w:color w:val="auto"/>
                      <w:szCs w:val="21"/>
                      <w:u w:val="single"/>
                    </w:rPr>
                    <w:t>土壤修复量</w:t>
                  </w:r>
                  <w:r>
                    <w:rPr>
                      <w:color w:val="auto"/>
                      <w:szCs w:val="21"/>
                      <w:u w:val="single"/>
                    </w:rPr>
                    <w:t>(m</w:t>
                  </w:r>
                  <w:r>
                    <w:rPr>
                      <w:color w:val="auto"/>
                      <w:szCs w:val="21"/>
                      <w:u w:val="single"/>
                      <w:vertAlign w:val="superscript"/>
                    </w:rPr>
                    <w:t>3</w:t>
                  </w:r>
                  <w:r>
                    <w:rPr>
                      <w:color w:val="auto"/>
                      <w:szCs w:val="21"/>
                      <w:u w:val="single"/>
                    </w:rPr>
                    <w:t>)</w:t>
                  </w:r>
                </w:p>
              </w:tc>
              <w:tc>
                <w:tcPr>
                  <w:tcW w:w="1082" w:type="dxa"/>
                  <w:vAlign w:val="center"/>
                </w:tcPr>
                <w:p>
                  <w:pPr>
                    <w:jc w:val="center"/>
                    <w:rPr>
                      <w:color w:val="auto"/>
                      <w:szCs w:val="21"/>
                      <w:u w:val="single"/>
                    </w:rPr>
                  </w:pPr>
                  <w:r>
                    <w:rPr>
                      <w:rFonts w:hAnsi="宋体"/>
                      <w:color w:val="auto"/>
                      <w:szCs w:val="21"/>
                      <w:u w:val="single"/>
                    </w:rPr>
                    <w:t>土壤污染物</w:t>
                  </w:r>
                </w:p>
              </w:tc>
              <w:tc>
                <w:tcPr>
                  <w:tcW w:w="1367" w:type="dxa"/>
                  <w:vAlign w:val="center"/>
                </w:tcPr>
                <w:p>
                  <w:pPr>
                    <w:jc w:val="center"/>
                    <w:rPr>
                      <w:color w:val="auto"/>
                      <w:szCs w:val="21"/>
                      <w:u w:val="single"/>
                    </w:rPr>
                  </w:pPr>
                  <w:r>
                    <w:rPr>
                      <w:rFonts w:hAnsi="宋体"/>
                      <w:color w:val="auto"/>
                      <w:szCs w:val="21"/>
                      <w:u w:val="single"/>
                    </w:rPr>
                    <w:t>投加比</w:t>
                  </w:r>
                  <w:r>
                    <w:rPr>
                      <w:color w:val="auto"/>
                      <w:szCs w:val="21"/>
                      <w:u w:val="single"/>
                    </w:rPr>
                    <w:t>(</w:t>
                  </w:r>
                  <w:r>
                    <w:rPr>
                      <w:rFonts w:hAnsi="宋体"/>
                      <w:color w:val="auto"/>
                      <w:szCs w:val="21"/>
                      <w:u w:val="single"/>
                    </w:rPr>
                    <w:t>土壤：稳定剂：固定剂</w:t>
                  </w:r>
                  <w:r>
                    <w:rPr>
                      <w:color w:val="auto"/>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531" w:type="dxa"/>
                  <w:vAlign w:val="center"/>
                </w:tcPr>
                <w:p>
                  <w:pPr>
                    <w:jc w:val="center"/>
                    <w:rPr>
                      <w:color w:val="auto"/>
                      <w:szCs w:val="21"/>
                      <w:u w:val="single"/>
                    </w:rPr>
                  </w:pPr>
                  <w:r>
                    <w:rPr>
                      <w:color w:val="auto"/>
                      <w:szCs w:val="21"/>
                      <w:u w:val="single"/>
                    </w:rPr>
                    <w:t>1</w:t>
                  </w:r>
                </w:p>
              </w:tc>
              <w:tc>
                <w:tcPr>
                  <w:tcW w:w="869" w:type="dxa"/>
                  <w:vAlign w:val="center"/>
                </w:tcPr>
                <w:p>
                  <w:pPr>
                    <w:jc w:val="center"/>
                    <w:rPr>
                      <w:rFonts w:hAnsi="宋体"/>
                      <w:color w:val="auto"/>
                      <w:szCs w:val="21"/>
                      <w:u w:val="single"/>
                    </w:rPr>
                  </w:pPr>
                  <w:r>
                    <w:rPr>
                      <w:rFonts w:hint="eastAsia" w:hAnsi="宋体"/>
                      <w:color w:val="auto"/>
                      <w:szCs w:val="21"/>
                      <w:u w:val="single"/>
                    </w:rPr>
                    <w:t>重度污染土壤</w:t>
                  </w:r>
                </w:p>
              </w:tc>
              <w:tc>
                <w:tcPr>
                  <w:tcW w:w="895" w:type="dxa"/>
                  <w:vAlign w:val="center"/>
                </w:tcPr>
                <w:p>
                  <w:pPr>
                    <w:jc w:val="center"/>
                    <w:rPr>
                      <w:color w:val="auto"/>
                      <w:szCs w:val="21"/>
                      <w:u w:val="single"/>
                    </w:rPr>
                  </w:pPr>
                  <w:r>
                    <w:rPr>
                      <w:rFonts w:hAnsi="宋体"/>
                      <w:color w:val="auto"/>
                      <w:szCs w:val="21"/>
                      <w:u w:val="single"/>
                    </w:rPr>
                    <w:t>硫酸亚铁</w:t>
                  </w:r>
                </w:p>
              </w:tc>
              <w:tc>
                <w:tcPr>
                  <w:tcW w:w="960" w:type="dxa"/>
                  <w:vAlign w:val="center"/>
                </w:tcPr>
                <w:p>
                  <w:pPr>
                    <w:jc w:val="center"/>
                    <w:rPr>
                      <w:rFonts w:hint="eastAsia" w:eastAsia="宋体"/>
                      <w:color w:val="auto"/>
                      <w:szCs w:val="21"/>
                      <w:u w:val="single"/>
                      <w:lang w:eastAsia="zh-CN"/>
                    </w:rPr>
                  </w:pPr>
                  <w:r>
                    <w:rPr>
                      <w:rFonts w:hint="eastAsia" w:hAnsi="宋体"/>
                      <w:color w:val="auto"/>
                      <w:szCs w:val="21"/>
                      <w:u w:val="single"/>
                      <w:lang w:eastAsia="zh-CN"/>
                    </w:rPr>
                    <w:t>修复药剂</w:t>
                  </w:r>
                </w:p>
              </w:tc>
              <w:tc>
                <w:tcPr>
                  <w:tcW w:w="1450" w:type="dxa"/>
                  <w:vAlign w:val="center"/>
                </w:tcPr>
                <w:p>
                  <w:pPr>
                    <w:jc w:val="center"/>
                    <w:rPr>
                      <w:color w:val="auto"/>
                      <w:szCs w:val="21"/>
                      <w:u w:val="single"/>
                    </w:rPr>
                  </w:pPr>
                  <w:r>
                    <w:rPr>
                      <w:rFonts w:hint="eastAsia"/>
                      <w:color w:val="auto"/>
                      <w:szCs w:val="21"/>
                      <w:u w:val="single"/>
                    </w:rPr>
                    <w:t>699.65</w:t>
                  </w:r>
                </w:p>
              </w:tc>
              <w:tc>
                <w:tcPr>
                  <w:tcW w:w="937" w:type="dxa"/>
                  <w:vAlign w:val="center"/>
                </w:tcPr>
                <w:p>
                  <w:pPr>
                    <w:jc w:val="center"/>
                    <w:rPr>
                      <w:color w:val="auto"/>
                      <w:szCs w:val="21"/>
                      <w:u w:val="single"/>
                    </w:rPr>
                  </w:pPr>
                  <w:r>
                    <w:rPr>
                      <w:rFonts w:hint="eastAsia"/>
                      <w:color w:val="auto"/>
                      <w:szCs w:val="21"/>
                      <w:u w:val="single"/>
                    </w:rPr>
                    <w:t>20</w:t>
                  </w:r>
                </w:p>
              </w:tc>
              <w:tc>
                <w:tcPr>
                  <w:tcW w:w="979" w:type="dxa"/>
                  <w:vAlign w:val="center"/>
                </w:tcPr>
                <w:p>
                  <w:pPr>
                    <w:jc w:val="center"/>
                    <w:rPr>
                      <w:color w:val="auto"/>
                      <w:szCs w:val="21"/>
                      <w:u w:val="single"/>
                    </w:rPr>
                  </w:pPr>
                  <w:r>
                    <w:rPr>
                      <w:rFonts w:hint="eastAsia"/>
                      <w:color w:val="auto"/>
                    </w:rPr>
                    <w:t>17491.3</w:t>
                  </w:r>
                </w:p>
              </w:tc>
              <w:tc>
                <w:tcPr>
                  <w:tcW w:w="1082" w:type="dxa"/>
                  <w:vAlign w:val="center"/>
                </w:tcPr>
                <w:p>
                  <w:pPr>
                    <w:jc w:val="center"/>
                    <w:rPr>
                      <w:color w:val="auto"/>
                      <w:szCs w:val="21"/>
                      <w:u w:val="single"/>
                    </w:rPr>
                  </w:pPr>
                  <w:r>
                    <w:rPr>
                      <w:rFonts w:hint="eastAsia" w:hAnsi="宋体"/>
                      <w:color w:val="auto"/>
                      <w:sz w:val="24"/>
                      <w:szCs w:val="24"/>
                    </w:rPr>
                    <w:t>六六六及滴滴涕</w:t>
                  </w:r>
                </w:p>
              </w:tc>
              <w:tc>
                <w:tcPr>
                  <w:tcW w:w="1367" w:type="dxa"/>
                  <w:vAlign w:val="center"/>
                </w:tcPr>
                <w:p>
                  <w:pPr>
                    <w:jc w:val="center"/>
                    <w:rPr>
                      <w:color w:val="auto"/>
                      <w:szCs w:val="21"/>
                      <w:u w:val="single"/>
                    </w:rPr>
                  </w:pPr>
                  <w:r>
                    <w:rPr>
                      <w:color w:val="auto"/>
                      <w:szCs w:val="21"/>
                      <w:u w:val="single"/>
                    </w:rPr>
                    <w:t>100:</w:t>
                  </w:r>
                  <w:r>
                    <w:rPr>
                      <w:rFonts w:hint="eastAsia"/>
                      <w:color w:val="auto"/>
                      <w:szCs w:val="21"/>
                      <w:u w:val="singl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531" w:type="dxa"/>
                  <w:vAlign w:val="center"/>
                </w:tcPr>
                <w:p>
                  <w:pPr>
                    <w:jc w:val="center"/>
                    <w:rPr>
                      <w:color w:val="auto"/>
                      <w:szCs w:val="21"/>
                      <w:u w:val="single"/>
                    </w:rPr>
                  </w:pPr>
                  <w:r>
                    <w:rPr>
                      <w:rFonts w:hint="eastAsia"/>
                      <w:color w:val="auto"/>
                      <w:szCs w:val="21"/>
                      <w:u w:val="single"/>
                    </w:rPr>
                    <w:t>2</w:t>
                  </w:r>
                </w:p>
              </w:tc>
              <w:tc>
                <w:tcPr>
                  <w:tcW w:w="869" w:type="dxa"/>
                  <w:vAlign w:val="center"/>
                </w:tcPr>
                <w:p>
                  <w:pPr>
                    <w:jc w:val="center"/>
                    <w:rPr>
                      <w:rFonts w:hAnsi="宋体"/>
                      <w:color w:val="auto"/>
                      <w:szCs w:val="21"/>
                      <w:u w:val="single"/>
                    </w:rPr>
                  </w:pPr>
                  <w:r>
                    <w:rPr>
                      <w:rFonts w:hint="eastAsia" w:hAnsi="宋体"/>
                      <w:color w:val="auto"/>
                      <w:szCs w:val="21"/>
                      <w:u w:val="single"/>
                    </w:rPr>
                    <w:t>中轻度污染土壤</w:t>
                  </w:r>
                </w:p>
              </w:tc>
              <w:tc>
                <w:tcPr>
                  <w:tcW w:w="895" w:type="dxa"/>
                  <w:vAlign w:val="center"/>
                </w:tcPr>
                <w:p>
                  <w:pPr>
                    <w:jc w:val="center"/>
                    <w:rPr>
                      <w:color w:val="auto"/>
                      <w:szCs w:val="21"/>
                      <w:u w:val="single"/>
                    </w:rPr>
                  </w:pPr>
                  <w:r>
                    <w:rPr>
                      <w:rFonts w:hAnsi="宋体"/>
                      <w:color w:val="auto"/>
                      <w:szCs w:val="21"/>
                      <w:u w:val="single"/>
                    </w:rPr>
                    <w:t>硫酸亚铁</w:t>
                  </w:r>
                </w:p>
              </w:tc>
              <w:tc>
                <w:tcPr>
                  <w:tcW w:w="960" w:type="dxa"/>
                  <w:vAlign w:val="center"/>
                </w:tcPr>
                <w:p>
                  <w:pPr>
                    <w:jc w:val="center"/>
                    <w:rPr>
                      <w:color w:val="auto"/>
                      <w:szCs w:val="21"/>
                      <w:u w:val="single"/>
                    </w:rPr>
                  </w:pPr>
                  <w:r>
                    <w:rPr>
                      <w:rFonts w:hint="eastAsia" w:hAnsi="宋体"/>
                      <w:color w:val="auto"/>
                      <w:szCs w:val="21"/>
                      <w:u w:val="single"/>
                      <w:lang w:eastAsia="zh-CN"/>
                    </w:rPr>
                    <w:t>修复药剂</w:t>
                  </w:r>
                </w:p>
              </w:tc>
              <w:tc>
                <w:tcPr>
                  <w:tcW w:w="1450" w:type="dxa"/>
                  <w:vAlign w:val="center"/>
                </w:tcPr>
                <w:p>
                  <w:pPr>
                    <w:jc w:val="center"/>
                    <w:rPr>
                      <w:color w:val="auto"/>
                      <w:szCs w:val="21"/>
                      <w:u w:val="single"/>
                    </w:rPr>
                  </w:pPr>
                  <w:r>
                    <w:rPr>
                      <w:rFonts w:hint="eastAsia"/>
                      <w:color w:val="auto"/>
                      <w:szCs w:val="21"/>
                      <w:u w:val="single"/>
                    </w:rPr>
                    <w:t>520.66</w:t>
                  </w:r>
                </w:p>
              </w:tc>
              <w:tc>
                <w:tcPr>
                  <w:tcW w:w="937" w:type="dxa"/>
                  <w:vAlign w:val="center"/>
                </w:tcPr>
                <w:p>
                  <w:pPr>
                    <w:jc w:val="center"/>
                    <w:rPr>
                      <w:color w:val="auto"/>
                      <w:szCs w:val="21"/>
                      <w:u w:val="single"/>
                    </w:rPr>
                  </w:pPr>
                  <w:r>
                    <w:rPr>
                      <w:rFonts w:hint="eastAsia"/>
                      <w:color w:val="auto"/>
                      <w:szCs w:val="21"/>
                      <w:u w:val="single"/>
                    </w:rPr>
                    <w:t>20</w:t>
                  </w:r>
                </w:p>
              </w:tc>
              <w:tc>
                <w:tcPr>
                  <w:tcW w:w="979" w:type="dxa"/>
                  <w:vAlign w:val="center"/>
                </w:tcPr>
                <w:p>
                  <w:pPr>
                    <w:jc w:val="center"/>
                    <w:rPr>
                      <w:color w:val="auto"/>
                      <w:szCs w:val="21"/>
                      <w:u w:val="single"/>
                    </w:rPr>
                  </w:pPr>
                  <w:r>
                    <w:rPr>
                      <w:rFonts w:hint="eastAsia"/>
                      <w:color w:val="auto"/>
                    </w:rPr>
                    <w:t>26033</w:t>
                  </w:r>
                </w:p>
              </w:tc>
              <w:tc>
                <w:tcPr>
                  <w:tcW w:w="1082" w:type="dxa"/>
                  <w:vAlign w:val="center"/>
                </w:tcPr>
                <w:p>
                  <w:pPr>
                    <w:jc w:val="center"/>
                    <w:rPr>
                      <w:color w:val="auto"/>
                      <w:szCs w:val="21"/>
                      <w:u w:val="single"/>
                    </w:rPr>
                  </w:pPr>
                  <w:r>
                    <w:rPr>
                      <w:rFonts w:hint="eastAsia" w:hAnsi="宋体"/>
                      <w:color w:val="auto"/>
                      <w:sz w:val="24"/>
                      <w:szCs w:val="24"/>
                    </w:rPr>
                    <w:t>六六六及滴滴涕</w:t>
                  </w:r>
                </w:p>
              </w:tc>
              <w:tc>
                <w:tcPr>
                  <w:tcW w:w="1367" w:type="dxa"/>
                  <w:vAlign w:val="center"/>
                </w:tcPr>
                <w:p>
                  <w:pPr>
                    <w:jc w:val="center"/>
                    <w:rPr>
                      <w:color w:val="auto"/>
                      <w:szCs w:val="21"/>
                      <w:u w:val="single"/>
                    </w:rPr>
                  </w:pPr>
                  <w:r>
                    <w:rPr>
                      <w:color w:val="auto"/>
                      <w:szCs w:val="21"/>
                      <w:u w:val="single"/>
                    </w:rPr>
                    <w:t>100:</w:t>
                  </w:r>
                  <w:r>
                    <w:rPr>
                      <w:rFonts w:hint="eastAsia"/>
                      <w:color w:val="auto"/>
                      <w:szCs w:val="21"/>
                      <w:u w:val="single"/>
                    </w:rPr>
                    <w:t>2</w:t>
                  </w:r>
                </w:p>
              </w:tc>
            </w:tr>
          </w:tbl>
          <w:p>
            <w:pPr>
              <w:spacing w:line="360" w:lineRule="auto"/>
              <w:ind w:firstLine="482" w:firstLineChars="200"/>
              <w:rPr>
                <w:color w:val="auto"/>
                <w:sz w:val="24"/>
              </w:rPr>
            </w:pPr>
            <w:r>
              <w:rPr>
                <w:rFonts w:hAnsi="宋体"/>
                <w:b/>
                <w:color w:val="auto"/>
                <w:sz w:val="24"/>
              </w:rPr>
              <w:t>硫酸亚铁：</w:t>
            </w:r>
            <w:r>
              <w:rPr>
                <w:rFonts w:hAnsi="宋体"/>
                <w:color w:val="auto"/>
                <w:sz w:val="24"/>
              </w:rPr>
              <w:t>稳定剂，用以去除铅、砷、锌、镉、六价铬等重金属离子。铁盐用以去除污水中的镉、砷等生产沉淀是作为共沉剂，用以去除六价铬时铁盐则作为还原剂，使六价铬还原为三价格，因此用的二价铁盐。需根据处理原理选择适当的铁盐及投加量，控制适宜的</w:t>
            </w:r>
            <w:r>
              <w:rPr>
                <w:color w:val="auto"/>
                <w:sz w:val="24"/>
              </w:rPr>
              <w:t>pH</w:t>
            </w:r>
            <w:r>
              <w:rPr>
                <w:rFonts w:hAnsi="宋体"/>
                <w:color w:val="auto"/>
                <w:sz w:val="24"/>
              </w:rPr>
              <w:t>值。</w:t>
            </w:r>
          </w:p>
          <w:p>
            <w:pPr>
              <w:spacing w:line="360" w:lineRule="auto"/>
              <w:ind w:firstLine="480" w:firstLineChars="200"/>
              <w:rPr>
                <w:color w:val="auto"/>
                <w:sz w:val="24"/>
              </w:rPr>
            </w:pPr>
            <w:r>
              <w:rPr>
                <w:rFonts w:hAnsi="宋体"/>
                <w:color w:val="auto"/>
                <w:sz w:val="24"/>
              </w:rPr>
              <w:t>土壤修复原址回填后，将对平整后的土壤进行生态恢复。采用种草</w:t>
            </w:r>
            <w:r>
              <w:rPr>
                <w:color w:val="auto"/>
                <w:sz w:val="24"/>
              </w:rPr>
              <w:t>+</w:t>
            </w:r>
            <w:r>
              <w:rPr>
                <w:rFonts w:hint="eastAsia" w:hAnsi="宋体"/>
                <w:color w:val="auto"/>
                <w:sz w:val="24"/>
              </w:rPr>
              <w:t>杜球</w:t>
            </w:r>
            <w:r>
              <w:rPr>
                <w:color w:val="auto"/>
                <w:sz w:val="24"/>
              </w:rPr>
              <w:t>+</w:t>
            </w:r>
            <w:r>
              <w:rPr>
                <w:rFonts w:hint="eastAsia" w:hAnsi="宋体"/>
                <w:color w:val="auto"/>
                <w:sz w:val="24"/>
              </w:rPr>
              <w:t>樟树</w:t>
            </w:r>
            <w:r>
              <w:rPr>
                <w:rFonts w:hAnsi="宋体"/>
                <w:color w:val="auto"/>
                <w:sz w:val="24"/>
              </w:rPr>
              <w:t>的方式。植被使用量见下表。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rPr>
                <w:rFonts w:hint="eastAsia" w:hAnsi="宋体"/>
                <w:b/>
                <w:bCs/>
                <w:color w:val="auto"/>
                <w:u w:val="none"/>
              </w:rPr>
              <w:t>表</w:t>
            </w:r>
            <w:r>
              <w:rPr>
                <w:rFonts w:hint="eastAsia" w:hAnsi="宋体"/>
                <w:b/>
                <w:bCs/>
                <w:color w:val="auto"/>
                <w:u w:val="none"/>
                <w:lang w:val="en-US" w:eastAsia="zh-CN"/>
              </w:rPr>
              <w:t>6</w:t>
            </w:r>
            <w:r>
              <w:rPr>
                <w:rFonts w:hint="eastAsia" w:hAnsi="宋体"/>
                <w:b/>
                <w:bCs/>
                <w:color w:val="auto"/>
                <w:u w:val="none"/>
              </w:rPr>
              <w:t xml:space="preserve">  植被恢复植被用量一览表</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81"/>
              <w:gridCol w:w="1489"/>
              <w:gridCol w:w="1162"/>
              <w:gridCol w:w="1870"/>
              <w:gridCol w:w="2138"/>
              <w:gridCol w:w="1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7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8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种类</w:t>
                  </w:r>
                </w:p>
              </w:tc>
              <w:tc>
                <w:tcPr>
                  <w:tcW w:w="18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种植量</w:t>
                  </w:r>
                </w:p>
              </w:tc>
              <w:tc>
                <w:tcPr>
                  <w:tcW w:w="213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规格</w:t>
                  </w:r>
                </w:p>
              </w:tc>
              <w:tc>
                <w:tcPr>
                  <w:tcW w:w="163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种植密度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7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8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混合草籽</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草</w:t>
                  </w:r>
                </w:p>
              </w:tc>
              <w:tc>
                <w:tcPr>
                  <w:tcW w:w="1870" w:type="dxa"/>
                  <w:vAlign w:val="center"/>
                </w:tcPr>
                <w:p>
                  <w:pPr>
                    <w:jc w:val="center"/>
                    <w:rPr>
                      <w:rFonts w:hint="default" w:ascii="Times New Roman" w:hAnsi="Times New Roman" w:cs="Times New Roman"/>
                      <w:color w:val="auto"/>
                      <w:szCs w:val="21"/>
                    </w:rPr>
                  </w:pPr>
                  <w:r>
                    <w:rPr>
                      <w:rStyle w:val="113"/>
                      <w:rFonts w:hint="default" w:ascii="Times New Roman" w:hAnsi="Times New Roman" w:eastAsia="宋体" w:cs="Times New Roman"/>
                      <w:color w:val="auto"/>
                      <w:lang w:eastAsia="zh-CN"/>
                    </w:rPr>
                    <w:t>250kg</w:t>
                  </w:r>
                </w:p>
              </w:tc>
              <w:tc>
                <w:tcPr>
                  <w:tcW w:w="213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30" w:type="dxa"/>
                  <w:vAlign w:val="center"/>
                </w:tcPr>
                <w:p>
                  <w:pPr>
                    <w:jc w:val="center"/>
                    <w:rPr>
                      <w:rFonts w:hint="default" w:ascii="Times New Roman" w:hAnsi="Times New Roman" w:cs="Times New Roman"/>
                      <w:color w:val="auto"/>
                      <w:szCs w:val="21"/>
                    </w:rPr>
                  </w:pPr>
                  <w:r>
                    <w:rPr>
                      <w:rStyle w:val="113"/>
                      <w:rFonts w:hint="default" w:ascii="Times New Roman" w:hAnsi="Times New Roman" w:eastAsia="宋体" w:cs="Times New Roman"/>
                      <w:color w:val="auto"/>
                      <w:lang w:eastAsia="zh-CN"/>
                    </w:rPr>
                    <w:t>25kg/</w:t>
                  </w:r>
                  <w:r>
                    <w:rPr>
                      <w:rStyle w:val="112"/>
                      <w:rFonts w:hint="default" w:ascii="Times New Roman" w:hAnsi="Times New Roman" w:eastAsia="宋体" w:cs="Times New Roman"/>
                      <w:color w:val="auto"/>
                      <w:sz w:val="21"/>
                      <w:szCs w:val="21"/>
                      <w:lang w:val="zh-TW" w:eastAsia="zh-TW"/>
                    </w:rPr>
                    <w:t>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7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8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杜球</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灌木</w:t>
                  </w:r>
                </w:p>
              </w:tc>
              <w:tc>
                <w:tcPr>
                  <w:tcW w:w="1870" w:type="dxa"/>
                  <w:vAlign w:val="center"/>
                </w:tcPr>
                <w:p>
                  <w:pPr>
                    <w:jc w:val="center"/>
                    <w:rPr>
                      <w:rFonts w:hint="default" w:ascii="Times New Roman" w:hAnsi="Times New Roman" w:cs="Times New Roman"/>
                      <w:color w:val="auto"/>
                      <w:szCs w:val="21"/>
                    </w:rPr>
                  </w:pPr>
                  <w:r>
                    <w:rPr>
                      <w:rStyle w:val="112"/>
                      <w:rFonts w:hint="default" w:ascii="Times New Roman" w:hAnsi="Times New Roman" w:eastAsia="宋体" w:cs="Times New Roman"/>
                      <w:color w:val="auto"/>
                      <w:sz w:val="21"/>
                      <w:szCs w:val="21"/>
                      <w:lang w:val="zh-TW"/>
                    </w:rPr>
                    <w:t>1690</w:t>
                  </w:r>
                  <w:r>
                    <w:rPr>
                      <w:rStyle w:val="112"/>
                      <w:rFonts w:hint="default" w:ascii="Times New Roman" w:hAnsi="Times New Roman" w:eastAsia="宋体" w:cs="Times New Roman"/>
                      <w:color w:val="auto"/>
                      <w:sz w:val="21"/>
                      <w:szCs w:val="21"/>
                      <w:lang w:val="zh-TW" w:eastAsia="zh-TW"/>
                    </w:rPr>
                    <w:t>棵</w:t>
                  </w:r>
                </w:p>
              </w:tc>
              <w:tc>
                <w:tcPr>
                  <w:tcW w:w="2138" w:type="dxa"/>
                  <w:vAlign w:val="center"/>
                </w:tcPr>
                <w:p>
                  <w:pPr>
                    <w:jc w:val="center"/>
                    <w:rPr>
                      <w:rFonts w:hint="default" w:ascii="Times New Roman" w:hAnsi="Times New Roman" w:cs="Times New Roman"/>
                      <w:color w:val="auto"/>
                      <w:szCs w:val="21"/>
                    </w:rPr>
                  </w:pPr>
                  <w:r>
                    <w:rPr>
                      <w:rStyle w:val="114"/>
                      <w:rFonts w:hint="default" w:ascii="Times New Roman" w:hAnsi="Times New Roman" w:eastAsia="宋体" w:cs="Times New Roman"/>
                      <w:color w:val="auto"/>
                      <w:sz w:val="21"/>
                      <w:szCs w:val="21"/>
                      <w:lang w:val="zh-TW" w:eastAsia="zh-TW"/>
                    </w:rPr>
                    <w:t>髙</w:t>
                  </w:r>
                  <w:r>
                    <w:rPr>
                      <w:rStyle w:val="113"/>
                      <w:rFonts w:hint="default" w:ascii="Times New Roman" w:hAnsi="Times New Roman" w:eastAsia="宋体" w:cs="Times New Roman"/>
                      <w:color w:val="auto"/>
                      <w:lang w:eastAsia="zh-CN"/>
                    </w:rPr>
                    <w:t>1.2m</w:t>
                  </w:r>
                  <w:r>
                    <w:rPr>
                      <w:rStyle w:val="114"/>
                      <w:rFonts w:hint="default" w:ascii="Times New Roman" w:hAnsi="Times New Roman" w:eastAsia="宋体" w:cs="Times New Roman"/>
                      <w:color w:val="auto"/>
                      <w:sz w:val="21"/>
                      <w:szCs w:val="21"/>
                    </w:rPr>
                    <w:t>，</w:t>
                  </w:r>
                  <w:r>
                    <w:rPr>
                      <w:rStyle w:val="114"/>
                      <w:rFonts w:hint="default" w:ascii="Times New Roman" w:hAnsi="Times New Roman" w:eastAsia="宋体" w:cs="Times New Roman"/>
                      <w:color w:val="auto"/>
                      <w:sz w:val="21"/>
                      <w:szCs w:val="21"/>
                      <w:lang w:val="zh-TW" w:eastAsia="zh-TW"/>
                    </w:rPr>
                    <w:t>冠幅</w:t>
                  </w:r>
                  <w:r>
                    <w:rPr>
                      <w:rStyle w:val="113"/>
                      <w:rFonts w:hint="default" w:ascii="Times New Roman" w:hAnsi="Times New Roman" w:eastAsia="宋体" w:cs="Times New Roman"/>
                      <w:color w:val="auto"/>
                      <w:lang w:eastAsia="zh-CN"/>
                    </w:rPr>
                    <w:t>120cm</w:t>
                  </w:r>
                </w:p>
              </w:tc>
              <w:tc>
                <w:tcPr>
                  <w:tcW w:w="1630" w:type="dxa"/>
                  <w:vAlign w:val="center"/>
                </w:tcPr>
                <w:p>
                  <w:pPr>
                    <w:jc w:val="center"/>
                    <w:rPr>
                      <w:rFonts w:hint="default" w:ascii="Times New Roman" w:hAnsi="Times New Roman" w:cs="Times New Roman"/>
                      <w:color w:val="auto"/>
                      <w:szCs w:val="21"/>
                    </w:rPr>
                  </w:pPr>
                  <w:r>
                    <w:rPr>
                      <w:rStyle w:val="113"/>
                      <w:rFonts w:hint="default" w:ascii="Times New Roman" w:hAnsi="Times New Roman" w:eastAsia="宋体" w:cs="Times New Roman"/>
                      <w:color w:val="auto"/>
                      <w:lang w:val="zh-TW" w:eastAsia="zh-TW"/>
                    </w:rPr>
                    <w:t>1</w:t>
                  </w:r>
                  <w:r>
                    <w:rPr>
                      <w:rStyle w:val="112"/>
                      <w:rFonts w:hint="default" w:ascii="Times New Roman" w:hAnsi="Times New Roman" w:eastAsia="宋体" w:cs="Times New Roman"/>
                      <w:color w:val="auto"/>
                      <w:sz w:val="21"/>
                      <w:szCs w:val="21"/>
                      <w:lang w:val="zh-TW" w:eastAsia="zh-TW"/>
                    </w:rPr>
                    <w:t>棵</w:t>
                  </w:r>
                  <w:r>
                    <w:rPr>
                      <w:rStyle w:val="113"/>
                      <w:rFonts w:hint="default" w:ascii="Times New Roman" w:hAnsi="Times New Roman" w:eastAsia="宋体" w:cs="Times New Roman"/>
                      <w:color w:val="auto"/>
                      <w:lang w:eastAsia="zh-CN"/>
                    </w:rPr>
                    <w:t>/</w:t>
                  </w:r>
                  <w:r>
                    <w:rPr>
                      <w:rStyle w:val="113"/>
                      <w:rFonts w:hint="default" w:ascii="Times New Roman" w:hAnsi="Times New Roman" w:cs="Times New Roman"/>
                      <w:color w:val="auto"/>
                      <w:lang w:val="en-US" w:eastAsia="zh-CN"/>
                    </w:rPr>
                    <w:t>8</w:t>
                  </w:r>
                  <w:r>
                    <w:rPr>
                      <w:rStyle w:val="113"/>
                      <w:rFonts w:hint="default" w:ascii="Times New Roman" w:hAnsi="Times New Roman" w:eastAsia="宋体" w:cs="Times New Roman"/>
                      <w:color w:val="auto"/>
                      <w:lang w:eastAsia="zh-CN"/>
                    </w:rPr>
                    <w:t>m</w:t>
                  </w:r>
                  <w:r>
                    <w:rPr>
                      <w:rStyle w:val="113"/>
                      <w:rFonts w:hint="default" w:ascii="Times New Roman" w:hAnsi="Times New Roman" w:eastAsia="宋体" w:cs="Times New Roman"/>
                      <w:color w:val="auto"/>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7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48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樟树</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乔木</w:t>
                  </w:r>
                </w:p>
              </w:tc>
              <w:tc>
                <w:tcPr>
                  <w:tcW w:w="1870" w:type="dxa"/>
                  <w:vAlign w:val="center"/>
                </w:tcPr>
                <w:p>
                  <w:pPr>
                    <w:jc w:val="center"/>
                    <w:rPr>
                      <w:rFonts w:hint="default" w:ascii="Times New Roman" w:hAnsi="Times New Roman" w:cs="Times New Roman"/>
                      <w:color w:val="auto"/>
                      <w:szCs w:val="21"/>
                    </w:rPr>
                  </w:pPr>
                  <w:r>
                    <w:rPr>
                      <w:rStyle w:val="112"/>
                      <w:rFonts w:hint="default" w:ascii="Times New Roman" w:hAnsi="Times New Roman" w:eastAsia="宋体" w:cs="Times New Roman"/>
                      <w:color w:val="auto"/>
                      <w:sz w:val="21"/>
                      <w:szCs w:val="21"/>
                      <w:lang w:val="zh-TW"/>
                    </w:rPr>
                    <w:t>425</w:t>
                  </w:r>
                  <w:r>
                    <w:rPr>
                      <w:rStyle w:val="112"/>
                      <w:rFonts w:hint="default" w:ascii="Times New Roman" w:hAnsi="Times New Roman" w:eastAsia="宋体" w:cs="Times New Roman"/>
                      <w:color w:val="auto"/>
                      <w:sz w:val="21"/>
                      <w:szCs w:val="21"/>
                      <w:lang w:val="zh-TW" w:eastAsia="zh-TW"/>
                    </w:rPr>
                    <w:t>棵</w:t>
                  </w:r>
                </w:p>
              </w:tc>
              <w:tc>
                <w:tcPr>
                  <w:tcW w:w="2138" w:type="dxa"/>
                  <w:vAlign w:val="center"/>
                </w:tcPr>
                <w:p>
                  <w:pPr>
                    <w:jc w:val="center"/>
                    <w:rPr>
                      <w:rFonts w:hint="default" w:ascii="Times New Roman" w:hAnsi="Times New Roman" w:cs="Times New Roman"/>
                      <w:color w:val="auto"/>
                      <w:szCs w:val="21"/>
                    </w:rPr>
                  </w:pPr>
                  <w:r>
                    <w:rPr>
                      <w:rStyle w:val="112"/>
                      <w:rFonts w:hint="default" w:ascii="Times New Roman" w:hAnsi="Times New Roman" w:eastAsia="宋体" w:cs="Times New Roman"/>
                      <w:color w:val="auto"/>
                      <w:sz w:val="21"/>
                      <w:szCs w:val="21"/>
                      <w:lang w:val="zh-TW" w:eastAsia="zh-TW"/>
                    </w:rPr>
                    <w:t>胸径</w:t>
                  </w:r>
                  <w:r>
                    <w:rPr>
                      <w:rStyle w:val="113"/>
                      <w:rFonts w:hint="default" w:ascii="Times New Roman" w:hAnsi="Times New Roman" w:eastAsia="宋体" w:cs="Times New Roman"/>
                      <w:color w:val="auto"/>
                      <w:lang w:eastAsia="zh-CN"/>
                    </w:rPr>
                    <w:t>18cm</w:t>
                  </w:r>
                </w:p>
              </w:tc>
              <w:tc>
                <w:tcPr>
                  <w:tcW w:w="1630" w:type="dxa"/>
                  <w:vAlign w:val="center"/>
                </w:tcPr>
                <w:p>
                  <w:pPr>
                    <w:jc w:val="center"/>
                    <w:rPr>
                      <w:rFonts w:hint="default" w:ascii="Times New Roman" w:hAnsi="Times New Roman" w:cs="Times New Roman"/>
                      <w:color w:val="auto"/>
                      <w:szCs w:val="21"/>
                    </w:rPr>
                  </w:pPr>
                  <w:r>
                    <w:rPr>
                      <w:rStyle w:val="113"/>
                      <w:rFonts w:hint="default" w:ascii="Times New Roman" w:hAnsi="Times New Roman" w:eastAsia="宋体" w:cs="Times New Roman"/>
                      <w:color w:val="auto"/>
                      <w:lang w:val="zh-TW" w:eastAsia="zh-TW"/>
                    </w:rPr>
                    <w:t>1</w:t>
                  </w:r>
                  <w:r>
                    <w:rPr>
                      <w:rStyle w:val="112"/>
                      <w:rFonts w:hint="default" w:ascii="Times New Roman" w:hAnsi="Times New Roman" w:eastAsia="宋体" w:cs="Times New Roman"/>
                      <w:color w:val="auto"/>
                      <w:sz w:val="21"/>
                      <w:szCs w:val="21"/>
                      <w:lang w:val="zh-TW" w:eastAsia="zh-TW"/>
                    </w:rPr>
                    <w:t>棵</w:t>
                  </w:r>
                  <w:r>
                    <w:rPr>
                      <w:rStyle w:val="113"/>
                      <w:rFonts w:hint="default" w:ascii="Times New Roman" w:hAnsi="Times New Roman" w:eastAsia="宋体" w:cs="Times New Roman"/>
                      <w:color w:val="auto"/>
                      <w:lang w:eastAsia="zh-CN"/>
                    </w:rPr>
                    <w:t>/</w:t>
                  </w:r>
                  <w:r>
                    <w:rPr>
                      <w:rStyle w:val="113"/>
                      <w:rFonts w:hint="default" w:ascii="Times New Roman" w:hAnsi="Times New Roman" w:cs="Times New Roman"/>
                      <w:color w:val="auto"/>
                      <w:lang w:val="en-US" w:eastAsia="zh-CN"/>
                    </w:rPr>
                    <w:t>32</w:t>
                  </w:r>
                  <w:r>
                    <w:rPr>
                      <w:rStyle w:val="113"/>
                      <w:rFonts w:hint="default" w:ascii="Times New Roman" w:hAnsi="Times New Roman" w:eastAsia="宋体" w:cs="Times New Roman"/>
                      <w:color w:val="auto"/>
                      <w:lang w:eastAsia="zh-CN"/>
                    </w:rPr>
                    <w:t>m</w:t>
                  </w:r>
                  <w:r>
                    <w:rPr>
                      <w:rStyle w:val="112"/>
                      <w:rFonts w:hint="default" w:ascii="Times New Roman" w:hAnsi="Times New Roman" w:eastAsia="宋体" w:cs="Times New Roman"/>
                      <w:color w:val="auto"/>
                      <w:sz w:val="21"/>
                      <w:szCs w:val="21"/>
                      <w:vertAlign w:val="superscript"/>
                    </w:rPr>
                    <w:t>2</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b/>
                <w:color w:val="auto"/>
                <w:sz w:val="24"/>
                <w:szCs w:val="24"/>
              </w:rPr>
            </w:pPr>
            <w:r>
              <w:rPr>
                <w:rFonts w:hint="eastAsia" w:hAnsi="宋体"/>
                <w:b/>
                <w:color w:val="auto"/>
                <w:sz w:val="24"/>
                <w:szCs w:val="24"/>
                <w:lang w:val="en-US" w:eastAsia="zh-CN"/>
              </w:rPr>
              <w:t>6</w:t>
            </w:r>
            <w:r>
              <w:rPr>
                <w:rFonts w:hAnsi="宋体"/>
                <w:b/>
                <w:color w:val="auto"/>
                <w:sz w:val="24"/>
                <w:szCs w:val="24"/>
              </w:rPr>
              <w:t>、主要设备使用情况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rPr>
                <w:rFonts w:hint="eastAsia" w:hAnsi="宋体"/>
                <w:b/>
                <w:bCs/>
                <w:color w:val="auto"/>
                <w:u w:val="none"/>
              </w:rPr>
              <w:t>表</w:t>
            </w:r>
            <w:r>
              <w:rPr>
                <w:rFonts w:hint="eastAsia" w:hAnsi="宋体"/>
                <w:b/>
                <w:bCs/>
                <w:color w:val="auto"/>
                <w:u w:val="none"/>
                <w:lang w:val="en-US" w:eastAsia="zh-CN"/>
              </w:rPr>
              <w:t xml:space="preserve">7 </w:t>
            </w:r>
            <w:r>
              <w:rPr>
                <w:rFonts w:hint="eastAsia" w:hAnsi="宋体"/>
                <w:b/>
                <w:bCs/>
                <w:color w:val="auto"/>
                <w:u w:val="none"/>
              </w:rPr>
              <w:t xml:space="preserve"> 项目主要生产设备一览表</w:t>
            </w:r>
          </w:p>
          <w:tbl>
            <w:tblPr>
              <w:tblStyle w:val="30"/>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36"/>
              <w:gridCol w:w="2298"/>
              <w:gridCol w:w="2242"/>
              <w:gridCol w:w="1120"/>
              <w:gridCol w:w="25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ascii="Times New Roman" w:hAnsi="宋体" w:eastAsia="宋体" w:cs="Times New Roman"/>
                      <w:color w:val="auto"/>
                      <w:sz w:val="21"/>
                      <w:szCs w:val="21"/>
                      <w:lang w:val="zh-TW" w:eastAsia="zh-TW"/>
                    </w:rPr>
                    <w:t>序号</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ascii="Times New Roman" w:hAnsi="宋体" w:eastAsia="宋体" w:cs="Times New Roman"/>
                      <w:color w:val="auto"/>
                      <w:sz w:val="21"/>
                      <w:szCs w:val="21"/>
                      <w:lang w:val="zh-TW" w:eastAsia="zh-TW"/>
                    </w:rPr>
                    <w:t>设备名称</w:t>
                  </w:r>
                </w:p>
              </w:tc>
              <w:tc>
                <w:tcPr>
                  <w:tcW w:w="2242"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ascii="Times New Roman" w:hAnsi="宋体" w:eastAsia="宋体" w:cs="Times New Roman"/>
                      <w:color w:val="auto"/>
                      <w:sz w:val="21"/>
                      <w:szCs w:val="21"/>
                      <w:lang w:val="zh-TW" w:eastAsia="zh-TW"/>
                    </w:rPr>
                    <w:t>规格型号</w:t>
                  </w: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ascii="Times New Roman" w:hAnsi="宋体" w:eastAsia="宋体" w:cs="Times New Roman"/>
                      <w:color w:val="auto"/>
                      <w:sz w:val="21"/>
                      <w:szCs w:val="21"/>
                      <w:lang w:val="zh-TW" w:eastAsia="zh-TW"/>
                    </w:rPr>
                    <w:t>数量</w:t>
                  </w:r>
                </w:p>
              </w:tc>
              <w:tc>
                <w:tcPr>
                  <w:tcW w:w="2574"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ascii="Times New Roman" w:hAnsi="宋体" w:eastAsia="宋体" w:cs="Times New Roman"/>
                      <w:color w:val="auto"/>
                      <w:sz w:val="21"/>
                      <w:szCs w:val="21"/>
                      <w:lang w:val="zh-TW" w:eastAsia="zh-TW"/>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9070" w:type="dxa"/>
                  <w:gridSpan w:val="5"/>
                  <w:tcBorders>
                    <w:tl2br w:val="nil"/>
                    <w:tr2bl w:val="nil"/>
                  </w:tcBorders>
                  <w:shd w:val="clear" w:color="auto" w:fill="auto"/>
                  <w:vAlign w:val="center"/>
                </w:tcPr>
                <w:p>
                  <w:pPr>
                    <w:pStyle w:val="2"/>
                    <w:spacing w:before="100" w:beforeAutospacing="1" w:after="100" w:afterAutospacing="1"/>
                    <w:rPr>
                      <w:color w:val="auto"/>
                      <w:szCs w:val="21"/>
                    </w:rPr>
                  </w:pPr>
                  <w:r>
                    <w:rPr>
                      <w:rStyle w:val="115"/>
                      <w:rFonts w:ascii="Times New Roman" w:hAnsi="宋体" w:eastAsia="宋体" w:cs="Times New Roman"/>
                      <w:color w:val="auto"/>
                      <w:sz w:val="21"/>
                      <w:szCs w:val="21"/>
                      <w:lang w:val="zh-TW" w:eastAsia="zh-TW"/>
                    </w:rPr>
                    <w:t>一、</w:t>
                  </w:r>
                  <w:r>
                    <w:rPr>
                      <w:rStyle w:val="115"/>
                      <w:rFonts w:hint="eastAsia" w:ascii="Times New Roman" w:hAnsi="宋体" w:eastAsia="宋体" w:cs="Times New Roman"/>
                      <w:color w:val="auto"/>
                      <w:sz w:val="21"/>
                      <w:szCs w:val="21"/>
                      <w:lang w:val="zh-TW"/>
                    </w:rPr>
                    <w:t>土壤开挖设备</w:t>
                  </w:r>
                  <w:r>
                    <w:rPr>
                      <w:rStyle w:val="115"/>
                      <w:rFonts w:ascii="Times New Roman" w:hAnsi="宋体" w:eastAsia="宋体" w:cs="Times New Roman"/>
                      <w:color w:val="auto"/>
                      <w:sz w:val="21"/>
                      <w:szCs w:val="21"/>
                      <w:lang w:val="zh-TW" w:eastAsia="zh-TW"/>
                    </w:rPr>
                    <w:t>（租赁</w:t>
                  </w:r>
                  <w:r>
                    <w:rPr>
                      <w:rStyle w:val="115"/>
                      <w:rFonts w:ascii="Times New Roman" w:hAnsi="宋体"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1</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hint="eastAsia" w:ascii="Times New Roman" w:hAnsi="宋体" w:eastAsia="宋体" w:cs="Times New Roman"/>
                      <w:color w:val="auto"/>
                      <w:sz w:val="21"/>
                      <w:szCs w:val="21"/>
                      <w:lang w:val="zh-TW"/>
                    </w:rPr>
                    <w:t>水准仪</w:t>
                  </w:r>
                </w:p>
              </w:tc>
              <w:tc>
                <w:tcPr>
                  <w:tcW w:w="2242" w:type="dxa"/>
                  <w:tcBorders>
                    <w:tl2br w:val="nil"/>
                    <w:tr2bl w:val="nil"/>
                  </w:tcBorders>
                  <w:shd w:val="clear" w:color="auto" w:fill="auto"/>
                  <w:vAlign w:val="center"/>
                </w:tcPr>
                <w:p>
                  <w:pPr>
                    <w:pStyle w:val="2"/>
                    <w:spacing w:before="100" w:beforeAutospacing="1" w:after="100" w:afterAutospacing="1"/>
                    <w:jc w:val="center"/>
                    <w:rPr>
                      <w:color w:val="auto"/>
                      <w:szCs w:val="21"/>
                    </w:rPr>
                  </w:pP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hint="eastAsia" w:ascii="Times New Roman" w:eastAsia="宋体" w:cs="Times New Roman"/>
                      <w:color w:val="auto"/>
                      <w:lang w:eastAsia="zh-CN"/>
                    </w:rPr>
                    <w:t>2</w:t>
                  </w:r>
                  <w:r>
                    <w:rPr>
                      <w:rStyle w:val="115"/>
                      <w:rFonts w:ascii="Times New Roman" w:hAnsi="宋体" w:eastAsia="宋体" w:cs="Times New Roman"/>
                      <w:color w:val="auto"/>
                      <w:sz w:val="21"/>
                      <w:szCs w:val="21"/>
                      <w:lang w:val="zh-TW" w:eastAsia="zh-TW"/>
                    </w:rPr>
                    <w:t>台</w:t>
                  </w:r>
                </w:p>
              </w:tc>
              <w:tc>
                <w:tcPr>
                  <w:tcW w:w="2574" w:type="dxa"/>
                  <w:vMerge w:val="restart"/>
                  <w:tcBorders>
                    <w:tl2br w:val="nil"/>
                    <w:tr2bl w:val="nil"/>
                  </w:tcBorders>
                  <w:shd w:val="clear" w:color="auto" w:fill="auto"/>
                  <w:vAlign w:val="center"/>
                </w:tcPr>
                <w:p>
                  <w:pPr>
                    <w:pStyle w:val="2"/>
                    <w:spacing w:before="100" w:beforeAutospacing="1" w:after="100" w:afterAutospacing="1"/>
                    <w:jc w:val="center"/>
                    <w:rPr>
                      <w:rFonts w:eastAsiaTheme="minorEastAsia"/>
                      <w:color w:val="auto"/>
                      <w:szCs w:val="21"/>
                    </w:rPr>
                  </w:pPr>
                  <w:r>
                    <w:rPr>
                      <w:rStyle w:val="115"/>
                      <w:rFonts w:hint="eastAsia" w:hAnsi="宋体" w:eastAsiaTheme="minorEastAsia"/>
                      <w:color w:val="auto"/>
                      <w:lang w:val="zh-TW"/>
                    </w:rPr>
                    <w:t>测量设备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2</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hint="eastAsia" w:ascii="Times New Roman" w:hAnsi="宋体" w:eastAsia="宋体" w:cs="Times New Roman"/>
                      <w:color w:val="auto"/>
                      <w:sz w:val="21"/>
                      <w:szCs w:val="21"/>
                      <w:lang w:val="zh-TW"/>
                    </w:rPr>
                    <w:t>全站仪</w:t>
                  </w:r>
                </w:p>
              </w:tc>
              <w:tc>
                <w:tcPr>
                  <w:tcW w:w="2242" w:type="dxa"/>
                  <w:tcBorders>
                    <w:tl2br w:val="nil"/>
                    <w:tr2bl w:val="nil"/>
                  </w:tcBorders>
                  <w:shd w:val="clear" w:color="auto" w:fill="auto"/>
                  <w:vAlign w:val="center"/>
                </w:tcPr>
                <w:p>
                  <w:pPr>
                    <w:pStyle w:val="2"/>
                    <w:spacing w:before="100" w:beforeAutospacing="1" w:after="100" w:afterAutospacing="1"/>
                    <w:jc w:val="center"/>
                    <w:rPr>
                      <w:color w:val="auto"/>
                      <w:szCs w:val="21"/>
                    </w:rPr>
                  </w:pP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1</w:t>
                  </w:r>
                  <w:r>
                    <w:rPr>
                      <w:rStyle w:val="115"/>
                      <w:rFonts w:ascii="Times New Roman" w:hAnsi="宋体" w:eastAsia="宋体" w:cs="Times New Roman"/>
                      <w:color w:val="auto"/>
                      <w:sz w:val="21"/>
                      <w:szCs w:val="21"/>
                      <w:lang w:val="zh-TW" w:eastAsia="zh-TW"/>
                    </w:rPr>
                    <w:t>台</w:t>
                  </w:r>
                </w:p>
              </w:tc>
              <w:tc>
                <w:tcPr>
                  <w:tcW w:w="2574" w:type="dxa"/>
                  <w:vMerge w:val="continue"/>
                  <w:tcBorders>
                    <w:tl2br w:val="nil"/>
                    <w:tr2bl w:val="nil"/>
                  </w:tcBorders>
                  <w:shd w:val="clear" w:color="auto" w:fill="auto"/>
                  <w:vAlign w:val="center"/>
                </w:tcPr>
                <w:p>
                  <w:pPr>
                    <w:spacing w:before="100" w:beforeAutospacing="1" w:after="100" w:afterAutospacing="1"/>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3</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5"/>
                      <w:rFonts w:hint="eastAsia" w:ascii="Times New Roman" w:hAnsi="宋体" w:eastAsia="宋体" w:cs="Times New Roman"/>
                      <w:color w:val="auto"/>
                      <w:sz w:val="21"/>
                      <w:szCs w:val="21"/>
                      <w:lang w:val="zh-TW"/>
                    </w:rPr>
                    <w:t>RTK</w:t>
                  </w:r>
                </w:p>
              </w:tc>
              <w:tc>
                <w:tcPr>
                  <w:tcW w:w="2242" w:type="dxa"/>
                  <w:tcBorders>
                    <w:tl2br w:val="nil"/>
                    <w:tr2bl w:val="nil"/>
                  </w:tcBorders>
                  <w:shd w:val="clear" w:color="auto" w:fill="auto"/>
                  <w:vAlign w:val="center"/>
                </w:tcPr>
                <w:p>
                  <w:pPr>
                    <w:pStyle w:val="2"/>
                    <w:spacing w:before="100" w:beforeAutospacing="1" w:after="100" w:afterAutospacing="1"/>
                    <w:jc w:val="center"/>
                    <w:rPr>
                      <w:color w:val="auto"/>
                      <w:szCs w:val="21"/>
                    </w:rPr>
                  </w:pP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1</w:t>
                  </w:r>
                  <w:r>
                    <w:rPr>
                      <w:rStyle w:val="115"/>
                      <w:rFonts w:ascii="Times New Roman" w:hAnsi="宋体" w:eastAsia="宋体" w:cs="Times New Roman"/>
                      <w:color w:val="auto"/>
                      <w:sz w:val="21"/>
                      <w:szCs w:val="21"/>
                      <w:lang w:val="zh-TW" w:eastAsia="zh-TW"/>
                    </w:rPr>
                    <w:t>台</w:t>
                  </w:r>
                </w:p>
              </w:tc>
              <w:tc>
                <w:tcPr>
                  <w:tcW w:w="2574" w:type="dxa"/>
                  <w:vMerge w:val="continue"/>
                  <w:tcBorders>
                    <w:tl2br w:val="nil"/>
                    <w:tr2bl w:val="nil"/>
                  </w:tcBorders>
                  <w:shd w:val="clear" w:color="auto" w:fill="auto"/>
                  <w:vAlign w:val="center"/>
                </w:tcPr>
                <w:p>
                  <w:pPr>
                    <w:spacing w:before="100" w:beforeAutospacing="1" w:after="100" w:afterAutospacing="1"/>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4</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钢板桩机</w:t>
                  </w:r>
                </w:p>
              </w:tc>
              <w:tc>
                <w:tcPr>
                  <w:tcW w:w="2242"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CATO-1430</w:t>
                  </w: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hint="eastAsia" w:ascii="Times New Roman" w:eastAsia="宋体" w:cs="Times New Roman"/>
                      <w:color w:val="auto"/>
                      <w:lang w:val="zh-TW" w:eastAsia="zh-CN"/>
                    </w:rPr>
                    <w:t>2</w:t>
                  </w:r>
                  <w:r>
                    <w:rPr>
                      <w:rStyle w:val="115"/>
                      <w:rFonts w:ascii="Times New Roman" w:hAnsi="宋体" w:eastAsia="宋体" w:cs="Times New Roman"/>
                      <w:color w:val="auto"/>
                      <w:sz w:val="21"/>
                      <w:szCs w:val="21"/>
                      <w:lang w:val="zh-TW" w:eastAsia="zh-TW"/>
                    </w:rPr>
                    <w:t>台</w:t>
                  </w:r>
                </w:p>
              </w:tc>
              <w:tc>
                <w:tcPr>
                  <w:tcW w:w="2574" w:type="dxa"/>
                  <w:vMerge w:val="restart"/>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基坑开挖支护及运输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5</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挖土机</w:t>
                  </w:r>
                </w:p>
              </w:tc>
              <w:tc>
                <w:tcPr>
                  <w:tcW w:w="2242" w:type="dxa"/>
                  <w:tcBorders>
                    <w:tl2br w:val="nil"/>
                    <w:tr2bl w:val="nil"/>
                  </w:tcBorders>
                  <w:shd w:val="clear" w:color="auto" w:fill="auto"/>
                  <w:vAlign w:val="center"/>
                </w:tcPr>
                <w:p>
                  <w:pPr>
                    <w:pStyle w:val="2"/>
                    <w:spacing w:before="100" w:beforeAutospacing="1" w:after="100" w:afterAutospacing="1"/>
                    <w:jc w:val="center"/>
                    <w:rPr>
                      <w:color w:val="auto"/>
                      <w:szCs w:val="21"/>
                    </w:rPr>
                  </w:pP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hint="eastAsia" w:ascii="Times New Roman" w:eastAsia="宋体" w:cs="Times New Roman"/>
                      <w:color w:val="auto"/>
                      <w:lang w:val="zh-TW" w:eastAsia="zh-CN"/>
                    </w:rPr>
                    <w:t>2</w:t>
                  </w:r>
                  <w:r>
                    <w:rPr>
                      <w:rStyle w:val="115"/>
                      <w:rFonts w:ascii="Times New Roman" w:hAnsi="宋体" w:eastAsia="宋体" w:cs="Times New Roman"/>
                      <w:color w:val="auto"/>
                      <w:sz w:val="21"/>
                      <w:szCs w:val="21"/>
                      <w:lang w:val="zh-TW" w:eastAsia="zh-TW"/>
                    </w:rPr>
                    <w:t>台</w:t>
                  </w:r>
                </w:p>
              </w:tc>
              <w:tc>
                <w:tcPr>
                  <w:tcW w:w="2574" w:type="dxa"/>
                  <w:vMerge w:val="continue"/>
                  <w:tcBorders>
                    <w:tl2br w:val="nil"/>
                    <w:tr2bl w:val="nil"/>
                  </w:tcBorders>
                  <w:shd w:val="clear" w:color="auto" w:fill="auto"/>
                  <w:vAlign w:val="center"/>
                </w:tcPr>
                <w:p>
                  <w:pPr>
                    <w:pStyle w:val="2"/>
                    <w:spacing w:before="100" w:beforeAutospacing="1" w:after="100" w:afterAutospacing="1"/>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6</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汽车吊</w:t>
                  </w:r>
                </w:p>
              </w:tc>
              <w:tc>
                <w:tcPr>
                  <w:tcW w:w="2242" w:type="dxa"/>
                  <w:tcBorders>
                    <w:tl2br w:val="nil"/>
                    <w:tr2bl w:val="nil"/>
                  </w:tcBorders>
                  <w:shd w:val="clear" w:color="auto" w:fill="auto"/>
                  <w:vAlign w:val="center"/>
                </w:tcPr>
                <w:p>
                  <w:pPr>
                    <w:spacing w:before="100" w:beforeAutospacing="1" w:after="100" w:afterAutospacing="1"/>
                    <w:jc w:val="center"/>
                    <w:rPr>
                      <w:color w:val="auto"/>
                      <w:szCs w:val="21"/>
                    </w:rPr>
                  </w:pPr>
                  <w:r>
                    <w:rPr>
                      <w:rFonts w:hint="eastAsia"/>
                      <w:color w:val="auto"/>
                      <w:szCs w:val="21"/>
                    </w:rPr>
                    <w:t>25T</w:t>
                  </w: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1</w:t>
                  </w:r>
                  <w:r>
                    <w:rPr>
                      <w:rStyle w:val="115"/>
                      <w:rFonts w:ascii="Times New Roman" w:hAnsi="宋体" w:eastAsia="宋体" w:cs="Times New Roman"/>
                      <w:color w:val="auto"/>
                      <w:sz w:val="21"/>
                      <w:szCs w:val="21"/>
                      <w:lang w:val="zh-TW" w:eastAsia="zh-TW"/>
                    </w:rPr>
                    <w:t>台</w:t>
                  </w:r>
                </w:p>
              </w:tc>
              <w:tc>
                <w:tcPr>
                  <w:tcW w:w="2574" w:type="dxa"/>
                  <w:vMerge w:val="continue"/>
                  <w:tcBorders>
                    <w:tl2br w:val="nil"/>
                    <w:tr2bl w:val="nil"/>
                  </w:tcBorders>
                  <w:shd w:val="clear" w:color="auto" w:fill="auto"/>
                  <w:vAlign w:val="center"/>
                </w:tcPr>
                <w:p>
                  <w:pPr>
                    <w:spacing w:before="100" w:beforeAutospacing="1" w:after="100" w:afterAutospacing="1"/>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7</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砼喷射设备</w:t>
                  </w:r>
                </w:p>
              </w:tc>
              <w:tc>
                <w:tcPr>
                  <w:tcW w:w="2242" w:type="dxa"/>
                  <w:tcBorders>
                    <w:tl2br w:val="nil"/>
                    <w:tr2bl w:val="nil"/>
                  </w:tcBorders>
                  <w:shd w:val="clear" w:color="auto" w:fill="auto"/>
                  <w:vAlign w:val="center"/>
                </w:tcPr>
                <w:p>
                  <w:pPr>
                    <w:spacing w:before="100" w:beforeAutospacing="1" w:after="100" w:afterAutospacing="1"/>
                    <w:jc w:val="center"/>
                    <w:rPr>
                      <w:color w:val="auto"/>
                      <w:szCs w:val="21"/>
                    </w:rPr>
                  </w:pPr>
                  <w:r>
                    <w:rPr>
                      <w:rFonts w:hint="eastAsia"/>
                      <w:color w:val="auto"/>
                      <w:szCs w:val="21"/>
                    </w:rPr>
                    <w:t>PZ-5B</w:t>
                  </w: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hint="eastAsia" w:ascii="Times New Roman" w:eastAsia="宋体" w:cs="Times New Roman"/>
                      <w:color w:val="auto"/>
                      <w:lang w:val="zh-TW" w:eastAsia="zh-CN"/>
                    </w:rPr>
                    <w:t>1</w:t>
                  </w:r>
                  <w:r>
                    <w:rPr>
                      <w:rStyle w:val="115"/>
                      <w:rFonts w:ascii="Times New Roman" w:hAnsi="宋体" w:eastAsia="宋体" w:cs="Times New Roman"/>
                      <w:color w:val="auto"/>
                      <w:sz w:val="21"/>
                      <w:szCs w:val="21"/>
                      <w:lang w:val="zh-TW" w:eastAsia="zh-TW"/>
                    </w:rPr>
                    <w:t>套</w:t>
                  </w:r>
                </w:p>
              </w:tc>
              <w:tc>
                <w:tcPr>
                  <w:tcW w:w="2574" w:type="dxa"/>
                  <w:vMerge w:val="continue"/>
                  <w:tcBorders>
                    <w:tl2br w:val="nil"/>
                    <w:tr2bl w:val="nil"/>
                  </w:tcBorders>
                  <w:shd w:val="clear" w:color="auto" w:fill="auto"/>
                  <w:vAlign w:val="center"/>
                </w:tcPr>
                <w:p>
                  <w:pPr>
                    <w:spacing w:before="100" w:beforeAutospacing="1" w:after="100" w:afterAutospacing="1"/>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8</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运输汽车</w:t>
                  </w:r>
                </w:p>
              </w:tc>
              <w:tc>
                <w:tcPr>
                  <w:tcW w:w="2242" w:type="dxa"/>
                  <w:tcBorders>
                    <w:tl2br w:val="nil"/>
                    <w:tr2bl w:val="nil"/>
                  </w:tcBorders>
                  <w:shd w:val="clear" w:color="auto" w:fill="auto"/>
                  <w:vAlign w:val="center"/>
                </w:tcPr>
                <w:p>
                  <w:pPr>
                    <w:spacing w:before="100" w:beforeAutospacing="1" w:after="100" w:afterAutospacing="1"/>
                    <w:jc w:val="center"/>
                    <w:rPr>
                      <w:color w:val="auto"/>
                      <w:szCs w:val="21"/>
                    </w:rPr>
                  </w:pP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hint="eastAsia" w:ascii="Times New Roman" w:eastAsia="宋体" w:cs="Times New Roman"/>
                      <w:color w:val="auto"/>
                      <w:lang w:val="zh-TW" w:eastAsia="zh-CN"/>
                    </w:rPr>
                    <w:t>4台</w:t>
                  </w:r>
                </w:p>
              </w:tc>
              <w:tc>
                <w:tcPr>
                  <w:tcW w:w="2574" w:type="dxa"/>
                  <w:vMerge w:val="continue"/>
                  <w:tcBorders>
                    <w:tl2br w:val="nil"/>
                    <w:tr2bl w:val="nil"/>
                  </w:tcBorders>
                  <w:shd w:val="clear" w:color="auto" w:fill="auto"/>
                  <w:vAlign w:val="center"/>
                </w:tcPr>
                <w:p>
                  <w:pPr>
                    <w:spacing w:before="100" w:beforeAutospacing="1" w:after="100" w:afterAutospacing="1"/>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9070" w:type="dxa"/>
                  <w:gridSpan w:val="5"/>
                  <w:tcBorders>
                    <w:tl2br w:val="nil"/>
                    <w:tr2bl w:val="nil"/>
                  </w:tcBorders>
                  <w:shd w:val="clear" w:color="auto" w:fill="auto"/>
                  <w:vAlign w:val="center"/>
                </w:tcPr>
                <w:p>
                  <w:pPr>
                    <w:pStyle w:val="2"/>
                    <w:spacing w:before="100" w:beforeAutospacing="1" w:after="100" w:afterAutospacing="1"/>
                    <w:rPr>
                      <w:color w:val="auto"/>
                      <w:szCs w:val="21"/>
                    </w:rPr>
                  </w:pPr>
                  <w:r>
                    <w:rPr>
                      <w:rStyle w:val="115"/>
                      <w:rFonts w:ascii="Times New Roman" w:hAnsi="宋体" w:eastAsia="宋体" w:cs="Times New Roman"/>
                      <w:color w:val="auto"/>
                      <w:sz w:val="21"/>
                      <w:szCs w:val="21"/>
                      <w:lang w:val="zh-TW" w:eastAsia="zh-TW"/>
                    </w:rPr>
                    <w:t>二、</w:t>
                  </w:r>
                  <w:r>
                    <w:rPr>
                      <w:rStyle w:val="115"/>
                      <w:rFonts w:hint="eastAsia" w:ascii="Times New Roman" w:hAnsi="宋体" w:eastAsia="宋体" w:cs="Times New Roman"/>
                      <w:color w:val="auto"/>
                      <w:sz w:val="21"/>
                      <w:szCs w:val="21"/>
                      <w:lang w:val="zh-TW"/>
                    </w:rPr>
                    <w:t>污染土壤处置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1</w:t>
                  </w:r>
                </w:p>
              </w:tc>
              <w:tc>
                <w:tcPr>
                  <w:tcW w:w="2298"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负压密闭大棚</w:t>
                  </w:r>
                </w:p>
              </w:tc>
              <w:tc>
                <w:tcPr>
                  <w:tcW w:w="2242"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Fonts w:hint="eastAsia"/>
                      <w:color w:val="auto"/>
                      <w:szCs w:val="21"/>
                    </w:rPr>
                    <w:t>60×30×15m</w:t>
                  </w:r>
                </w:p>
              </w:tc>
              <w:tc>
                <w:tcPr>
                  <w:tcW w:w="1120" w:type="dxa"/>
                  <w:tcBorders>
                    <w:tl2br w:val="nil"/>
                    <w:tr2bl w:val="nil"/>
                  </w:tcBorders>
                  <w:shd w:val="clear" w:color="auto" w:fill="auto"/>
                  <w:vAlign w:val="center"/>
                </w:tcPr>
                <w:p>
                  <w:pPr>
                    <w:pStyle w:val="2"/>
                    <w:spacing w:before="100" w:beforeAutospacing="1" w:after="100" w:afterAutospacing="1"/>
                    <w:jc w:val="center"/>
                    <w:rPr>
                      <w:color w:val="auto"/>
                      <w:szCs w:val="21"/>
                    </w:rPr>
                  </w:pPr>
                  <w:r>
                    <w:rPr>
                      <w:rStyle w:val="113"/>
                      <w:rFonts w:ascii="Times New Roman" w:eastAsia="宋体" w:cs="Times New Roman"/>
                      <w:color w:val="auto"/>
                      <w:lang w:val="zh-TW" w:eastAsia="zh-TW"/>
                    </w:rPr>
                    <w:t>1</w:t>
                  </w:r>
                  <w:r>
                    <w:rPr>
                      <w:rStyle w:val="115"/>
                      <w:rFonts w:hint="eastAsia" w:ascii="Times New Roman" w:hAnsi="宋体" w:eastAsia="宋体" w:cs="Times New Roman"/>
                      <w:color w:val="auto"/>
                      <w:sz w:val="21"/>
                      <w:szCs w:val="21"/>
                      <w:lang w:val="zh-TW"/>
                    </w:rPr>
                    <w:t>个</w:t>
                  </w:r>
                </w:p>
              </w:tc>
              <w:tc>
                <w:tcPr>
                  <w:tcW w:w="2574" w:type="dxa"/>
                  <w:tcBorders>
                    <w:tl2br w:val="nil"/>
                    <w:tr2bl w:val="nil"/>
                  </w:tcBorders>
                  <w:shd w:val="clear" w:color="auto" w:fill="auto"/>
                  <w:vAlign w:val="center"/>
                </w:tcPr>
                <w:p>
                  <w:pPr>
                    <w:spacing w:before="100" w:beforeAutospacing="1" w:after="100" w:afterAutospacing="1"/>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836" w:type="dxa"/>
                  <w:tcBorders>
                    <w:tl2br w:val="nil"/>
                    <w:tr2bl w:val="nil"/>
                  </w:tcBorders>
                  <w:shd w:val="clear" w:color="auto" w:fill="auto"/>
                  <w:vAlign w:val="center"/>
                </w:tcPr>
                <w:p>
                  <w:pPr>
                    <w:pStyle w:val="2"/>
                    <w:spacing w:before="100" w:beforeAutospacing="1" w:after="100" w:afterAutospacing="1"/>
                    <w:jc w:val="center"/>
                    <w:rPr>
                      <w:rStyle w:val="113"/>
                      <w:rFonts w:ascii="Times New Roman" w:eastAsia="宋体" w:cs="Times New Roman"/>
                      <w:color w:val="auto"/>
                      <w:lang w:val="zh-TW" w:eastAsia="zh-TW"/>
                    </w:rPr>
                  </w:pPr>
                  <w:r>
                    <w:rPr>
                      <w:rStyle w:val="113"/>
                      <w:rFonts w:ascii="Times New Roman" w:eastAsia="宋体" w:cs="Times New Roman"/>
                      <w:color w:val="auto"/>
                      <w:lang w:val="zh-TW" w:eastAsia="zh-TW"/>
                    </w:rPr>
                    <w:t>2</w:t>
                  </w:r>
                </w:p>
              </w:tc>
              <w:tc>
                <w:tcPr>
                  <w:tcW w:w="2298" w:type="dxa"/>
                  <w:tcBorders>
                    <w:tl2br w:val="nil"/>
                    <w:tr2bl w:val="nil"/>
                  </w:tcBorders>
                  <w:shd w:val="clear" w:color="auto" w:fill="auto"/>
                  <w:vAlign w:val="center"/>
                </w:tcPr>
                <w:p>
                  <w:pPr>
                    <w:pStyle w:val="2"/>
                    <w:spacing w:before="100" w:beforeAutospacing="1" w:after="100" w:afterAutospacing="1"/>
                    <w:jc w:val="center"/>
                    <w:rPr>
                      <w:rStyle w:val="113"/>
                      <w:rFonts w:ascii="Times New Roman" w:eastAsia="宋体" w:cs="Times New Roman"/>
                      <w:color w:val="auto"/>
                      <w:lang w:val="zh-TW" w:eastAsia="zh-CN"/>
                    </w:rPr>
                  </w:pPr>
                  <w:r>
                    <w:rPr>
                      <w:rStyle w:val="113"/>
                      <w:rFonts w:hint="eastAsia" w:ascii="Times New Roman" w:eastAsia="宋体" w:cs="Times New Roman"/>
                      <w:color w:val="auto"/>
                      <w:lang w:val="zh-TW" w:eastAsia="zh-CN"/>
                    </w:rPr>
                    <w:t>废气处理设备</w:t>
                  </w:r>
                </w:p>
              </w:tc>
              <w:tc>
                <w:tcPr>
                  <w:tcW w:w="2242" w:type="dxa"/>
                  <w:tcBorders>
                    <w:tl2br w:val="nil"/>
                    <w:tr2bl w:val="nil"/>
                  </w:tcBorders>
                  <w:shd w:val="clear" w:color="auto" w:fill="auto"/>
                  <w:vAlign w:val="center"/>
                </w:tcPr>
                <w:p>
                  <w:pPr>
                    <w:pStyle w:val="2"/>
                    <w:spacing w:before="100" w:beforeAutospacing="1" w:after="100" w:afterAutospacing="1"/>
                    <w:jc w:val="center"/>
                    <w:rPr>
                      <w:rStyle w:val="113"/>
                      <w:rFonts w:ascii="Times New Roman" w:eastAsia="宋体" w:cs="Times New Roman"/>
                      <w:color w:val="auto"/>
                      <w:lang w:val="zh-TW" w:eastAsia="zh-CN"/>
                    </w:rPr>
                  </w:pPr>
                  <w:r>
                    <w:rPr>
                      <w:rStyle w:val="113"/>
                      <w:rFonts w:hint="eastAsia" w:ascii="Times New Roman" w:eastAsia="宋体" w:cs="Times New Roman"/>
                      <w:color w:val="auto"/>
                      <w:lang w:val="zh-TW" w:eastAsia="zh-CN"/>
                    </w:rPr>
                    <w:t>5000m</w:t>
                  </w:r>
                  <w:r>
                    <w:rPr>
                      <w:rStyle w:val="113"/>
                      <w:rFonts w:hint="eastAsia" w:ascii="Times New Roman" w:eastAsia="宋体" w:cs="Times New Roman"/>
                      <w:color w:val="auto"/>
                      <w:vertAlign w:val="superscript"/>
                      <w:lang w:val="zh-TW" w:eastAsia="zh-CN"/>
                    </w:rPr>
                    <w:t>3</w:t>
                  </w:r>
                  <w:r>
                    <w:rPr>
                      <w:rStyle w:val="113"/>
                      <w:rFonts w:hint="eastAsia" w:ascii="Times New Roman" w:eastAsia="宋体" w:cs="Times New Roman"/>
                      <w:color w:val="auto"/>
                      <w:lang w:val="zh-TW" w:eastAsia="zh-CN"/>
                    </w:rPr>
                    <w:t>/h</w:t>
                  </w:r>
                </w:p>
              </w:tc>
              <w:tc>
                <w:tcPr>
                  <w:tcW w:w="1120" w:type="dxa"/>
                  <w:tcBorders>
                    <w:tl2br w:val="nil"/>
                    <w:tr2bl w:val="nil"/>
                  </w:tcBorders>
                  <w:shd w:val="clear" w:color="auto" w:fill="auto"/>
                  <w:vAlign w:val="center"/>
                </w:tcPr>
                <w:p>
                  <w:pPr>
                    <w:pStyle w:val="2"/>
                    <w:spacing w:before="100" w:beforeAutospacing="1" w:after="100" w:afterAutospacing="1"/>
                    <w:jc w:val="center"/>
                    <w:rPr>
                      <w:rStyle w:val="113"/>
                      <w:rFonts w:ascii="Times New Roman" w:eastAsia="宋体" w:cs="Times New Roman"/>
                      <w:color w:val="auto"/>
                      <w:lang w:val="zh-TW" w:eastAsia="zh-TW"/>
                    </w:rPr>
                  </w:pPr>
                  <w:r>
                    <w:rPr>
                      <w:rStyle w:val="113"/>
                      <w:rFonts w:ascii="Times New Roman" w:eastAsia="宋体" w:cs="Times New Roman"/>
                      <w:color w:val="auto"/>
                      <w:lang w:val="zh-TW" w:eastAsia="zh-TW"/>
                    </w:rPr>
                    <w:t>1</w:t>
                  </w:r>
                  <w:r>
                    <w:rPr>
                      <w:rStyle w:val="113"/>
                      <w:rFonts w:ascii="Times New Roman" w:hAnsi="宋体" w:eastAsia="宋体" w:cs="Times New Roman"/>
                      <w:color w:val="auto"/>
                      <w:lang w:val="zh-TW" w:eastAsia="zh-TW"/>
                    </w:rPr>
                    <w:t>套</w:t>
                  </w:r>
                </w:p>
              </w:tc>
              <w:tc>
                <w:tcPr>
                  <w:tcW w:w="2574" w:type="dxa"/>
                  <w:tcBorders>
                    <w:tl2br w:val="nil"/>
                    <w:tr2bl w:val="nil"/>
                  </w:tcBorders>
                  <w:shd w:val="clear" w:color="auto" w:fill="auto"/>
                  <w:vAlign w:val="center"/>
                </w:tcPr>
                <w:p>
                  <w:pPr>
                    <w:pStyle w:val="2"/>
                    <w:spacing w:before="100" w:beforeAutospacing="1" w:after="100" w:afterAutospacing="1"/>
                    <w:jc w:val="center"/>
                    <w:rPr>
                      <w:rStyle w:val="113"/>
                      <w:rFonts w:ascii="Times New Roman" w:eastAsia="宋体" w:cs="Times New Roman"/>
                      <w:color w:val="auto"/>
                      <w:lang w:val="zh-TW" w:eastAsia="zh-CN"/>
                    </w:rPr>
                  </w:pPr>
                  <w:r>
                    <w:rPr>
                      <w:rStyle w:val="113"/>
                      <w:rFonts w:hint="eastAsia" w:ascii="Times New Roman" w:hAnsi="宋体" w:eastAsia="宋体" w:cs="Times New Roman"/>
                      <w:color w:val="auto"/>
                      <w:lang w:val="zh-TW" w:eastAsia="zh-TW"/>
                    </w:rPr>
                    <w:t>除尘器+活性炭</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u w:val="single"/>
              </w:rPr>
            </w:pPr>
            <w:r>
              <w:rPr>
                <w:rFonts w:hint="eastAsia" w:hAnsi="宋体"/>
                <w:b/>
                <w:color w:val="auto"/>
                <w:sz w:val="24"/>
                <w:szCs w:val="24"/>
                <w:u w:val="single"/>
                <w:lang w:val="en-US" w:eastAsia="zh-CN"/>
              </w:rPr>
              <w:t>7</w:t>
            </w:r>
            <w:r>
              <w:rPr>
                <w:rFonts w:hAnsi="宋体"/>
                <w:b/>
                <w:color w:val="auto"/>
                <w:sz w:val="24"/>
                <w:szCs w:val="24"/>
                <w:u w:val="single"/>
              </w:rPr>
              <w:t>、</w:t>
            </w:r>
            <w:r>
              <w:rPr>
                <w:rFonts w:hint="eastAsia" w:hAnsi="宋体"/>
                <w:b/>
                <w:color w:val="auto"/>
                <w:sz w:val="24"/>
                <w:szCs w:val="24"/>
                <w:u w:val="single"/>
              </w:rPr>
              <w:t>施工方案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00"/>
                <w:rFonts w:ascii="Times New Roman" w:eastAsia="宋体" w:cs="Times New Roman"/>
                <w:color w:val="auto"/>
                <w:sz w:val="24"/>
                <w:szCs w:val="24"/>
                <w:u w:val="single"/>
                <w:lang w:val="zh-TW"/>
              </w:rPr>
            </w:pPr>
            <w:r>
              <w:rPr>
                <w:rFonts w:hint="eastAsia" w:hAnsi="宋体"/>
                <w:color w:val="auto"/>
                <w:sz w:val="24"/>
                <w:szCs w:val="24"/>
                <w:u w:val="single"/>
              </w:rPr>
              <w:t>本项目工程分为两部分，一为现有厂房及设备拆除及处置工作，二为土壤修复工作。现有厂房及设备拆除</w:t>
            </w:r>
            <w:r>
              <w:rPr>
                <w:rStyle w:val="100"/>
                <w:rFonts w:ascii="Times New Roman" w:hAnsi="宋体" w:eastAsia="宋体" w:cs="Times New Roman"/>
                <w:color w:val="auto"/>
                <w:sz w:val="24"/>
                <w:szCs w:val="24"/>
                <w:u w:val="single"/>
                <w:lang w:val="zh-TW" w:eastAsia="zh-TW"/>
              </w:rPr>
              <w:t>采用人工与机械相结合的方法</w:t>
            </w:r>
            <w:r>
              <w:rPr>
                <w:rStyle w:val="100"/>
                <w:rFonts w:hint="eastAsia" w:ascii="Times New Roman" w:hAnsi="宋体" w:eastAsia="宋体" w:cs="Times New Roman"/>
                <w:color w:val="auto"/>
                <w:sz w:val="24"/>
                <w:szCs w:val="24"/>
                <w:u w:val="single"/>
                <w:lang w:val="zh-TW"/>
              </w:rPr>
              <w:t>，采用挖掘机、推土机、装载机等配合施工，产生的金属、建筑固废通过汽车运送至</w:t>
            </w:r>
            <w:r>
              <w:rPr>
                <w:rFonts w:hint="eastAsia" w:hAnsi="宋体"/>
                <w:bCs/>
                <w:color w:val="auto"/>
                <w:sz w:val="24"/>
                <w:szCs w:val="24"/>
                <w:u w:val="single"/>
              </w:rPr>
              <w:t>相关专业机构进行处理。土壤修复采用</w:t>
            </w:r>
            <w:r>
              <w:rPr>
                <w:rFonts w:hint="eastAsia" w:hAnsi="宋体"/>
                <w:bCs/>
                <w:color w:val="auto"/>
                <w:sz w:val="24"/>
                <w:szCs w:val="24"/>
                <w:u w:val="single"/>
                <w:lang w:val="zh-TW" w:eastAsia="zh-CN"/>
              </w:rPr>
              <w:t>原位异地化学氧化</w:t>
            </w:r>
            <w:r>
              <w:rPr>
                <w:rFonts w:hint="eastAsia" w:hAnsi="宋体"/>
                <w:bCs/>
                <w:color w:val="auto"/>
                <w:sz w:val="24"/>
                <w:szCs w:val="24"/>
                <w:u w:val="single"/>
                <w:lang w:val="zh-TW"/>
              </w:rPr>
              <w:t>技术，先通过挖掘机将污染土壤挖出，通过汽车</w:t>
            </w:r>
            <w:r>
              <w:rPr>
                <w:rStyle w:val="100"/>
                <w:rFonts w:hint="eastAsia" w:ascii="Times New Roman" w:eastAsia="宋体" w:cs="Times New Roman"/>
                <w:color w:val="auto"/>
                <w:sz w:val="24"/>
                <w:szCs w:val="24"/>
                <w:u w:val="single"/>
                <w:lang w:val="zh-TW"/>
              </w:rPr>
              <w:t>输送至</w:t>
            </w:r>
            <w:r>
              <w:rPr>
                <w:rFonts w:hint="eastAsia" w:hAnsi="宋体"/>
                <w:color w:val="auto"/>
                <w:sz w:val="24"/>
                <w:szCs w:val="24"/>
                <w:u w:val="single"/>
              </w:rPr>
              <w:t>负压密闭大棚</w:t>
            </w:r>
            <w:r>
              <w:rPr>
                <w:rStyle w:val="100"/>
                <w:rFonts w:hint="eastAsia" w:ascii="Times New Roman" w:eastAsia="宋体" w:cs="Times New Roman"/>
                <w:color w:val="auto"/>
                <w:sz w:val="24"/>
                <w:szCs w:val="24"/>
                <w:u w:val="single"/>
                <w:lang w:val="zh-TW"/>
              </w:rPr>
              <w:t>，通过将不同含水率的土壤混合，保证含水率不大于30%，首先利用一体化筛分与破碎机对土壤进行破碎处理，根据污染程度添加4%或2%比例的</w:t>
            </w:r>
            <w:r>
              <w:rPr>
                <w:rStyle w:val="100"/>
                <w:rFonts w:hint="eastAsia" w:ascii="Times New Roman" w:eastAsia="宋体" w:cs="Times New Roman"/>
                <w:color w:val="auto"/>
                <w:sz w:val="24"/>
                <w:szCs w:val="24"/>
                <w:u w:val="single"/>
                <w:lang w:val="zh-TW" w:eastAsia="zh-CN"/>
              </w:rPr>
              <w:t>修复药剂</w:t>
            </w:r>
            <w:r>
              <w:rPr>
                <w:rStyle w:val="100"/>
                <w:rFonts w:hint="eastAsia" w:ascii="Times New Roman" w:eastAsia="宋体" w:cs="Times New Roman"/>
                <w:color w:val="auto"/>
                <w:sz w:val="24"/>
                <w:szCs w:val="24"/>
                <w:u w:val="single"/>
                <w:lang w:val="zh-TW"/>
              </w:rPr>
              <w:t>，利用筛分机混合均匀后堆成一定规格的条状土体，混合次数不小于2次，养护1-3天后检测，通过实验室检测低于修复目标（</w:t>
            </w:r>
            <w:r>
              <w:rPr>
                <w:rFonts w:hint="eastAsia" w:hAnsi="宋体"/>
                <w:color w:val="auto"/>
                <w:sz w:val="24"/>
                <w:szCs w:val="24"/>
              </w:rPr>
              <w:t>六六六≤1mg/kg及滴滴涕≤1mg/kg</w:t>
            </w:r>
            <w:r>
              <w:rPr>
                <w:rStyle w:val="100"/>
                <w:rFonts w:hint="eastAsia" w:ascii="Times New Roman" w:eastAsia="宋体" w:cs="Times New Roman"/>
                <w:color w:val="auto"/>
                <w:sz w:val="24"/>
                <w:szCs w:val="24"/>
                <w:u w:val="single"/>
                <w:lang w:val="zh-TW"/>
              </w:rPr>
              <w:t>）即为合格，达标土壤运至大棚合格堆置区，定期外运回填。</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hAnsi="宋体" w:eastAsia="宋体"/>
                <w:color w:val="auto"/>
                <w:sz w:val="24"/>
                <w:szCs w:val="24"/>
                <w:u w:val="single"/>
                <w:lang w:val="en-US" w:eastAsia="zh-CN"/>
              </w:rPr>
            </w:pPr>
            <w:r>
              <w:rPr>
                <w:rFonts w:hint="eastAsia" w:hAnsi="宋体"/>
                <w:b/>
                <w:bCs/>
                <w:color w:val="auto"/>
                <w:sz w:val="24"/>
                <w:szCs w:val="24"/>
                <w:u w:val="single"/>
                <w:lang w:val="en-US" w:eastAsia="zh-CN"/>
              </w:rPr>
              <w:t>8、污染处理场选址</w:t>
            </w:r>
            <w:r>
              <w:rPr>
                <w:rFonts w:hint="eastAsia" w:hAnsi="宋体"/>
                <w:b/>
                <w:bCs/>
                <w:color w:val="auto"/>
                <w:sz w:val="24"/>
                <w:szCs w:val="24"/>
                <w:u w:val="single"/>
                <w:lang w:eastAsia="zh-CN"/>
              </w:rPr>
              <w:t>合理性及影响分析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bCs/>
                <w:color w:val="auto"/>
                <w:sz w:val="24"/>
                <w:szCs w:val="24"/>
                <w:u w:val="single"/>
              </w:rPr>
            </w:pPr>
            <w:r>
              <w:rPr>
                <w:rFonts w:hAnsi="宋体"/>
                <w:color w:val="auto"/>
                <w:sz w:val="24"/>
                <w:szCs w:val="24"/>
                <w:u w:val="single"/>
              </w:rPr>
              <w:t>本项目位于湖南省岳阳市</w:t>
            </w:r>
            <w:r>
              <w:rPr>
                <w:rFonts w:hint="eastAsia" w:hAnsi="宋体"/>
                <w:color w:val="auto"/>
                <w:sz w:val="24"/>
                <w:szCs w:val="24"/>
                <w:u w:val="single"/>
              </w:rPr>
              <w:t>平江县城关镇长冲路与106国道交汇夹角北侧</w:t>
            </w:r>
            <w:r>
              <w:rPr>
                <w:rFonts w:hAnsi="宋体"/>
                <w:color w:val="auto"/>
                <w:sz w:val="24"/>
                <w:szCs w:val="24"/>
                <w:u w:val="single"/>
              </w:rPr>
              <w:t>。土壤治理区域为原</w:t>
            </w:r>
            <w:r>
              <w:rPr>
                <w:rFonts w:hint="eastAsia" w:hAnsi="宋体"/>
                <w:color w:val="auto"/>
                <w:sz w:val="24"/>
                <w:szCs w:val="24"/>
                <w:u w:val="single"/>
              </w:rPr>
              <w:t>平江县原三阳乡化学农药厂厂址</w:t>
            </w:r>
            <w:r>
              <w:rPr>
                <w:rFonts w:hAnsi="宋体"/>
                <w:color w:val="auto"/>
                <w:sz w:val="24"/>
                <w:szCs w:val="24"/>
                <w:u w:val="single"/>
              </w:rPr>
              <w:t>，不规则多边形，入口设置在地块东南侧，通过</w:t>
            </w:r>
            <w:r>
              <w:rPr>
                <w:rFonts w:hint="eastAsia" w:hAnsi="宋体"/>
                <w:color w:val="auto"/>
                <w:sz w:val="24"/>
                <w:szCs w:val="24"/>
                <w:u w:val="single"/>
              </w:rPr>
              <w:t>106国道</w:t>
            </w:r>
            <w:r>
              <w:rPr>
                <w:rFonts w:hAnsi="宋体"/>
                <w:color w:val="auto"/>
                <w:sz w:val="24"/>
                <w:szCs w:val="24"/>
                <w:u w:val="single"/>
              </w:rPr>
              <w:t>与外界相连，交通非常方便。项目</w:t>
            </w:r>
            <w:r>
              <w:rPr>
                <w:rFonts w:hint="eastAsia" w:hAnsi="宋体"/>
                <w:color w:val="auto"/>
                <w:sz w:val="24"/>
                <w:szCs w:val="24"/>
                <w:u w:val="single"/>
              </w:rPr>
              <w:t>负压密闭大棚</w:t>
            </w:r>
            <w:r>
              <w:rPr>
                <w:rFonts w:hAnsi="宋体"/>
                <w:color w:val="auto"/>
                <w:sz w:val="24"/>
                <w:szCs w:val="24"/>
                <w:u w:val="single"/>
              </w:rPr>
              <w:t>设置在</w:t>
            </w:r>
            <w:r>
              <w:rPr>
                <w:rFonts w:hAnsi="宋体"/>
                <w:bCs/>
                <w:color w:val="auto"/>
                <w:sz w:val="24"/>
                <w:szCs w:val="24"/>
                <w:u w:val="single"/>
              </w:rPr>
              <w:t>土壤治理区域</w:t>
            </w:r>
            <w:r>
              <w:rPr>
                <w:rFonts w:hint="eastAsia" w:hAnsi="宋体"/>
                <w:bCs/>
                <w:color w:val="auto"/>
                <w:sz w:val="24"/>
                <w:szCs w:val="24"/>
                <w:u w:val="single"/>
                <w:lang w:eastAsia="zh-CN"/>
              </w:rPr>
              <w:t>北</w:t>
            </w:r>
            <w:r>
              <w:rPr>
                <w:rFonts w:hAnsi="宋体"/>
                <w:bCs/>
                <w:color w:val="auto"/>
                <w:sz w:val="24"/>
                <w:szCs w:val="24"/>
                <w:u w:val="single"/>
              </w:rPr>
              <w:t>侧约</w:t>
            </w:r>
            <w:r>
              <w:rPr>
                <w:rFonts w:hint="eastAsia" w:hAnsi="宋体"/>
                <w:bCs/>
                <w:color w:val="auto"/>
                <w:sz w:val="24"/>
                <w:szCs w:val="24"/>
                <w:u w:val="single"/>
                <w:lang w:val="en-US" w:eastAsia="zh-CN"/>
              </w:rPr>
              <w:t>5</w:t>
            </w:r>
            <w:r>
              <w:rPr>
                <w:bCs/>
                <w:color w:val="auto"/>
                <w:sz w:val="24"/>
                <w:szCs w:val="24"/>
                <w:u w:val="single"/>
              </w:rPr>
              <w:t>m</w:t>
            </w:r>
            <w:r>
              <w:rPr>
                <w:rFonts w:hAnsi="宋体"/>
                <w:bCs/>
                <w:color w:val="auto"/>
                <w:sz w:val="24"/>
                <w:szCs w:val="24"/>
                <w:u w:val="single"/>
              </w:rPr>
              <w:t>处的</w:t>
            </w:r>
            <w:r>
              <w:rPr>
                <w:rFonts w:hint="eastAsia" w:hAnsi="宋体"/>
                <w:bCs/>
                <w:color w:val="auto"/>
                <w:sz w:val="24"/>
                <w:szCs w:val="24"/>
                <w:u w:val="single"/>
              </w:rPr>
              <w:t>荒地处</w:t>
            </w:r>
            <w:r>
              <w:rPr>
                <w:rFonts w:hAnsi="宋体"/>
                <w:bCs/>
                <w:color w:val="auto"/>
                <w:sz w:val="24"/>
                <w:szCs w:val="24"/>
                <w:u w:val="single"/>
              </w:rPr>
              <w:t>，</w:t>
            </w:r>
            <w:r>
              <w:rPr>
                <w:rFonts w:hint="eastAsia" w:hAnsi="宋体"/>
                <w:bCs/>
                <w:color w:val="auto"/>
                <w:sz w:val="24"/>
                <w:szCs w:val="24"/>
                <w:u w:val="single"/>
              </w:rPr>
              <w:t>修复合格土壤储存区位于大棚南侧的临时储存区，</w:t>
            </w:r>
            <w:r>
              <w:rPr>
                <w:rFonts w:hAnsi="宋体"/>
                <w:bCs/>
                <w:color w:val="auto"/>
                <w:sz w:val="24"/>
                <w:szCs w:val="24"/>
                <w:u w:val="single"/>
              </w:rPr>
              <w:t>该场地较平整，水电接入条件齐备，面积宽裕，通过南侧</w:t>
            </w:r>
            <w:r>
              <w:rPr>
                <w:rFonts w:hint="eastAsia" w:hAnsi="宋体"/>
                <w:bCs/>
                <w:color w:val="auto"/>
                <w:sz w:val="24"/>
                <w:szCs w:val="24"/>
                <w:u w:val="single"/>
              </w:rPr>
              <w:t>平江大道</w:t>
            </w:r>
            <w:r>
              <w:rPr>
                <w:rFonts w:hAnsi="宋体"/>
                <w:bCs/>
                <w:color w:val="auto"/>
                <w:sz w:val="24"/>
                <w:szCs w:val="24"/>
                <w:u w:val="single"/>
              </w:rPr>
              <w:t>与外界相连，交通非常方便。</w:t>
            </w:r>
            <w:r>
              <w:rPr>
                <w:rFonts w:hint="eastAsia" w:hAnsi="宋体"/>
                <w:color w:val="auto"/>
                <w:sz w:val="24"/>
                <w:szCs w:val="24"/>
                <w:u w:val="single"/>
              </w:rPr>
              <w:t>负压密闭大棚</w:t>
            </w:r>
            <w:r>
              <w:rPr>
                <w:rFonts w:hAnsi="宋体"/>
                <w:bCs/>
                <w:color w:val="auto"/>
                <w:sz w:val="24"/>
                <w:szCs w:val="24"/>
                <w:u w:val="single"/>
              </w:rPr>
              <w:t>为临时工程，采用</w:t>
            </w:r>
            <w:r>
              <w:rPr>
                <w:rFonts w:hint="eastAsia" w:hAnsi="宋体"/>
                <w:bCs/>
                <w:color w:val="auto"/>
                <w:sz w:val="24"/>
                <w:szCs w:val="24"/>
                <w:u w:val="single"/>
              </w:rPr>
              <w:t>膜</w:t>
            </w:r>
            <w:r>
              <w:rPr>
                <w:rFonts w:hAnsi="宋体"/>
                <w:bCs/>
                <w:color w:val="auto"/>
                <w:sz w:val="24"/>
                <w:szCs w:val="24"/>
                <w:u w:val="single"/>
              </w:rPr>
              <w:t>结构</w:t>
            </w:r>
            <w:r>
              <w:rPr>
                <w:rFonts w:hint="eastAsia" w:hAnsi="宋体"/>
                <w:bCs/>
                <w:color w:val="auto"/>
                <w:sz w:val="24"/>
                <w:szCs w:val="24"/>
                <w:u w:val="single"/>
              </w:rPr>
              <w:t>搭建成整体密封的大棚</w:t>
            </w:r>
            <w:r>
              <w:rPr>
                <w:rFonts w:hAnsi="宋体"/>
                <w:bCs/>
                <w:color w:val="auto"/>
                <w:sz w:val="24"/>
                <w:szCs w:val="24"/>
                <w:u w:val="single"/>
              </w:rPr>
              <w:t>，土壤修复完毕后</w:t>
            </w:r>
            <w:r>
              <w:rPr>
                <w:rFonts w:hint="eastAsia" w:hAnsi="宋体"/>
                <w:bCs/>
                <w:color w:val="auto"/>
                <w:sz w:val="24"/>
                <w:szCs w:val="24"/>
                <w:u w:val="single"/>
              </w:rPr>
              <w:t>可</w:t>
            </w:r>
            <w:r>
              <w:rPr>
                <w:rFonts w:hAnsi="宋体"/>
                <w:bCs/>
                <w:color w:val="auto"/>
                <w:sz w:val="24"/>
                <w:szCs w:val="24"/>
                <w:u w:val="single"/>
              </w:rPr>
              <w:t>进行拆除。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Cs/>
                <w:color w:val="0000FF"/>
                <w:sz w:val="24"/>
                <w:szCs w:val="24"/>
                <w:u w:val="single"/>
                <w:lang w:val="en-US" w:eastAsia="zh-CN"/>
              </w:rPr>
            </w:pPr>
            <w:r>
              <w:rPr>
                <w:rFonts w:hint="eastAsia" w:hAnsi="宋体"/>
                <w:bCs/>
                <w:color w:val="0000FF"/>
                <w:sz w:val="24"/>
                <w:szCs w:val="24"/>
                <w:u w:val="single"/>
                <w:lang w:eastAsia="zh-CN"/>
              </w:rPr>
              <w:t>本项目所在区域主导风向为西北风向，因此产生的废气污染物主要被吹往东南向，根据附图</w:t>
            </w:r>
            <w:r>
              <w:rPr>
                <w:rFonts w:hint="eastAsia" w:hAnsi="宋体"/>
                <w:bCs/>
                <w:color w:val="0000FF"/>
                <w:sz w:val="24"/>
                <w:szCs w:val="24"/>
                <w:u w:val="single"/>
                <w:lang w:val="en-US" w:eastAsia="zh-CN"/>
              </w:rPr>
              <w:t>7可知，本项目东南向主要为修复场地，</w:t>
            </w:r>
            <w:r>
              <w:rPr>
                <w:rFonts w:hint="eastAsia" w:hAnsi="宋体"/>
                <w:bCs/>
                <w:color w:val="FF0000"/>
                <w:sz w:val="24"/>
                <w:szCs w:val="24"/>
                <w:u w:val="single"/>
                <w:lang w:val="en-US" w:eastAsia="zh-CN"/>
              </w:rPr>
              <w:t>再东南向则为正在建设的建筑、低矮厂房、菜地、池塘以及空地。因此在主导风向下主要受影响的为东南向在建建筑。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Cs/>
                <w:color w:val="0000FF"/>
                <w:sz w:val="24"/>
                <w:szCs w:val="24"/>
                <w:u w:val="single"/>
                <w:lang w:val="en-US" w:eastAsia="zh-CN"/>
              </w:rPr>
            </w:pPr>
            <w:r>
              <w:rPr>
                <w:rFonts w:hint="eastAsia" w:hAnsi="宋体"/>
                <w:bCs/>
                <w:color w:val="0000FF"/>
                <w:sz w:val="24"/>
                <w:szCs w:val="24"/>
                <w:u w:val="single"/>
                <w:lang w:val="en-US" w:eastAsia="zh-CN"/>
              </w:rPr>
              <w:t>由于本项目土壤开挖、修复期约90天，施工准备及生态恢复约3天，共计约93天。根据现场勘查项目东南向最近建筑尚未建设完成，该建筑为砖混结构，预计建设层数为三层，建筑面积约为3000㎡，已完成第一层的建设。从相关资料可知，三层砖混结构3000㎡建筑面积的建筑建设工期一般约为100~160天，装修、添置家具等工期约60~100天。本次环评取平均值，该建筑从建设到投入使用共计约210天，该建筑按完成度50%计算，则还需105天才可投入使用，届时本项目修复工作已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Cs/>
                <w:color w:val="FF0000"/>
                <w:sz w:val="24"/>
                <w:szCs w:val="24"/>
                <w:u w:val="single"/>
                <w:lang w:val="en-US" w:eastAsia="zh-CN"/>
              </w:rPr>
            </w:pPr>
            <w:r>
              <w:rPr>
                <w:rFonts w:hint="eastAsia" w:hAnsi="宋体"/>
                <w:bCs/>
                <w:color w:val="FF0000"/>
                <w:sz w:val="24"/>
                <w:szCs w:val="24"/>
                <w:u w:val="single"/>
                <w:lang w:val="en-US" w:eastAsia="zh-CN"/>
              </w:rPr>
              <w:t>根据本环评工程分析可知，本项目在采取相关环保措施后各污染物均可达标排放，对周边环境影响较小，因此对东南向在建建筑、低矮厂房影响不大。因此不会对周边环境敏感点造成较大影响。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FF0000"/>
                <w:sz w:val="24"/>
                <w:szCs w:val="24"/>
                <w:u w:val="single"/>
              </w:rPr>
            </w:pPr>
            <w:r>
              <w:rPr>
                <w:rFonts w:hint="eastAsia" w:hAnsi="宋体"/>
                <w:color w:val="FF0000"/>
                <w:sz w:val="24"/>
                <w:szCs w:val="24"/>
                <w:u w:val="single"/>
                <w:lang w:eastAsia="zh-CN"/>
              </w:rPr>
              <w:t>综上述可知，本</w:t>
            </w:r>
            <w:r>
              <w:rPr>
                <w:rFonts w:hAnsi="宋体"/>
                <w:color w:val="FF0000"/>
                <w:sz w:val="24"/>
                <w:szCs w:val="24"/>
                <w:u w:val="single"/>
              </w:rPr>
              <w:t>项目</w:t>
            </w:r>
            <w:r>
              <w:rPr>
                <w:rFonts w:hint="eastAsia" w:hAnsi="宋体"/>
                <w:color w:val="FF0000"/>
                <w:sz w:val="24"/>
                <w:szCs w:val="24"/>
                <w:u w:val="single"/>
                <w:lang w:eastAsia="zh-CN"/>
              </w:rPr>
              <w:t>选址</w:t>
            </w:r>
            <w:r>
              <w:rPr>
                <w:rFonts w:hAnsi="宋体"/>
                <w:color w:val="FF0000"/>
                <w:sz w:val="24"/>
                <w:szCs w:val="24"/>
                <w:u w:val="single"/>
              </w:rPr>
              <w:t>合理</w:t>
            </w:r>
            <w:r>
              <w:rPr>
                <w:rFonts w:hint="eastAsia" w:hAnsi="宋体"/>
                <w:color w:val="FF0000"/>
                <w:sz w:val="24"/>
                <w:szCs w:val="24"/>
                <w:u w:val="single"/>
                <w:lang w:eastAsia="zh-CN"/>
              </w:rPr>
              <w:t>，修复大棚平面位置合理</w:t>
            </w:r>
            <w:r>
              <w:rPr>
                <w:rFonts w:hint="eastAsia" w:hAnsi="宋体"/>
                <w:color w:val="FF0000"/>
                <w:sz w:val="24"/>
                <w:szCs w:val="24"/>
                <w:u w:val="single"/>
              </w:rPr>
              <w:t>。</w:t>
            </w:r>
            <w:r>
              <w:rPr>
                <w:rFonts w:hAnsi="宋体"/>
                <w:color w:val="FF0000"/>
                <w:sz w:val="24"/>
                <w:szCs w:val="24"/>
                <w:u w:val="single"/>
              </w:rPr>
              <w:t>项目</w:t>
            </w:r>
            <w:r>
              <w:rPr>
                <w:rFonts w:hint="eastAsia" w:hAnsi="宋体"/>
                <w:color w:val="FF0000"/>
                <w:sz w:val="24"/>
                <w:szCs w:val="24"/>
                <w:u w:val="single"/>
              </w:rPr>
              <w:t>施工</w:t>
            </w:r>
            <w:r>
              <w:rPr>
                <w:rFonts w:hint="eastAsia" w:hAnsi="宋体"/>
                <w:color w:val="FF0000"/>
                <w:sz w:val="24"/>
                <w:szCs w:val="24"/>
                <w:u w:val="single"/>
                <w:lang w:eastAsia="zh-CN"/>
              </w:rPr>
              <w:t>选址</w:t>
            </w:r>
            <w:r>
              <w:rPr>
                <w:rFonts w:hAnsi="宋体"/>
                <w:color w:val="FF0000"/>
                <w:sz w:val="24"/>
                <w:szCs w:val="24"/>
                <w:u w:val="single"/>
              </w:rPr>
              <w:t>见图</w:t>
            </w:r>
            <w:r>
              <w:rPr>
                <w:color w:val="FF0000"/>
                <w:sz w:val="24"/>
                <w:szCs w:val="24"/>
                <w:u w:val="single"/>
              </w:rPr>
              <w:t>2</w:t>
            </w:r>
            <w:r>
              <w:rPr>
                <w:rFonts w:hAnsi="宋体"/>
                <w:color w:val="FF0000"/>
                <w:sz w:val="24"/>
                <w:szCs w:val="24"/>
                <w:u w:val="single"/>
              </w:rPr>
              <w:t>。</w:t>
            </w:r>
          </w:p>
          <w:p>
            <w:pPr>
              <w:pStyle w:val="2"/>
              <w:rPr>
                <w:rFonts w:hAnsi="宋体"/>
                <w:color w:val="auto"/>
                <w:sz w:val="24"/>
                <w:szCs w:val="24"/>
                <w:u w:val="single"/>
              </w:rPr>
            </w:pPr>
          </w:p>
          <w:p>
            <w:pPr>
              <w:pStyle w:val="2"/>
              <w:rPr>
                <w:rFonts w:hAnsi="宋体"/>
                <w:color w:val="auto"/>
                <w:sz w:val="24"/>
                <w:szCs w:val="24"/>
                <w:u w:val="single"/>
              </w:rPr>
            </w:pPr>
          </w:p>
          <w:p>
            <w:pPr>
              <w:pStyle w:val="2"/>
              <w:rPr>
                <w:rFonts w:hAnsi="宋体"/>
                <w:color w:val="auto"/>
                <w:sz w:val="24"/>
                <w:szCs w:val="24"/>
                <w:u w:val="single"/>
              </w:rPr>
            </w:pPr>
          </w:p>
          <w:p>
            <w:pPr>
              <w:pStyle w:val="2"/>
              <w:rPr>
                <w:rFonts w:hAnsi="宋体"/>
                <w:color w:val="auto"/>
                <w:sz w:val="24"/>
                <w:szCs w:val="24"/>
                <w:u w:val="single"/>
              </w:rPr>
            </w:pPr>
          </w:p>
          <w:p>
            <w:pPr>
              <w:pStyle w:val="2"/>
              <w:rPr>
                <w:rFonts w:hAnsi="宋体"/>
                <w:color w:val="auto"/>
                <w:sz w:val="24"/>
                <w:szCs w:val="24"/>
                <w:u w:val="single"/>
              </w:rPr>
            </w:pPr>
          </w:p>
          <w:p>
            <w:pPr>
              <w:pStyle w:val="2"/>
              <w:rPr>
                <w:rFonts w:hAnsi="宋体"/>
                <w:color w:val="auto"/>
                <w:sz w:val="24"/>
                <w:szCs w:val="24"/>
                <w:u w:val="single"/>
              </w:rPr>
            </w:pPr>
          </w:p>
          <w:p>
            <w:pPr>
              <w:pStyle w:val="2"/>
              <w:rPr>
                <w:rFonts w:hAnsi="宋体"/>
                <w:color w:val="auto"/>
                <w:sz w:val="24"/>
                <w:szCs w:val="24"/>
                <w:u w:val="single"/>
              </w:rPr>
            </w:pPr>
          </w:p>
          <w:p>
            <w:pPr>
              <w:pStyle w:val="2"/>
              <w:rPr>
                <w:rFonts w:hAnsi="宋体"/>
                <w:color w:val="auto"/>
                <w:sz w:val="24"/>
                <w:szCs w:val="24"/>
                <w:u w:val="single"/>
              </w:rPr>
            </w:pPr>
          </w:p>
          <w:p>
            <w:pPr>
              <w:pStyle w:val="2"/>
              <w:rPr>
                <w:rFonts w:hAnsi="宋体"/>
                <w:color w:val="auto"/>
                <w:sz w:val="24"/>
                <w:szCs w:val="24"/>
                <w:u w:val="single"/>
              </w:rPr>
            </w:pPr>
          </w:p>
          <w:p>
            <w:pPr>
              <w:spacing w:line="360" w:lineRule="auto"/>
              <w:jc w:val="center"/>
              <w:rPr>
                <w:color w:val="auto"/>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drawing>
                <wp:inline distT="0" distB="0" distL="114300" distR="114300">
                  <wp:extent cx="5495290" cy="3428365"/>
                  <wp:effectExtent l="0" t="0" r="10160"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
                          <a:stretch>
                            <a:fillRect/>
                          </a:stretch>
                        </pic:blipFill>
                        <pic:spPr>
                          <a:xfrm>
                            <a:off x="0" y="0"/>
                            <a:ext cx="5495290" cy="34283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rPr>
                <w:rFonts w:hint="eastAsia" w:hAnsi="宋体"/>
                <w:b/>
                <w:bCs/>
                <w:color w:val="auto"/>
                <w:u w:val="none"/>
              </w:rPr>
              <w:t>图2 项目土壤修复区、负压大棚平面</w:t>
            </w:r>
            <w:r>
              <w:rPr>
                <w:rFonts w:hint="eastAsia" w:hAnsi="宋体"/>
                <w:b/>
                <w:bCs/>
                <w:color w:val="auto"/>
                <w:u w:val="none"/>
                <w:lang w:eastAsia="zh-CN"/>
              </w:rPr>
              <w:t>分布</w:t>
            </w:r>
            <w:r>
              <w:rPr>
                <w:rFonts w:hint="eastAsia" w:hAnsi="宋体"/>
                <w:b/>
                <w:bCs/>
                <w:color w:val="auto"/>
                <w:u w:val="none"/>
              </w:rPr>
              <w:t>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rPr>
            </w:pPr>
            <w:bookmarkStart w:id="3" w:name="_Toc287535109"/>
            <w:r>
              <w:rPr>
                <w:rFonts w:hint="eastAsia" w:hAnsi="宋体"/>
                <w:b/>
                <w:color w:val="auto"/>
                <w:sz w:val="24"/>
                <w:szCs w:val="24"/>
                <w:lang w:val="en-US" w:eastAsia="zh-CN"/>
              </w:rPr>
              <w:t>8</w:t>
            </w:r>
            <w:r>
              <w:rPr>
                <w:rFonts w:hAnsi="宋体"/>
                <w:b/>
                <w:color w:val="auto"/>
                <w:sz w:val="24"/>
                <w:szCs w:val="24"/>
              </w:rPr>
              <w:t>、给排水及公用工程</w:t>
            </w:r>
            <w:bookmarkEnd w:id="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w:t>
            </w:r>
            <w:r>
              <w:rPr>
                <w:color w:val="auto"/>
                <w:sz w:val="24"/>
                <w:szCs w:val="24"/>
              </w:rPr>
              <w:t>1</w:t>
            </w:r>
            <w:r>
              <w:rPr>
                <w:rFonts w:hAnsi="宋体"/>
                <w:color w:val="auto"/>
                <w:sz w:val="24"/>
                <w:szCs w:val="24"/>
              </w:rPr>
              <w:t>）给水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项目施工、生活供水水源为市政自来水管网，水源从项目</w:t>
            </w:r>
            <w:r>
              <w:rPr>
                <w:rFonts w:hint="eastAsia" w:hAnsi="宋体"/>
                <w:color w:val="auto"/>
                <w:sz w:val="24"/>
                <w:szCs w:val="24"/>
              </w:rPr>
              <w:t>北侧居民区</w:t>
            </w:r>
            <w:r>
              <w:rPr>
                <w:rFonts w:hAnsi="宋体"/>
                <w:color w:val="auto"/>
                <w:sz w:val="24"/>
                <w:szCs w:val="24"/>
              </w:rPr>
              <w:t>市政供水管网接管引入，水源充裕。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根据建设方提供的数据，项目用水主要为洗车用水、喷淋洒水、生活用水等，项目总新鲜水用量约为</w:t>
            </w:r>
            <w:r>
              <w:rPr>
                <w:rFonts w:hint="eastAsia" w:hAnsi="宋体"/>
                <w:color w:val="auto"/>
                <w:sz w:val="24"/>
                <w:szCs w:val="24"/>
                <w:lang w:val="en-US" w:eastAsia="zh-CN"/>
              </w:rPr>
              <w:t>6779.96</w:t>
            </w:r>
            <w:r>
              <w:rPr>
                <w:color w:val="auto"/>
                <w:sz w:val="24"/>
                <w:szCs w:val="24"/>
              </w:rPr>
              <w:t>t</w:t>
            </w:r>
            <w:r>
              <w:rPr>
                <w:rFonts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w:t>
            </w:r>
            <w:r>
              <w:rPr>
                <w:color w:val="auto"/>
                <w:sz w:val="24"/>
                <w:szCs w:val="24"/>
              </w:rPr>
              <w:t>2</w:t>
            </w:r>
            <w:r>
              <w:rPr>
                <w:rFonts w:hAnsi="宋体"/>
                <w:color w:val="auto"/>
                <w:sz w:val="24"/>
                <w:szCs w:val="24"/>
              </w:rPr>
              <w:t>）排水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int="eastAsia" w:hAnsi="宋体"/>
                <w:color w:val="auto"/>
                <w:sz w:val="24"/>
                <w:szCs w:val="24"/>
              </w:rPr>
              <w:t>污染土壤开挖场地、运输道路及稳定化场四周设置截流沟，截流的场地雨水引入废水收集池，设置场地雨水切换装置，后期清净雨水切换至排水沟直排。</w:t>
            </w:r>
            <w:r>
              <w:rPr>
                <w:rFonts w:hAnsi="宋体"/>
                <w:color w:val="auto"/>
                <w:sz w:val="24"/>
                <w:szCs w:val="24"/>
              </w:rPr>
              <w:t>项目土壤治理区、稳定化场及</w:t>
            </w:r>
            <w:r>
              <w:rPr>
                <w:rFonts w:hint="eastAsia" w:hAnsi="宋体"/>
                <w:color w:val="auto"/>
                <w:sz w:val="24"/>
                <w:szCs w:val="24"/>
              </w:rPr>
              <w:t>车辆清洗平台</w:t>
            </w:r>
            <w:r>
              <w:rPr>
                <w:rFonts w:hAnsi="宋体"/>
                <w:color w:val="auto"/>
                <w:sz w:val="24"/>
                <w:szCs w:val="24"/>
              </w:rPr>
              <w:t>设置废水收集管网</w:t>
            </w:r>
            <w:r>
              <w:rPr>
                <w:rFonts w:hint="eastAsia" w:hAnsi="宋体"/>
                <w:color w:val="auto"/>
                <w:sz w:val="24"/>
                <w:szCs w:val="24"/>
              </w:rPr>
              <w:t>，</w:t>
            </w:r>
            <w:r>
              <w:rPr>
                <w:rFonts w:hAnsi="宋体"/>
                <w:color w:val="auto"/>
                <w:sz w:val="24"/>
                <w:szCs w:val="24"/>
              </w:rPr>
              <w:t>产生的</w:t>
            </w:r>
            <w:r>
              <w:rPr>
                <w:rFonts w:hint="eastAsia" w:hAnsi="宋体"/>
                <w:color w:val="auto"/>
                <w:sz w:val="24"/>
                <w:szCs w:val="24"/>
              </w:rPr>
              <w:t>洗车废水</w:t>
            </w:r>
            <w:r>
              <w:rPr>
                <w:rFonts w:hAnsi="宋体"/>
                <w:color w:val="auto"/>
                <w:sz w:val="24"/>
                <w:szCs w:val="24"/>
              </w:rPr>
              <w:t>、</w:t>
            </w:r>
            <w:r>
              <w:rPr>
                <w:rFonts w:hint="eastAsia" w:hAnsi="宋体"/>
                <w:color w:val="auto"/>
                <w:sz w:val="24"/>
                <w:szCs w:val="24"/>
              </w:rPr>
              <w:t>基坑</w:t>
            </w:r>
            <w:r>
              <w:rPr>
                <w:rFonts w:hAnsi="宋体"/>
                <w:color w:val="auto"/>
                <w:sz w:val="24"/>
                <w:szCs w:val="24"/>
              </w:rPr>
              <w:t>积水、施工开挖抽取的上层滞水等经废水收集管网</w:t>
            </w:r>
            <w:r>
              <w:rPr>
                <w:rFonts w:hint="eastAsia" w:hAnsi="宋体"/>
                <w:color w:val="auto"/>
                <w:sz w:val="24"/>
                <w:szCs w:val="24"/>
              </w:rPr>
              <w:t>收集后经两级沉淀后</w:t>
            </w:r>
            <w:r>
              <w:rPr>
                <w:rFonts w:hint="eastAsia" w:hAnsi="宋体"/>
                <w:color w:val="auto"/>
                <w:sz w:val="24"/>
                <w:szCs w:val="24"/>
                <w:lang w:eastAsia="zh-CN"/>
              </w:rPr>
              <w:t>采用槽罐车运输至有处理能力的污水处理厂或企业污水处理装置处理。</w:t>
            </w:r>
            <w:r>
              <w:rPr>
                <w:rFonts w:hAnsi="宋体"/>
                <w:bCs/>
                <w:color w:val="auto"/>
                <w:sz w:val="24"/>
                <w:szCs w:val="24"/>
              </w:rPr>
              <w:t>生活污水经简易化粪池处理后</w:t>
            </w:r>
            <w:r>
              <w:rPr>
                <w:rFonts w:hint="eastAsia" w:hAnsi="宋体"/>
                <w:bCs/>
                <w:color w:val="auto"/>
                <w:sz w:val="24"/>
                <w:szCs w:val="24"/>
              </w:rPr>
              <w:t>由</w:t>
            </w:r>
            <w:r>
              <w:rPr>
                <w:rFonts w:hAnsi="宋体"/>
                <w:bCs/>
                <w:color w:val="auto"/>
                <w:sz w:val="24"/>
                <w:szCs w:val="24"/>
              </w:rPr>
              <w:t>周边居民运作农肥，不外排。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w:t>
            </w:r>
            <w:r>
              <w:rPr>
                <w:color w:val="auto"/>
                <w:sz w:val="24"/>
                <w:szCs w:val="24"/>
              </w:rPr>
              <w:t>3</w:t>
            </w:r>
            <w:r>
              <w:rPr>
                <w:rFonts w:hAnsi="宋体"/>
                <w:color w:val="auto"/>
                <w:sz w:val="24"/>
                <w:szCs w:val="24"/>
              </w:rPr>
              <w:t>）供配电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本项目所在地配套有完善的市政电网及相关配套设施，能满足本项目的供配电需要，用电量约</w:t>
            </w:r>
            <w:r>
              <w:rPr>
                <w:color w:val="auto"/>
                <w:sz w:val="24"/>
                <w:szCs w:val="24"/>
              </w:rPr>
              <w:t>1000</w:t>
            </w:r>
            <w:r>
              <w:rPr>
                <w:rFonts w:hAnsi="宋体"/>
                <w:color w:val="auto"/>
                <w:sz w:val="24"/>
                <w:szCs w:val="24"/>
              </w:rPr>
              <w:t>度</w:t>
            </w:r>
            <w:r>
              <w:rPr>
                <w:color w:val="auto"/>
                <w:sz w:val="24"/>
                <w:szCs w:val="24"/>
              </w:rPr>
              <w:t>/</w:t>
            </w:r>
            <w:r>
              <w:rPr>
                <w:rFonts w:hAnsi="宋体"/>
                <w:color w:val="auto"/>
                <w:sz w:val="24"/>
                <w:szCs w:val="24"/>
              </w:rPr>
              <w:t>天。配</w:t>
            </w:r>
            <w:r>
              <w:rPr>
                <w:color w:val="auto"/>
                <w:sz w:val="24"/>
                <w:szCs w:val="24"/>
              </w:rPr>
              <w:t>2</w:t>
            </w:r>
            <w:r>
              <w:rPr>
                <w:rFonts w:hAnsi="宋体"/>
                <w:color w:val="auto"/>
                <w:sz w:val="24"/>
                <w:szCs w:val="24"/>
              </w:rPr>
              <w:t>台柴油发电机，一备一用，功率</w:t>
            </w:r>
            <w:r>
              <w:rPr>
                <w:color w:val="auto"/>
                <w:sz w:val="24"/>
                <w:szCs w:val="24"/>
              </w:rPr>
              <w:t>250kW</w:t>
            </w:r>
            <w:r>
              <w:rPr>
                <w:rFonts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rPr>
            </w:pPr>
            <w:bookmarkStart w:id="4" w:name="_Toc287535110"/>
            <w:r>
              <w:rPr>
                <w:rFonts w:hint="eastAsia" w:hAnsi="宋体"/>
                <w:b/>
                <w:color w:val="auto"/>
                <w:sz w:val="24"/>
                <w:szCs w:val="24"/>
                <w:lang w:val="en-US" w:eastAsia="zh-CN"/>
              </w:rPr>
              <w:t>9</w:t>
            </w:r>
            <w:r>
              <w:rPr>
                <w:rFonts w:hAnsi="宋体"/>
                <w:b/>
                <w:color w:val="auto"/>
                <w:sz w:val="24"/>
                <w:szCs w:val="24"/>
              </w:rPr>
              <w:t>、劳动定员和工作制度</w:t>
            </w:r>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90"/>
              <w:jc w:val="both"/>
              <w:textAlignment w:val="auto"/>
              <w:outlineLvl w:val="9"/>
              <w:rPr>
                <w:color w:val="auto"/>
                <w:sz w:val="24"/>
                <w:szCs w:val="24"/>
              </w:rPr>
            </w:pPr>
            <w:r>
              <w:rPr>
                <w:rFonts w:hAnsi="宋体"/>
                <w:color w:val="auto"/>
                <w:sz w:val="24"/>
                <w:szCs w:val="24"/>
              </w:rPr>
              <w:t>根据建设方提供的资料，本项目实施期间员工约</w:t>
            </w:r>
            <w:r>
              <w:rPr>
                <w:color w:val="auto"/>
                <w:sz w:val="24"/>
                <w:szCs w:val="24"/>
              </w:rPr>
              <w:t>20</w:t>
            </w:r>
            <w:r>
              <w:rPr>
                <w:rFonts w:hAnsi="宋体"/>
                <w:color w:val="auto"/>
                <w:sz w:val="24"/>
                <w:szCs w:val="24"/>
              </w:rPr>
              <w:t>人，均不在厂内食宿，仅留</w:t>
            </w:r>
            <w:r>
              <w:rPr>
                <w:color w:val="auto"/>
                <w:sz w:val="24"/>
                <w:szCs w:val="24"/>
              </w:rPr>
              <w:t>1</w:t>
            </w:r>
            <w:r>
              <w:rPr>
                <w:rFonts w:hAnsi="宋体"/>
                <w:color w:val="auto"/>
                <w:sz w:val="24"/>
                <w:szCs w:val="24"/>
              </w:rPr>
              <w:t>个夜间值班人员。生产班制为每天</w:t>
            </w:r>
            <w:r>
              <w:rPr>
                <w:color w:val="auto"/>
                <w:sz w:val="24"/>
                <w:szCs w:val="24"/>
              </w:rPr>
              <w:t>1</w:t>
            </w:r>
            <w:r>
              <w:rPr>
                <w:rFonts w:hAnsi="宋体"/>
                <w:color w:val="auto"/>
                <w:sz w:val="24"/>
                <w:szCs w:val="24"/>
              </w:rPr>
              <w:t>班，每班</w:t>
            </w:r>
            <w:r>
              <w:rPr>
                <w:color w:val="auto"/>
                <w:sz w:val="24"/>
                <w:szCs w:val="24"/>
              </w:rPr>
              <w:t>12</w:t>
            </w:r>
            <w:r>
              <w:rPr>
                <w:rFonts w:hAnsi="宋体"/>
                <w:color w:val="auto"/>
                <w:sz w:val="24"/>
                <w:szCs w:val="24"/>
              </w:rPr>
              <w:t>小时工作制，本项目实施工期约</w:t>
            </w:r>
            <w:r>
              <w:rPr>
                <w:rFonts w:hint="eastAsia"/>
                <w:color w:val="auto"/>
                <w:sz w:val="24"/>
                <w:szCs w:val="24"/>
              </w:rPr>
              <w:t>4</w:t>
            </w:r>
            <w:r>
              <w:rPr>
                <w:rFonts w:hAnsi="宋体"/>
                <w:color w:val="auto"/>
                <w:sz w:val="24"/>
                <w:szCs w:val="24"/>
              </w:rPr>
              <w:t>个月，其中土壤开挖、修复期约</w:t>
            </w:r>
            <w:r>
              <w:rPr>
                <w:rFonts w:hint="eastAsia"/>
                <w:color w:val="auto"/>
                <w:sz w:val="24"/>
                <w:szCs w:val="24"/>
              </w:rPr>
              <w:t>90</w:t>
            </w:r>
            <w:r>
              <w:rPr>
                <w:rFonts w:hAnsi="宋体"/>
                <w:color w:val="auto"/>
                <w:sz w:val="24"/>
                <w:szCs w:val="24"/>
              </w:rPr>
              <w:t>天，施工准备及生态恢复</w:t>
            </w:r>
            <w:r>
              <w:rPr>
                <w:rFonts w:hint="eastAsia" w:hAnsi="宋体"/>
                <w:color w:val="auto"/>
                <w:sz w:val="24"/>
                <w:szCs w:val="24"/>
              </w:rPr>
              <w:t>约</w:t>
            </w:r>
            <w:r>
              <w:rPr>
                <w:rFonts w:hint="eastAsia"/>
                <w:color w:val="auto"/>
                <w:sz w:val="24"/>
                <w:szCs w:val="24"/>
              </w:rPr>
              <w:t>3</w:t>
            </w:r>
            <w:r>
              <w:rPr>
                <w:rFonts w:hAnsi="宋体"/>
                <w:color w:val="auto"/>
                <w:sz w:val="24"/>
                <w:szCs w:val="24"/>
              </w:rPr>
              <w:t>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rPr>
            </w:pPr>
            <w:r>
              <w:rPr>
                <w:rFonts w:hint="eastAsia" w:hAnsi="宋体"/>
                <w:b/>
                <w:color w:val="auto"/>
                <w:sz w:val="24"/>
                <w:szCs w:val="24"/>
                <w:lang w:val="en-US" w:eastAsia="zh-CN"/>
              </w:rPr>
              <w:t>10</w:t>
            </w:r>
            <w:r>
              <w:rPr>
                <w:rFonts w:hAnsi="宋体"/>
                <w:b/>
                <w:color w:val="auto"/>
                <w:sz w:val="24"/>
                <w:szCs w:val="24"/>
              </w:rPr>
              <w:t>、施工进度安排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90"/>
              <w:jc w:val="both"/>
              <w:textAlignment w:val="auto"/>
              <w:outlineLvl w:val="9"/>
              <w:rPr>
                <w:rFonts w:hAnsi="宋体"/>
                <w:color w:val="auto"/>
                <w:sz w:val="24"/>
                <w:szCs w:val="24"/>
              </w:rPr>
            </w:pPr>
            <w:r>
              <w:rPr>
                <w:color w:val="auto"/>
                <w:sz w:val="24"/>
                <w:szCs w:val="24"/>
              </w:rPr>
              <w:t>2017</w:t>
            </w:r>
            <w:r>
              <w:rPr>
                <w:rFonts w:hAnsi="宋体"/>
                <w:color w:val="auto"/>
                <w:sz w:val="24"/>
                <w:szCs w:val="24"/>
              </w:rPr>
              <w:t>年</w:t>
            </w:r>
            <w:r>
              <w:rPr>
                <w:rFonts w:hint="eastAsia"/>
                <w:color w:val="auto"/>
                <w:sz w:val="24"/>
                <w:szCs w:val="24"/>
              </w:rPr>
              <w:t>11</w:t>
            </w:r>
            <w:r>
              <w:rPr>
                <w:rFonts w:hAnsi="宋体"/>
                <w:color w:val="auto"/>
                <w:sz w:val="24"/>
                <w:szCs w:val="24"/>
              </w:rPr>
              <w:t>月完成申报工作；</w:t>
            </w:r>
            <w:r>
              <w:rPr>
                <w:color w:val="auto"/>
                <w:sz w:val="24"/>
                <w:szCs w:val="24"/>
              </w:rPr>
              <w:t>2017</w:t>
            </w:r>
            <w:r>
              <w:rPr>
                <w:rFonts w:hAnsi="宋体"/>
                <w:color w:val="auto"/>
                <w:sz w:val="24"/>
                <w:szCs w:val="24"/>
              </w:rPr>
              <w:t>年</w:t>
            </w:r>
            <w:r>
              <w:rPr>
                <w:rFonts w:hint="eastAsia"/>
                <w:color w:val="auto"/>
                <w:sz w:val="24"/>
                <w:szCs w:val="24"/>
              </w:rPr>
              <w:t>11</w:t>
            </w:r>
            <w:r>
              <w:rPr>
                <w:rFonts w:hAnsi="宋体"/>
                <w:color w:val="auto"/>
                <w:sz w:val="24"/>
                <w:szCs w:val="24"/>
              </w:rPr>
              <w:t>月完成施工图设计及评审工作；</w:t>
            </w:r>
            <w:r>
              <w:rPr>
                <w:color w:val="auto"/>
                <w:sz w:val="24"/>
                <w:szCs w:val="24"/>
              </w:rPr>
              <w:t>2017</w:t>
            </w:r>
            <w:r>
              <w:rPr>
                <w:rFonts w:hAnsi="宋体"/>
                <w:color w:val="auto"/>
                <w:sz w:val="24"/>
                <w:szCs w:val="24"/>
              </w:rPr>
              <w:t>年</w:t>
            </w:r>
            <w:r>
              <w:rPr>
                <w:rFonts w:hint="eastAsia"/>
                <w:color w:val="auto"/>
                <w:sz w:val="24"/>
                <w:szCs w:val="24"/>
              </w:rPr>
              <w:t>11</w:t>
            </w:r>
            <w:r>
              <w:rPr>
                <w:rFonts w:hAnsi="宋体"/>
                <w:color w:val="auto"/>
                <w:sz w:val="24"/>
                <w:szCs w:val="24"/>
              </w:rPr>
              <w:t>月完成招投标工作；</w:t>
            </w:r>
            <w:r>
              <w:rPr>
                <w:color w:val="auto"/>
                <w:sz w:val="24"/>
                <w:szCs w:val="24"/>
              </w:rPr>
              <w:t>2017</w:t>
            </w:r>
            <w:r>
              <w:rPr>
                <w:rFonts w:hAnsi="宋体"/>
                <w:color w:val="auto"/>
                <w:sz w:val="24"/>
                <w:szCs w:val="24"/>
              </w:rPr>
              <w:t>年</w:t>
            </w:r>
            <w:r>
              <w:rPr>
                <w:rFonts w:hint="eastAsia"/>
                <w:color w:val="auto"/>
                <w:sz w:val="24"/>
                <w:szCs w:val="24"/>
              </w:rPr>
              <w:t>12</w:t>
            </w:r>
            <w:r>
              <w:rPr>
                <w:rFonts w:hAnsi="宋体"/>
                <w:color w:val="auto"/>
                <w:sz w:val="24"/>
                <w:szCs w:val="24"/>
              </w:rPr>
              <w:t>月开工建设；</w:t>
            </w:r>
            <w:r>
              <w:rPr>
                <w:color w:val="auto"/>
                <w:sz w:val="24"/>
                <w:szCs w:val="24"/>
              </w:rPr>
              <w:t>2018</w:t>
            </w:r>
            <w:r>
              <w:rPr>
                <w:rFonts w:hAnsi="宋体"/>
                <w:color w:val="auto"/>
                <w:sz w:val="24"/>
                <w:szCs w:val="24"/>
              </w:rPr>
              <w:t>年</w:t>
            </w:r>
            <w:r>
              <w:rPr>
                <w:rFonts w:hint="eastAsia"/>
                <w:color w:val="auto"/>
                <w:sz w:val="24"/>
                <w:szCs w:val="24"/>
              </w:rPr>
              <w:t>2</w:t>
            </w:r>
            <w:r>
              <w:rPr>
                <w:rFonts w:hAnsi="宋体"/>
                <w:color w:val="auto"/>
                <w:sz w:val="24"/>
                <w:szCs w:val="24"/>
              </w:rPr>
              <w:t>月完成项目施工；</w:t>
            </w:r>
            <w:r>
              <w:rPr>
                <w:color w:val="auto"/>
                <w:sz w:val="24"/>
                <w:szCs w:val="24"/>
              </w:rPr>
              <w:t>2018</w:t>
            </w:r>
            <w:r>
              <w:rPr>
                <w:rFonts w:hAnsi="宋体"/>
                <w:color w:val="auto"/>
                <w:sz w:val="24"/>
                <w:szCs w:val="24"/>
              </w:rPr>
              <w:t>年</w:t>
            </w:r>
            <w:r>
              <w:rPr>
                <w:rFonts w:hint="eastAsia"/>
                <w:color w:val="auto"/>
                <w:sz w:val="24"/>
                <w:szCs w:val="24"/>
              </w:rPr>
              <w:t>3</w:t>
            </w:r>
            <w:r>
              <w:rPr>
                <w:rFonts w:hAnsi="宋体"/>
                <w:color w:val="auto"/>
                <w:sz w:val="24"/>
                <w:szCs w:val="24"/>
              </w:rPr>
              <w:t>月进行项目验收。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rPr>
            </w:pPr>
            <w:r>
              <w:rPr>
                <w:rFonts w:hint="eastAsia"/>
                <w:b/>
                <w:color w:val="auto"/>
                <w:sz w:val="24"/>
                <w:szCs w:val="24"/>
              </w:rPr>
              <w:t>1</w:t>
            </w:r>
            <w:r>
              <w:rPr>
                <w:rFonts w:hint="eastAsia"/>
                <w:b/>
                <w:color w:val="auto"/>
                <w:sz w:val="24"/>
                <w:szCs w:val="24"/>
                <w:lang w:val="en-US" w:eastAsia="zh-CN"/>
              </w:rPr>
              <w:t>1</w:t>
            </w:r>
            <w:r>
              <w:rPr>
                <w:rFonts w:hAnsi="宋体"/>
                <w:b/>
                <w:color w:val="auto"/>
                <w:sz w:val="24"/>
                <w:szCs w:val="24"/>
              </w:rPr>
              <w:t>、</w:t>
            </w:r>
            <w:r>
              <w:rPr>
                <w:rFonts w:hint="eastAsia" w:hAnsi="宋体"/>
                <w:b/>
                <w:color w:val="auto"/>
                <w:sz w:val="24"/>
                <w:szCs w:val="24"/>
              </w:rPr>
              <w:t>土地利用现状及规划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int="eastAsia"/>
                <w:color w:val="auto"/>
                <w:sz w:val="24"/>
                <w:szCs w:val="24"/>
              </w:rPr>
              <w:t>本项目所在地原为</w:t>
            </w:r>
            <w:r>
              <w:rPr>
                <w:rFonts w:hint="eastAsia" w:hAnsi="宋体"/>
                <w:color w:val="auto"/>
                <w:sz w:val="24"/>
                <w:szCs w:val="24"/>
              </w:rPr>
              <w:t>三阳乡化学农药厂</w:t>
            </w:r>
            <w:r>
              <w:rPr>
                <w:rFonts w:hAnsi="宋体"/>
                <w:color w:val="auto"/>
                <w:sz w:val="24"/>
                <w:szCs w:val="24"/>
              </w:rPr>
              <w:t>旧址，</w:t>
            </w:r>
            <w:r>
              <w:rPr>
                <w:rFonts w:hint="eastAsia" w:hAnsi="宋体"/>
                <w:color w:val="auto"/>
                <w:sz w:val="24"/>
                <w:szCs w:val="24"/>
              </w:rPr>
              <w:t>由该公司向当地政府租用土地进行生产活动，该地块原为工业用地性质。</w:t>
            </w:r>
            <w:r>
              <w:rPr>
                <w:rFonts w:hAnsi="宋体"/>
                <w:color w:val="auto"/>
                <w:sz w:val="24"/>
                <w:szCs w:val="24"/>
                <w:u w:val="single"/>
              </w:rPr>
              <w:t>经有关部门批准后企业于</w:t>
            </w:r>
            <w:r>
              <w:rPr>
                <w:color w:val="auto"/>
                <w:sz w:val="24"/>
                <w:szCs w:val="24"/>
                <w:u w:val="single"/>
              </w:rPr>
              <w:t>200</w:t>
            </w:r>
            <w:r>
              <w:rPr>
                <w:rFonts w:hint="eastAsia"/>
                <w:color w:val="auto"/>
                <w:sz w:val="24"/>
                <w:szCs w:val="24"/>
                <w:u w:val="single"/>
              </w:rPr>
              <w:t>9</w:t>
            </w:r>
            <w:r>
              <w:rPr>
                <w:rFonts w:hAnsi="宋体"/>
                <w:color w:val="auto"/>
                <w:sz w:val="24"/>
                <w:szCs w:val="24"/>
                <w:u w:val="single"/>
              </w:rPr>
              <w:t>年关闭，关闭后原厂区形态基本保留，原有建筑和设施废弃空置</w:t>
            </w:r>
            <w:r>
              <w:rPr>
                <w:rFonts w:hint="eastAsia" w:hAnsi="宋体"/>
                <w:color w:val="auto"/>
                <w:sz w:val="24"/>
                <w:szCs w:val="24"/>
                <w:u w:val="single"/>
              </w:rPr>
              <w:t>，土地使用权归还湖南省岳阳市平江县城关镇人民政府。</w:t>
            </w:r>
            <w:r>
              <w:rPr>
                <w:rFonts w:hAnsi="宋体"/>
                <w:color w:val="auto"/>
                <w:sz w:val="24"/>
                <w:szCs w:val="24"/>
              </w:rPr>
              <w:t>根据平江县城关镇规划，原</w:t>
            </w:r>
            <w:r>
              <w:rPr>
                <w:rFonts w:hint="eastAsia" w:hAnsi="宋体"/>
                <w:color w:val="auto"/>
                <w:sz w:val="24"/>
                <w:szCs w:val="24"/>
              </w:rPr>
              <w:t>平江县原三阳乡化学农药厂厂区及附近区域均被规划为居民用地，不在风景区内。</w:t>
            </w:r>
            <w:r>
              <w:rPr>
                <w:rFonts w:hAnsi="宋体"/>
                <w:color w:val="auto"/>
                <w:sz w:val="24"/>
                <w:szCs w:val="24"/>
              </w:rPr>
              <w:t>本项目的实施可改善原</w:t>
            </w:r>
            <w:r>
              <w:rPr>
                <w:rFonts w:hint="eastAsia" w:hAnsi="宋体"/>
                <w:color w:val="auto"/>
                <w:sz w:val="24"/>
                <w:szCs w:val="24"/>
              </w:rPr>
              <w:t>三阳乡化学农药厂</w:t>
            </w:r>
            <w:r>
              <w:rPr>
                <w:rFonts w:hAnsi="宋体"/>
                <w:color w:val="auto"/>
                <w:sz w:val="24"/>
                <w:szCs w:val="24"/>
              </w:rPr>
              <w:t>对片区土壤的污染，使该地区的土壤质量得到提升，使区域回归自然生态，对于保护</w:t>
            </w:r>
            <w:r>
              <w:rPr>
                <w:rFonts w:hint="eastAsia" w:hAnsi="宋体"/>
                <w:color w:val="auto"/>
                <w:sz w:val="24"/>
                <w:szCs w:val="24"/>
              </w:rPr>
              <w:t>区域土壤及生活环境</w:t>
            </w:r>
            <w:r>
              <w:rPr>
                <w:rFonts w:hAnsi="宋体"/>
                <w:color w:val="auto"/>
                <w:sz w:val="24"/>
                <w:szCs w:val="24"/>
              </w:rPr>
              <w:t>有积极作用。</w:t>
            </w:r>
          </w:p>
          <w:p>
            <w:pPr>
              <w:spacing w:line="360" w:lineRule="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9286" w:type="dxa"/>
            <w:gridSpan w:val="8"/>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b/>
                <w:bCs/>
                <w:color w:val="auto"/>
                <w:sz w:val="24"/>
                <w:szCs w:val="24"/>
              </w:rPr>
            </w:pPr>
            <w:r>
              <w:rPr>
                <w:rFonts w:hAnsi="宋体"/>
                <w:b/>
                <w:bCs/>
                <w:color w:val="auto"/>
                <w:sz w:val="24"/>
                <w:szCs w:val="24"/>
              </w:rPr>
              <w:t>与本项目有关的原有污染源情况及主要环境问题：</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right="0" w:rightChars="0"/>
              <w:jc w:val="both"/>
              <w:textAlignment w:val="auto"/>
              <w:outlineLvl w:val="9"/>
              <w:rPr>
                <w:b/>
                <w:bCs/>
                <w:color w:val="auto"/>
                <w:sz w:val="24"/>
              </w:rPr>
            </w:pPr>
            <w:r>
              <w:rPr>
                <w:rFonts w:hAnsi="宋体"/>
                <w:b/>
                <w:bCs/>
                <w:color w:val="auto"/>
                <w:sz w:val="24"/>
              </w:rPr>
              <w:t>本项目地块原有企业污染情况及主要环境问题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color w:val="auto"/>
                <w:sz w:val="24"/>
              </w:rPr>
            </w:pPr>
            <w:r>
              <w:rPr>
                <w:rFonts w:hAnsi="宋体"/>
                <w:color w:val="auto"/>
                <w:sz w:val="24"/>
              </w:rPr>
              <w:t>本项目所在地为原</w:t>
            </w:r>
            <w:r>
              <w:rPr>
                <w:rFonts w:hint="eastAsia" w:hAnsi="宋体"/>
                <w:color w:val="auto"/>
                <w:sz w:val="24"/>
              </w:rPr>
              <w:t>平江县原三阳乡化学农药厂厂址</w:t>
            </w:r>
            <w:r>
              <w:rPr>
                <w:rFonts w:hAnsi="宋体"/>
                <w:color w:val="auto"/>
                <w:sz w:val="24"/>
              </w:rPr>
              <w:t>，占地面积约</w:t>
            </w:r>
            <w:r>
              <w:rPr>
                <w:rFonts w:hint="eastAsia"/>
                <w:snapToGrid w:val="0"/>
                <w:color w:val="auto"/>
                <w:kern w:val="0"/>
                <w:sz w:val="24"/>
              </w:rPr>
              <w:t>15339.777</w:t>
            </w:r>
            <w:r>
              <w:rPr>
                <w:color w:val="auto"/>
                <w:sz w:val="24"/>
              </w:rPr>
              <w:t>m</w:t>
            </w:r>
            <w:r>
              <w:rPr>
                <w:color w:val="auto"/>
                <w:sz w:val="24"/>
                <w:vertAlign w:val="superscript"/>
              </w:rPr>
              <w:t>2</w:t>
            </w:r>
            <w:r>
              <w:rPr>
                <w:rFonts w:hAnsi="宋体"/>
                <w:color w:val="auto"/>
                <w:sz w:val="24"/>
              </w:rPr>
              <w:t>，</w:t>
            </w:r>
            <w:r>
              <w:rPr>
                <w:rFonts w:hint="eastAsia" w:hAnsi="宋体"/>
                <w:color w:val="auto"/>
                <w:sz w:val="24"/>
              </w:rPr>
              <w:t>该农药厂成立于1987年，是以原药配稀释剂做成瓶装农药为生产工艺的农药生产企业</w:t>
            </w:r>
            <w:r>
              <w:rPr>
                <w:rFonts w:hAnsi="宋体"/>
                <w:color w:val="auto"/>
                <w:sz w:val="24"/>
              </w:rPr>
              <w:t>，</w:t>
            </w:r>
            <w:r>
              <w:rPr>
                <w:rFonts w:hint="eastAsia" w:hAnsi="宋体"/>
                <w:color w:val="auto"/>
                <w:sz w:val="24"/>
              </w:rPr>
              <w:t>农药厂成立初期，生产有机氯农药六六六及滴滴涕，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Ansi="宋体"/>
                <w:color w:val="auto"/>
                <w:sz w:val="24"/>
                <w:u w:val="single"/>
              </w:rPr>
            </w:pPr>
            <w:r>
              <w:rPr>
                <w:rFonts w:hAnsi="宋体"/>
                <w:color w:val="auto"/>
                <w:sz w:val="24"/>
                <w:u w:val="single"/>
              </w:rPr>
              <w:t>由于原</w:t>
            </w:r>
            <w:r>
              <w:rPr>
                <w:rFonts w:hint="eastAsia" w:hAnsi="宋体"/>
                <w:color w:val="auto"/>
                <w:sz w:val="24"/>
                <w:u w:val="single"/>
              </w:rPr>
              <w:t>平江县原三阳乡化学农药厂</w:t>
            </w:r>
            <w:r>
              <w:rPr>
                <w:rFonts w:hAnsi="宋体"/>
                <w:color w:val="auto"/>
                <w:sz w:val="24"/>
                <w:u w:val="single"/>
              </w:rPr>
              <w:t>生产过程中产生大量的废气、废水、废渣，废气超标排放、废水经简单处理排放，废渣乱堆乱放，严重污染环境，给厂区周边居民造成了严重危害。经有关部门批准后企业于</w:t>
            </w:r>
            <w:r>
              <w:rPr>
                <w:color w:val="auto"/>
                <w:sz w:val="24"/>
                <w:u w:val="single"/>
              </w:rPr>
              <w:t>200</w:t>
            </w:r>
            <w:r>
              <w:rPr>
                <w:rFonts w:hint="eastAsia"/>
                <w:color w:val="auto"/>
                <w:sz w:val="24"/>
                <w:u w:val="single"/>
              </w:rPr>
              <w:t>9</w:t>
            </w:r>
            <w:r>
              <w:rPr>
                <w:rFonts w:hAnsi="宋体"/>
                <w:color w:val="auto"/>
                <w:sz w:val="24"/>
                <w:u w:val="single"/>
              </w:rPr>
              <w:t>年关闭，</w:t>
            </w:r>
            <w:r>
              <w:rPr>
                <w:rFonts w:hAnsi="宋体"/>
                <w:color w:val="auto"/>
                <w:sz w:val="24"/>
              </w:rPr>
              <w:t>关闭后原厂区内相关设备绝大部分已经拆除，</w:t>
            </w:r>
            <w:r>
              <w:rPr>
                <w:rFonts w:hint="eastAsia" w:hAnsi="宋体"/>
                <w:color w:val="auto"/>
                <w:sz w:val="24"/>
              </w:rPr>
              <w:t>部分生产车间及仓库，车间及仓库内残存一些产品储罐与废弃设备。</w:t>
            </w:r>
            <w:r>
              <w:rPr>
                <w:rFonts w:hAnsi="宋体"/>
                <w:color w:val="auto"/>
                <w:sz w:val="24"/>
                <w:u w:val="single"/>
              </w:rPr>
              <w:t>经现场勘查，项目厂区部分区域现状情况如下：</w:t>
            </w:r>
          </w:p>
          <w:tbl>
            <w:tblPr>
              <w:tblStyle w:val="31"/>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7"/>
              <w:gridCol w:w="4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27" w:type="dxa"/>
                </w:tcPr>
                <w:p>
                  <w:pPr>
                    <w:snapToGrid w:val="0"/>
                    <w:spacing w:line="20" w:lineRule="exact"/>
                    <w:rPr>
                      <w:color w:val="auto"/>
                      <w:sz w:val="24"/>
                      <w:u w:val="single"/>
                    </w:rPr>
                  </w:pPr>
                  <w:r>
                    <w:rPr>
                      <w:color w:val="auto"/>
                    </w:rPr>
                    <w:drawing>
                      <wp:anchor distT="0" distB="0" distL="114300" distR="114300" simplePos="0" relativeHeight="251674624" behindDoc="0" locked="0" layoutInCell="1" allowOverlap="1">
                        <wp:simplePos x="0" y="0"/>
                        <wp:positionH relativeFrom="column">
                          <wp:posOffset>-1270</wp:posOffset>
                        </wp:positionH>
                        <wp:positionV relativeFrom="paragraph">
                          <wp:posOffset>1270</wp:posOffset>
                        </wp:positionV>
                        <wp:extent cx="2713355" cy="2190750"/>
                        <wp:effectExtent l="0" t="0" r="0" b="0"/>
                        <wp:wrapSquare wrapText="bothSides"/>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13355" cy="2190750"/>
                                </a:xfrm>
                                <a:prstGeom prst="rect">
                                  <a:avLst/>
                                </a:prstGeom>
                              </pic:spPr>
                            </pic:pic>
                          </a:graphicData>
                        </a:graphic>
                      </wp:anchor>
                    </w:drawing>
                  </w:r>
                </w:p>
              </w:tc>
              <w:tc>
                <w:tcPr>
                  <w:tcW w:w="4528" w:type="dxa"/>
                </w:tcPr>
                <w:p>
                  <w:pPr>
                    <w:snapToGrid w:val="0"/>
                    <w:spacing w:line="20" w:lineRule="exact"/>
                    <w:rPr>
                      <w:color w:val="auto"/>
                      <w:sz w:val="24"/>
                      <w:u w:val="single"/>
                    </w:rPr>
                  </w:pPr>
                  <w:r>
                    <w:rPr>
                      <w:color w:val="auto"/>
                    </w:rPr>
                    <w:drawing>
                      <wp:anchor distT="0" distB="0" distL="114300" distR="114300" simplePos="0" relativeHeight="251675648" behindDoc="0" locked="0" layoutInCell="1" allowOverlap="1">
                        <wp:simplePos x="0" y="0"/>
                        <wp:positionH relativeFrom="column">
                          <wp:posOffset>-27305</wp:posOffset>
                        </wp:positionH>
                        <wp:positionV relativeFrom="paragraph">
                          <wp:posOffset>1270</wp:posOffset>
                        </wp:positionV>
                        <wp:extent cx="2714625" cy="2190750"/>
                        <wp:effectExtent l="0" t="0" r="9525" b="0"/>
                        <wp:wrapSquare wrapText="bothSides"/>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14625" cy="21907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27" w:type="dxa"/>
                </w:tcPr>
                <w:p>
                  <w:pPr>
                    <w:snapToGrid w:val="0"/>
                    <w:spacing w:line="20" w:lineRule="exact"/>
                    <w:rPr>
                      <w:color w:val="auto"/>
                      <w:sz w:val="24"/>
                      <w:u w:val="single"/>
                    </w:rPr>
                  </w:pPr>
                  <w:r>
                    <w:rPr>
                      <w:color w:val="auto"/>
                    </w:rPr>
                    <w:drawing>
                      <wp:anchor distT="0" distB="0" distL="114300" distR="114300" simplePos="0" relativeHeight="251676672" behindDoc="0" locked="0" layoutInCell="1" allowOverlap="1">
                        <wp:simplePos x="0" y="0"/>
                        <wp:positionH relativeFrom="column">
                          <wp:posOffset>-635</wp:posOffset>
                        </wp:positionH>
                        <wp:positionV relativeFrom="paragraph">
                          <wp:posOffset>40640</wp:posOffset>
                        </wp:positionV>
                        <wp:extent cx="2714625" cy="2305050"/>
                        <wp:effectExtent l="0" t="0" r="9525" b="0"/>
                        <wp:wrapSquare wrapText="bothSides"/>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14625" cy="2305050"/>
                                </a:xfrm>
                                <a:prstGeom prst="rect">
                                  <a:avLst/>
                                </a:prstGeom>
                              </pic:spPr>
                            </pic:pic>
                          </a:graphicData>
                        </a:graphic>
                      </wp:anchor>
                    </w:drawing>
                  </w:r>
                </w:p>
              </w:tc>
              <w:tc>
                <w:tcPr>
                  <w:tcW w:w="4528" w:type="dxa"/>
                </w:tcPr>
                <w:p>
                  <w:pPr>
                    <w:snapToGrid w:val="0"/>
                    <w:spacing w:line="20" w:lineRule="exact"/>
                    <w:rPr>
                      <w:color w:val="auto"/>
                      <w:sz w:val="24"/>
                      <w:u w:val="single"/>
                    </w:rPr>
                  </w:pPr>
                  <w:r>
                    <w:rPr>
                      <w:color w:val="auto"/>
                    </w:rPr>
                    <w:drawing>
                      <wp:anchor distT="0" distB="0" distL="114300" distR="114300" simplePos="0" relativeHeight="251677696" behindDoc="0" locked="0" layoutInCell="1" allowOverlap="1">
                        <wp:simplePos x="0" y="0"/>
                        <wp:positionH relativeFrom="column">
                          <wp:posOffset>27940</wp:posOffset>
                        </wp:positionH>
                        <wp:positionV relativeFrom="paragraph">
                          <wp:posOffset>50800</wp:posOffset>
                        </wp:positionV>
                        <wp:extent cx="2724150" cy="2343150"/>
                        <wp:effectExtent l="0" t="0" r="0" b="0"/>
                        <wp:wrapSquare wrapText="bothSides"/>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24150" cy="234315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rPr>
                <w:rFonts w:hint="eastAsia" w:hAnsi="宋体"/>
                <w:b/>
                <w:bCs/>
                <w:color w:val="auto"/>
                <w:u w:val="none"/>
              </w:rPr>
              <w:t>图</w:t>
            </w:r>
            <w:r>
              <w:rPr>
                <w:rFonts w:hint="eastAsia" w:hAnsi="宋体"/>
                <w:b/>
                <w:bCs/>
                <w:color w:val="auto"/>
                <w:u w:val="none"/>
                <w:lang w:val="en-US" w:eastAsia="zh-CN"/>
              </w:rPr>
              <w:t>3</w:t>
            </w:r>
            <w:r>
              <w:rPr>
                <w:rFonts w:hint="eastAsia" w:hAnsi="宋体"/>
                <w:b/>
                <w:bCs/>
                <w:color w:val="auto"/>
                <w:u w:val="none"/>
              </w:rPr>
              <w:t xml:space="preserve">  厂房内现状照</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rPr>
                <w:rFonts w:hint="eastAsia" w:hAnsi="宋体"/>
                <w:b/>
                <w:bCs/>
                <w:color w:val="auto"/>
                <w:sz w:val="24"/>
                <w:szCs w:val="24"/>
                <w:u w:val="single"/>
                <w:lang w:val="en-US" w:eastAsia="zh-CN"/>
              </w:rPr>
            </w:pPr>
            <w:r>
              <w:rPr>
                <w:rFonts w:hint="eastAsia" w:hAnsi="宋体"/>
                <w:b/>
                <w:bCs/>
                <w:color w:val="auto"/>
                <w:sz w:val="24"/>
                <w:szCs w:val="24"/>
                <w:u w:val="single"/>
                <w:lang w:val="en-US" w:eastAsia="zh-CN"/>
              </w:rPr>
              <w:t>2、原有企业主要生产工艺及污染迁移机制</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hAnsi="宋体"/>
                <w:color w:val="auto"/>
                <w:sz w:val="24"/>
                <w:szCs w:val="24"/>
                <w:u w:val="single"/>
                <w:lang w:eastAsia="zh-CN"/>
              </w:rPr>
            </w:pPr>
            <w:r>
              <w:rPr>
                <w:rFonts w:hAnsi="宋体"/>
                <w:color w:val="auto"/>
                <w:sz w:val="24"/>
                <w:szCs w:val="24"/>
                <w:u w:val="single"/>
              </w:rPr>
              <w:t>平江县三阳化学农药厂</w:t>
            </w:r>
            <w:r>
              <w:rPr>
                <w:rFonts w:hint="eastAsia" w:hAnsi="宋体"/>
                <w:color w:val="auto"/>
                <w:sz w:val="24"/>
                <w:szCs w:val="24"/>
                <w:u w:val="single"/>
              </w:rPr>
              <w:t>主要生产农药</w:t>
            </w:r>
            <w:r>
              <w:rPr>
                <w:rFonts w:hint="eastAsia" w:hAnsi="宋体"/>
                <w:color w:val="auto"/>
                <w:sz w:val="24"/>
                <w:szCs w:val="24"/>
                <w:u w:val="single"/>
                <w:lang w:eastAsia="zh-CN"/>
              </w:rPr>
              <w:t>。根据《场地调查报告》可知，本项目土壤主要受到六六六、</w:t>
            </w:r>
            <w:r>
              <w:rPr>
                <w:rFonts w:hint="eastAsia" w:hAnsi="宋体"/>
                <w:color w:val="auto"/>
                <w:sz w:val="24"/>
                <w:szCs w:val="24"/>
                <w:u w:val="single"/>
                <w:lang w:val="en-US" w:eastAsia="zh-CN"/>
              </w:rPr>
              <w:t>DDT污染，调查可知，</w:t>
            </w:r>
            <w:r>
              <w:rPr>
                <w:rFonts w:hAnsi="宋体"/>
                <w:color w:val="auto"/>
                <w:sz w:val="24"/>
                <w:szCs w:val="24"/>
                <w:u w:val="single"/>
              </w:rPr>
              <w:t>平江县</w:t>
            </w:r>
            <w:r>
              <w:rPr>
                <w:rFonts w:hint="eastAsia" w:hAnsi="宋体"/>
                <w:color w:val="auto"/>
                <w:sz w:val="24"/>
                <w:szCs w:val="24"/>
                <w:u w:val="single"/>
                <w:lang w:eastAsia="zh-CN"/>
              </w:rPr>
              <w:t>原</w:t>
            </w:r>
            <w:r>
              <w:rPr>
                <w:rFonts w:hAnsi="宋体"/>
                <w:color w:val="auto"/>
                <w:sz w:val="24"/>
                <w:szCs w:val="24"/>
                <w:u w:val="single"/>
              </w:rPr>
              <w:t>三阳化学农药厂</w:t>
            </w:r>
            <w:r>
              <w:rPr>
                <w:rFonts w:hint="eastAsia" w:hAnsi="宋体"/>
                <w:color w:val="auto"/>
                <w:sz w:val="24"/>
                <w:szCs w:val="24"/>
                <w:u w:val="single"/>
                <w:lang w:eastAsia="zh-CN"/>
              </w:rPr>
              <w:t>六六六、</w:t>
            </w:r>
            <w:r>
              <w:rPr>
                <w:rFonts w:hint="eastAsia" w:hAnsi="宋体"/>
                <w:color w:val="auto"/>
                <w:sz w:val="24"/>
                <w:szCs w:val="24"/>
                <w:u w:val="single"/>
                <w:lang w:val="en-US" w:eastAsia="zh-CN"/>
              </w:rPr>
              <w:t>DDT生产工艺如下所示：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hAnsi="宋体"/>
                <w:color w:val="auto"/>
                <w:sz w:val="24"/>
                <w:szCs w:val="24"/>
                <w:u w:val="single"/>
              </w:rPr>
            </w:pPr>
            <w:r>
              <w:rPr>
                <w:rFonts w:hint="eastAsia" w:hAnsi="宋体"/>
                <w:color w:val="auto"/>
                <w:sz w:val="24"/>
                <w:szCs w:val="24"/>
                <w:u w:val="single"/>
              </w:rPr>
              <w:t>六六六</w:t>
            </w:r>
            <w:r>
              <w:rPr>
                <w:rFonts w:hint="eastAsia" w:hAnsi="宋体"/>
                <w:color w:val="auto"/>
                <w:sz w:val="24"/>
                <w:szCs w:val="24"/>
                <w:u w:val="single"/>
                <w:lang w:eastAsia="zh-CN"/>
              </w:rPr>
              <w:t>生产工艺</w:t>
            </w:r>
            <w:r>
              <w:rPr>
                <w:rFonts w:hint="eastAsia" w:hAnsi="宋体"/>
                <w:color w:val="auto"/>
                <w:sz w:val="24"/>
                <w:szCs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hAnsi="宋体"/>
                <w:color w:val="auto"/>
                <w:sz w:val="24"/>
                <w:szCs w:val="24"/>
                <w:u w:val="single"/>
                <w:lang w:eastAsia="zh-CN"/>
              </w:rPr>
            </w:pPr>
            <w:r>
              <w:rPr>
                <w:rFonts w:hint="eastAsia" w:hAnsi="宋体"/>
                <w:color w:val="auto"/>
                <w:sz w:val="24"/>
                <w:szCs w:val="24"/>
                <w:u w:val="single"/>
                <w:lang w:eastAsia="zh-CN"/>
              </w:rPr>
              <w:t>六氯环己烷是通过在光照下将氯气通入纯苯中而植被的。这个过程得到的是六氯环己烷各种异构体的混合物，可以通过利用各异构体在有机容积中溶解度的不同，而将高含量的</w:t>
            </w:r>
            <w:r>
              <w:rPr>
                <w:rFonts w:hint="eastAsia" w:hAnsi="宋体"/>
                <w:color w:val="auto"/>
                <w:sz w:val="24"/>
                <w:szCs w:val="24"/>
                <w:u w:val="single"/>
                <w:lang w:val="en-US" w:eastAsia="zh-CN"/>
              </w:rPr>
              <w:t>r-异构体提取出来。主要反映方程式如下：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hAnsi="宋体"/>
                <w:color w:val="auto"/>
                <w:sz w:val="24"/>
                <w:szCs w:val="24"/>
                <w:u w:val="single"/>
              </w:rPr>
            </w:pPr>
            <w:r>
              <w:rPr>
                <w:color w:val="auto"/>
                <w:sz w:val="24"/>
                <w:szCs w:val="24"/>
                <w:u w:val="single"/>
              </w:rPr>
              <w:drawing>
                <wp:anchor distT="0" distB="0" distL="114300" distR="114300" simplePos="0" relativeHeight="251678720" behindDoc="0" locked="0" layoutInCell="1" allowOverlap="1">
                  <wp:simplePos x="0" y="0"/>
                  <wp:positionH relativeFrom="column">
                    <wp:posOffset>1746885</wp:posOffset>
                  </wp:positionH>
                  <wp:positionV relativeFrom="paragraph">
                    <wp:posOffset>3175</wp:posOffset>
                  </wp:positionV>
                  <wp:extent cx="2371725" cy="444500"/>
                  <wp:effectExtent l="0" t="0" r="9525" b="0"/>
                  <wp:wrapTopAndBottom/>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71725" cy="444500"/>
                          </a:xfrm>
                          <a:prstGeom prst="rect">
                            <a:avLst/>
                          </a:prstGeom>
                        </pic:spPr>
                      </pic:pic>
                    </a:graphicData>
                  </a:graphic>
                </wp:anchor>
              </w:drawing>
            </w:r>
            <w:r>
              <w:rPr>
                <w:rFonts w:hint="eastAsia" w:hAnsi="宋体"/>
                <w:color w:val="auto"/>
                <w:sz w:val="24"/>
                <w:szCs w:val="24"/>
                <w:u w:val="single"/>
              </w:rPr>
              <w:t>滴滴涕</w:t>
            </w:r>
            <w:r>
              <w:rPr>
                <w:rFonts w:hint="eastAsia" w:hAnsi="宋体"/>
                <w:color w:val="auto"/>
                <w:sz w:val="24"/>
                <w:szCs w:val="24"/>
                <w:u w:val="single"/>
                <w:lang w:eastAsia="zh-CN"/>
              </w:rPr>
              <w:t>生产工艺</w:t>
            </w:r>
            <w:r>
              <w:rPr>
                <w:rFonts w:hint="eastAsia" w:hAnsi="宋体"/>
                <w:color w:val="auto"/>
                <w:sz w:val="24"/>
                <w:szCs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hAnsi="宋体"/>
                <w:color w:val="auto"/>
                <w:sz w:val="24"/>
                <w:szCs w:val="24"/>
                <w:u w:val="single"/>
                <w:lang w:eastAsia="zh-CN"/>
              </w:rPr>
            </w:pPr>
            <w:r>
              <w:rPr>
                <w:rFonts w:hint="eastAsia" w:hAnsi="宋体"/>
                <w:color w:val="auto"/>
                <w:sz w:val="24"/>
                <w:szCs w:val="24"/>
                <w:u w:val="single"/>
                <w:lang w:eastAsia="zh-CN"/>
              </w:rPr>
              <w:t>双对氯苯基三氯乙烷在空气中和阳光下不易分解，在碱的作用下容易失去一分钟</w:t>
            </w:r>
            <w:r>
              <w:rPr>
                <w:rFonts w:hint="eastAsia" w:hAnsi="宋体"/>
                <w:color w:val="auto"/>
                <w:sz w:val="24"/>
                <w:szCs w:val="24"/>
                <w:u w:val="single"/>
                <w:lang w:val="en-US" w:eastAsia="zh-CN"/>
              </w:rPr>
              <w:t>HCL，被分解。DDT在工业上可有三氯乙醛或水合三氯乙醛与氯苯在浓硫酸或者发烟硫酸催化下缩合制的，其反应方程式如下：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Style w:val="100"/>
                <w:rFonts w:ascii="Times New Roman" w:eastAsia="宋体" w:cs="Times New Roman"/>
                <w:color w:val="auto"/>
                <w:sz w:val="24"/>
                <w:szCs w:val="24"/>
                <w:lang w:val="zh-TW"/>
              </w:rPr>
            </w:pPr>
            <w:r>
              <w:rPr>
                <w:rFonts w:hint="eastAsia" w:hAnsi="宋体"/>
                <w:b/>
                <w:bCs/>
                <w:color w:val="auto"/>
                <w:sz w:val="24"/>
                <w:szCs w:val="24"/>
                <w:u w:val="single"/>
              </w:rPr>
              <w:drawing>
                <wp:anchor distT="0" distB="0" distL="114300" distR="114300" simplePos="0" relativeHeight="251679744" behindDoc="0" locked="0" layoutInCell="1" allowOverlap="1">
                  <wp:simplePos x="0" y="0"/>
                  <wp:positionH relativeFrom="column">
                    <wp:posOffset>1159510</wp:posOffset>
                  </wp:positionH>
                  <wp:positionV relativeFrom="paragraph">
                    <wp:posOffset>635</wp:posOffset>
                  </wp:positionV>
                  <wp:extent cx="3524250" cy="488950"/>
                  <wp:effectExtent l="0" t="0" r="0" b="6350"/>
                  <wp:wrapTopAndBottom/>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24250" cy="488950"/>
                          </a:xfrm>
                          <a:prstGeom prst="rect">
                            <a:avLst/>
                          </a:prstGeom>
                        </pic:spPr>
                      </pic:pic>
                    </a:graphicData>
                  </a:graphic>
                </wp:anchor>
              </w:drawing>
            </w:r>
            <w:r>
              <w:rPr>
                <w:rStyle w:val="100"/>
                <w:rFonts w:hint="eastAsia" w:ascii="Times New Roman" w:hAnsi="宋体" w:eastAsia="宋体" w:cs="Times New Roman"/>
                <w:color w:val="auto"/>
                <w:sz w:val="24"/>
                <w:szCs w:val="24"/>
                <w:lang w:val="zh-TW"/>
              </w:rPr>
              <w:t>农药厂</w:t>
            </w:r>
            <w:r>
              <w:rPr>
                <w:rStyle w:val="100"/>
                <w:rFonts w:ascii="Times New Roman" w:hAnsi="宋体" w:eastAsia="宋体" w:cs="Times New Roman"/>
                <w:color w:val="auto"/>
                <w:sz w:val="24"/>
                <w:szCs w:val="24"/>
                <w:lang w:val="zh-TW"/>
              </w:rPr>
              <w:t>主要污染源及环境问题：</w:t>
            </w:r>
            <w:r>
              <w:rPr>
                <w:rStyle w:val="100"/>
                <w:rFonts w:hint="eastAsia" w:ascii="Times New Roman" w:hAnsi="宋体" w:eastAsia="宋体" w:cs="Times New Roman"/>
                <w:color w:val="auto"/>
                <w:sz w:val="24"/>
                <w:szCs w:val="24"/>
                <w:lang w:val="zh-TW"/>
              </w:rPr>
              <w:t>储罐等设备的原料泄漏污染土壤和大气，大气主要污染物为有机废气和土壤主要污染物为</w:t>
            </w:r>
            <w:r>
              <w:rPr>
                <w:rFonts w:hint="eastAsia" w:hAnsi="宋体"/>
                <w:color w:val="auto"/>
                <w:sz w:val="24"/>
                <w:szCs w:val="24"/>
              </w:rPr>
              <w:t>有机氯农药六六六及滴滴涕</w:t>
            </w:r>
            <w:r>
              <w:rPr>
                <w:rStyle w:val="100"/>
                <w:rFonts w:hint="eastAsia" w:ascii="Times New Roman" w:hAnsi="宋体" w:eastAsia="宋体" w:cs="Times New Roman"/>
                <w:color w:val="auto"/>
                <w:sz w:val="24"/>
                <w:szCs w:val="24"/>
                <w:lang w:val="zh-TW"/>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508" w:firstLineChars="200"/>
              <w:textAlignment w:val="auto"/>
              <w:rPr>
                <w:rFonts w:hAnsi="宋体"/>
                <w:color w:val="auto"/>
                <w:sz w:val="24"/>
                <w:szCs w:val="24"/>
              </w:rPr>
            </w:pPr>
            <w:r>
              <w:rPr>
                <w:rStyle w:val="100"/>
                <w:rFonts w:ascii="Times New Roman" w:hAnsi="宋体" w:eastAsia="宋体" w:cs="Times New Roman"/>
                <w:color w:val="auto"/>
                <w:sz w:val="24"/>
                <w:szCs w:val="24"/>
                <w:lang w:val="zh-TW" w:eastAsia="zh-TW"/>
              </w:rPr>
              <w:t>根据场地调查报告</w:t>
            </w:r>
            <w:r>
              <w:rPr>
                <w:rStyle w:val="100"/>
                <w:rFonts w:ascii="Times New Roman" w:hAnsi="宋体" w:eastAsia="宋体" w:cs="Times New Roman"/>
                <w:color w:val="auto"/>
                <w:sz w:val="24"/>
                <w:szCs w:val="24"/>
                <w:lang w:val="zh-TW"/>
              </w:rPr>
              <w:t>，</w:t>
            </w:r>
            <w:r>
              <w:rPr>
                <w:rStyle w:val="100"/>
                <w:rFonts w:hint="eastAsia" w:ascii="Times New Roman" w:hAnsi="宋体" w:eastAsia="宋体" w:cs="Times New Roman"/>
                <w:color w:val="auto"/>
                <w:sz w:val="24"/>
                <w:szCs w:val="24"/>
                <w:lang w:val="zh-TW"/>
              </w:rPr>
              <w:t>整个厂区及厂区上游部分区域普遍存在不同程度的有机污染，主要污染物为</w:t>
            </w:r>
            <w:r>
              <w:rPr>
                <w:rFonts w:hint="eastAsia" w:hAnsi="宋体"/>
                <w:color w:val="auto"/>
                <w:sz w:val="24"/>
                <w:szCs w:val="24"/>
              </w:rPr>
              <w:t>六六六和滴滴涕，范围较大，局部较深。根据地下水检测结果可知，地下水水质未受到污染，均未检出六六六和滴滴涕。</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Ansi="宋体"/>
                <w:color w:val="auto"/>
                <w:sz w:val="24"/>
                <w:szCs w:val="24"/>
              </w:rPr>
            </w:pPr>
            <w:r>
              <w:rPr>
                <w:rFonts w:hint="eastAsia" w:hAnsi="宋体"/>
                <w:color w:val="auto"/>
                <w:sz w:val="24"/>
                <w:szCs w:val="24"/>
              </w:rPr>
              <w:t>根据环境质量现状调查报告可知，区域环境空气中有机废气TVOC能达到《室内空气质量标准》（GB/T18883-2002）要求，区域环境空气质量较好。</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Ansi="宋体"/>
                <w:color w:val="auto"/>
                <w:sz w:val="24"/>
                <w:szCs w:val="24"/>
              </w:rPr>
            </w:pPr>
            <w:r>
              <w:rPr>
                <w:rFonts w:hint="eastAsia" w:hAnsi="宋体"/>
                <w:color w:val="auto"/>
                <w:sz w:val="24"/>
                <w:szCs w:val="24"/>
              </w:rPr>
              <w:t>本次主要针对污染的土壤进行修复治理。</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color w:val="auto"/>
                <w:sz w:val="24"/>
                <w:szCs w:val="24"/>
              </w:rPr>
            </w:pPr>
            <w:r>
              <w:rPr>
                <w:rFonts w:hint="eastAsia"/>
                <w:color w:val="auto"/>
                <w:sz w:val="24"/>
                <w:szCs w:val="24"/>
              </w:rPr>
              <w:t>污染迁移转化机制：</w:t>
            </w:r>
          </w:p>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非饱和层中污染物吸附在土壤颗粒上随风力传播</w:t>
            </w:r>
            <w:r>
              <w:rPr>
                <w:rFonts w:hint="eastAsia"/>
                <w:color w:val="auto"/>
                <w:sz w:val="24"/>
                <w:szCs w:val="24"/>
                <w:lang w:eastAsia="zh-CN"/>
              </w:rPr>
              <w:t>；</w:t>
            </w:r>
          </w:p>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非饱和层污染物随雨水淋溶下渗</w:t>
            </w:r>
            <w:r>
              <w:rPr>
                <w:rFonts w:hint="eastAsia"/>
                <w:color w:val="auto"/>
                <w:sz w:val="24"/>
                <w:szCs w:val="24"/>
                <w:lang w:eastAsia="zh-CN"/>
              </w:rPr>
              <w:t>；</w:t>
            </w:r>
          </w:p>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rPr>
              <w:t>包气带中残余态污染物被淋溶后，下渗至地下水面后随地下水迁移、稀释和吸附</w:t>
            </w:r>
            <w:r>
              <w:rPr>
                <w:rFonts w:hint="eastAsia"/>
                <w:color w:val="auto"/>
                <w:sz w:val="24"/>
                <w:szCs w:val="24"/>
                <w:lang w:eastAsia="zh-CN"/>
              </w:rPr>
              <w:t>；</w:t>
            </w:r>
          </w:p>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right="0" w:rightChars="0"/>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w:t>
            </w:r>
            <w:r>
              <w:rPr>
                <w:rFonts w:hint="eastAsia"/>
                <w:color w:val="auto"/>
                <w:sz w:val="24"/>
                <w:szCs w:val="24"/>
              </w:rPr>
              <w:t>土壤中污染物的生物降解，例如苯系物在微生物新城代谢作用下稀释</w:t>
            </w:r>
            <w:r>
              <w:rPr>
                <w:rFonts w:hint="eastAsia"/>
                <w:color w:val="auto"/>
                <w:sz w:val="24"/>
                <w:szCs w:val="24"/>
                <w:lang w:eastAsia="zh-CN"/>
              </w:rPr>
              <w:t>；</w:t>
            </w:r>
          </w:p>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right="0" w:rightChars="0"/>
              <w:textAlignment w:val="auto"/>
              <w:rPr>
                <w:color w:val="auto"/>
                <w:sz w:val="24"/>
                <w:szCs w:val="24"/>
              </w:rPr>
            </w:pPr>
            <w:r>
              <w:rPr>
                <w:rFonts w:hint="eastAsia"/>
                <w:color w:val="auto"/>
                <w:sz w:val="24"/>
                <w:szCs w:val="24"/>
                <w:lang w:eastAsia="zh-CN"/>
              </w:rPr>
              <w:t>（</w:t>
            </w:r>
            <w:r>
              <w:rPr>
                <w:rFonts w:hint="eastAsia"/>
                <w:color w:val="auto"/>
                <w:sz w:val="24"/>
                <w:szCs w:val="24"/>
                <w:lang w:val="en-US" w:eastAsia="zh-CN"/>
              </w:rPr>
              <w:t>5</w:t>
            </w:r>
            <w:r>
              <w:rPr>
                <w:rFonts w:hint="eastAsia"/>
                <w:color w:val="auto"/>
                <w:sz w:val="24"/>
                <w:szCs w:val="24"/>
                <w:lang w:eastAsia="zh-CN"/>
              </w:rPr>
              <w:t>）</w:t>
            </w:r>
            <w:r>
              <w:rPr>
                <w:rFonts w:hint="eastAsia"/>
                <w:color w:val="auto"/>
                <w:sz w:val="24"/>
                <w:szCs w:val="24"/>
              </w:rPr>
              <w:t>土壤中具有挥发性的污染物，通过蒸汽随风力传播或者挥发。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4" w:firstLineChars="200"/>
              <w:textAlignment w:val="auto"/>
              <w:rPr>
                <w:color w:val="auto"/>
                <w:sz w:val="24"/>
                <w:szCs w:val="24"/>
              </w:rPr>
            </w:pPr>
            <w:r>
              <w:rPr>
                <w:rStyle w:val="106"/>
                <w:rFonts w:ascii="Times New Roman" w:hAnsi="宋体" w:eastAsia="宋体"/>
                <w:color w:val="auto"/>
                <w:sz w:val="24"/>
                <w:szCs w:val="24"/>
                <w:lang w:val="zh-TW"/>
              </w:rPr>
              <w:t>土壤</w:t>
            </w:r>
            <w:r>
              <w:rPr>
                <w:rStyle w:val="106"/>
                <w:rFonts w:hint="eastAsia" w:ascii="Times New Roman" w:hAnsi="宋体" w:eastAsia="宋体"/>
                <w:color w:val="auto"/>
                <w:sz w:val="24"/>
                <w:szCs w:val="24"/>
                <w:lang w:val="zh-TW"/>
              </w:rPr>
              <w:t>有机物</w:t>
            </w:r>
            <w:r>
              <w:rPr>
                <w:rStyle w:val="106"/>
                <w:rFonts w:ascii="Times New Roman" w:hAnsi="宋体" w:eastAsia="宋体"/>
                <w:color w:val="auto"/>
                <w:sz w:val="24"/>
                <w:szCs w:val="24"/>
                <w:lang w:val="zh-TW"/>
              </w:rPr>
              <w:t>污染对周边环境及人群的影响：</w:t>
            </w:r>
            <w:r>
              <w:rPr>
                <w:rStyle w:val="106"/>
                <w:rFonts w:ascii="宋体" w:hAnsi="宋体" w:eastAsia="宋体"/>
                <w:color w:val="auto"/>
                <w:sz w:val="24"/>
                <w:szCs w:val="24"/>
                <w:lang w:val="zh-TW"/>
              </w:rPr>
              <w:t>①</w:t>
            </w:r>
            <w:r>
              <w:rPr>
                <w:rStyle w:val="100"/>
                <w:rFonts w:ascii="Times New Roman" w:hAnsi="宋体" w:eastAsia="宋体" w:cs="Times New Roman"/>
                <w:color w:val="auto"/>
                <w:sz w:val="24"/>
                <w:szCs w:val="24"/>
                <w:lang w:val="zh-TW" w:eastAsia="zh-TW"/>
              </w:rPr>
              <w:t>土壤中的</w:t>
            </w:r>
            <w:r>
              <w:rPr>
                <w:rStyle w:val="100"/>
                <w:rFonts w:hint="eastAsia" w:ascii="Times New Roman" w:hAnsi="宋体" w:eastAsia="宋体" w:cs="Times New Roman"/>
                <w:color w:val="auto"/>
                <w:sz w:val="24"/>
                <w:szCs w:val="24"/>
                <w:lang w:val="zh-TW"/>
              </w:rPr>
              <w:t>有机物</w:t>
            </w:r>
            <w:r>
              <w:rPr>
                <w:rStyle w:val="100"/>
                <w:rFonts w:ascii="Times New Roman" w:hAnsi="宋体" w:eastAsia="宋体" w:cs="Times New Roman"/>
                <w:color w:val="auto"/>
                <w:sz w:val="24"/>
                <w:szCs w:val="24"/>
                <w:lang w:val="zh-TW" w:eastAsia="zh-TW"/>
              </w:rPr>
              <w:t>可以通过地表径流或向下淋滤污染</w:t>
            </w:r>
            <w:r>
              <w:rPr>
                <w:rStyle w:val="100"/>
                <w:rFonts w:hint="eastAsia" w:ascii="Times New Roman" w:hAnsi="宋体" w:eastAsia="宋体" w:cs="Times New Roman"/>
                <w:color w:val="auto"/>
                <w:sz w:val="24"/>
                <w:szCs w:val="24"/>
                <w:lang w:val="zh-TW"/>
              </w:rPr>
              <w:t>地下水和土壤</w:t>
            </w:r>
            <w:r>
              <w:rPr>
                <w:rStyle w:val="100"/>
                <w:rFonts w:ascii="Times New Roman" w:hAnsi="宋体" w:eastAsia="宋体" w:cs="Times New Roman"/>
                <w:color w:val="auto"/>
                <w:sz w:val="24"/>
                <w:szCs w:val="24"/>
                <w:lang w:val="zh-TW" w:eastAsia="zh-TW"/>
              </w:rPr>
              <w:t>，</w:t>
            </w:r>
            <w:r>
              <w:rPr>
                <w:rStyle w:val="106"/>
                <w:rFonts w:ascii="宋体" w:hAnsi="宋体" w:eastAsia="宋体"/>
                <w:color w:val="auto"/>
                <w:sz w:val="24"/>
                <w:szCs w:val="24"/>
                <w:lang w:val="zh-TW"/>
              </w:rPr>
              <w:t>②</w:t>
            </w:r>
            <w:r>
              <w:rPr>
                <w:rStyle w:val="100"/>
                <w:rFonts w:hint="eastAsia" w:ascii="Times New Roman" w:hAnsi="宋体" w:eastAsia="宋体" w:cs="Times New Roman"/>
                <w:color w:val="auto"/>
                <w:sz w:val="24"/>
                <w:szCs w:val="24"/>
                <w:lang w:val="zh-TW"/>
              </w:rPr>
              <w:t>农药</w:t>
            </w:r>
            <w:r>
              <w:rPr>
                <w:rStyle w:val="100"/>
                <w:rFonts w:ascii="Times New Roman" w:hAnsi="宋体" w:eastAsia="宋体" w:cs="Times New Roman"/>
                <w:color w:val="auto"/>
                <w:sz w:val="24"/>
                <w:szCs w:val="24"/>
                <w:lang w:val="zh-TW"/>
              </w:rPr>
              <w:t>厂</w:t>
            </w:r>
            <w:r>
              <w:rPr>
                <w:rStyle w:val="100"/>
                <w:rFonts w:ascii="Times New Roman" w:hAnsi="宋体" w:eastAsia="宋体" w:cs="Times New Roman"/>
                <w:color w:val="auto"/>
                <w:sz w:val="24"/>
                <w:szCs w:val="24"/>
                <w:lang w:val="zh-TW" w:eastAsia="zh-TW"/>
              </w:rPr>
              <w:t>周边</w:t>
            </w:r>
            <w:r>
              <w:rPr>
                <w:rStyle w:val="100"/>
                <w:rFonts w:hint="eastAsia" w:ascii="Times New Roman" w:hAnsi="宋体" w:eastAsia="宋体" w:cs="Times New Roman"/>
                <w:color w:val="auto"/>
                <w:sz w:val="24"/>
                <w:szCs w:val="24"/>
                <w:lang w:val="zh-TW"/>
              </w:rPr>
              <w:t>存在</w:t>
            </w:r>
            <w:r>
              <w:rPr>
                <w:rStyle w:val="100"/>
                <w:rFonts w:ascii="Times New Roman" w:hAnsi="宋体" w:eastAsia="宋体" w:cs="Times New Roman"/>
                <w:color w:val="auto"/>
                <w:sz w:val="24"/>
                <w:szCs w:val="24"/>
                <w:lang w:val="zh-TW" w:eastAsia="zh-TW"/>
              </w:rPr>
              <w:t>居住区，人群在生活过程中通过</w:t>
            </w:r>
            <w:r>
              <w:rPr>
                <w:rStyle w:val="100"/>
                <w:rFonts w:ascii="Times New Roman" w:hAnsi="宋体" w:eastAsia="宋体" w:cs="Times New Roman"/>
                <w:color w:val="auto"/>
                <w:sz w:val="24"/>
                <w:szCs w:val="24"/>
                <w:lang w:val="zh-TW"/>
              </w:rPr>
              <w:t>呼吸空气</w:t>
            </w:r>
            <w:r>
              <w:rPr>
                <w:rStyle w:val="100"/>
                <w:rFonts w:ascii="Times New Roman" w:hAnsi="宋体" w:eastAsia="宋体" w:cs="Times New Roman"/>
                <w:color w:val="auto"/>
                <w:sz w:val="24"/>
                <w:szCs w:val="24"/>
                <w:lang w:val="zh-TW" w:eastAsia="zh-TW"/>
              </w:rPr>
              <w:t>摄入</w:t>
            </w:r>
            <w:r>
              <w:rPr>
                <w:rStyle w:val="100"/>
                <w:rFonts w:ascii="Times New Roman" w:hAnsi="宋体" w:eastAsia="宋体" w:cs="Times New Roman"/>
                <w:color w:val="auto"/>
                <w:sz w:val="24"/>
                <w:szCs w:val="24"/>
                <w:lang w:val="zh-TW"/>
              </w:rPr>
              <w:t>土壤粉尘、</w:t>
            </w:r>
            <w:r>
              <w:rPr>
                <w:rStyle w:val="100"/>
                <w:rFonts w:ascii="Times New Roman" w:hAnsi="宋体" w:eastAsia="宋体" w:cs="Times New Roman"/>
                <w:color w:val="auto"/>
                <w:sz w:val="24"/>
                <w:szCs w:val="24"/>
                <w:lang w:val="zh-TW" w:eastAsia="zh-TW"/>
              </w:rPr>
              <w:t>皮肤接触等过程暴露接触到污染物</w:t>
            </w:r>
            <w:r>
              <w:rPr>
                <w:rStyle w:val="100"/>
                <w:rFonts w:ascii="Times New Roman" w:hAnsi="宋体" w:eastAsia="宋体" w:cs="Times New Roman"/>
                <w:color w:val="auto"/>
                <w:sz w:val="24"/>
                <w:szCs w:val="24"/>
                <w:lang w:val="zh-TW"/>
              </w:rPr>
              <w:t>，</w:t>
            </w:r>
            <w:r>
              <w:rPr>
                <w:rStyle w:val="100"/>
                <w:rFonts w:ascii="Times New Roman" w:hAnsi="宋体" w:eastAsia="宋体" w:cs="Times New Roman"/>
                <w:color w:val="auto"/>
                <w:sz w:val="24"/>
                <w:szCs w:val="24"/>
                <w:lang w:val="zh-TW" w:eastAsia="zh-TW"/>
              </w:rPr>
              <w:t>对人体产生危害。</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rPr>
                <w:rFonts w:hint="eastAsia" w:hAnsi="宋体"/>
                <w:b/>
                <w:bCs/>
                <w:color w:val="auto"/>
                <w:sz w:val="24"/>
                <w:szCs w:val="24"/>
              </w:rPr>
            </w:pPr>
            <w:r>
              <w:rPr>
                <w:rFonts w:hint="eastAsia" w:hAnsi="宋体"/>
                <w:b/>
                <w:bCs/>
                <w:color w:val="auto"/>
                <w:sz w:val="24"/>
                <w:szCs w:val="24"/>
                <w:lang w:val="en-US" w:eastAsia="zh-CN"/>
              </w:rPr>
              <w:t>3、</w:t>
            </w:r>
            <w:r>
              <w:rPr>
                <w:rFonts w:hAnsi="宋体"/>
                <w:b/>
                <w:bCs/>
                <w:color w:val="auto"/>
                <w:sz w:val="24"/>
                <w:szCs w:val="24"/>
              </w:rPr>
              <w:t>本项目地块周边企业污染情况及主要环境问题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Ansi="宋体"/>
                <w:color w:val="auto"/>
                <w:sz w:val="24"/>
                <w:szCs w:val="24"/>
              </w:rPr>
            </w:pPr>
            <w:r>
              <w:rPr>
                <w:rFonts w:hAnsi="宋体"/>
                <w:color w:val="auto"/>
                <w:sz w:val="24"/>
                <w:szCs w:val="24"/>
              </w:rPr>
              <w:t>本项目位于</w:t>
            </w:r>
            <w:r>
              <w:rPr>
                <w:rFonts w:hint="eastAsia" w:hAnsi="宋体"/>
                <w:color w:val="auto"/>
                <w:sz w:val="24"/>
                <w:szCs w:val="24"/>
              </w:rPr>
              <w:t>位于长冲路与106国道交汇夹角北侧，四周以荒地和道路为主，存在部分居民，东边15m处存在一个加油站，南边隔路50m处存在住宅楼。</w:t>
            </w:r>
            <w:r>
              <w:rPr>
                <w:rFonts w:hAnsi="宋体"/>
                <w:color w:val="auto"/>
                <w:sz w:val="24"/>
                <w:szCs w:val="24"/>
              </w:rPr>
              <w:t>项目四至现状见附图</w:t>
            </w:r>
            <w:r>
              <w:rPr>
                <w:rFonts w:hint="eastAsia"/>
                <w:color w:val="auto"/>
                <w:sz w:val="24"/>
                <w:szCs w:val="24"/>
              </w:rPr>
              <w:t>7</w:t>
            </w:r>
            <w:r>
              <w:rPr>
                <w:rFonts w:hAnsi="宋体"/>
                <w:color w:val="auto"/>
                <w:sz w:val="24"/>
                <w:szCs w:val="24"/>
              </w:rPr>
              <w:t>。项目</w:t>
            </w:r>
            <w:r>
              <w:rPr>
                <w:rFonts w:hint="eastAsia" w:hAnsi="宋体"/>
                <w:color w:val="auto"/>
                <w:sz w:val="24"/>
                <w:szCs w:val="24"/>
              </w:rPr>
              <w:t>南</w:t>
            </w:r>
            <w:r>
              <w:rPr>
                <w:rFonts w:hAnsi="宋体"/>
                <w:color w:val="auto"/>
                <w:sz w:val="24"/>
                <w:szCs w:val="24"/>
              </w:rPr>
              <w:t>侧约</w:t>
            </w:r>
            <w:r>
              <w:rPr>
                <w:color w:val="auto"/>
                <w:sz w:val="24"/>
                <w:szCs w:val="24"/>
              </w:rPr>
              <w:t>50m</w:t>
            </w:r>
            <w:r>
              <w:rPr>
                <w:rFonts w:hint="eastAsia"/>
                <w:color w:val="auto"/>
                <w:sz w:val="24"/>
                <w:szCs w:val="24"/>
              </w:rPr>
              <w:t>和150m均</w:t>
            </w:r>
            <w:r>
              <w:rPr>
                <w:rFonts w:hAnsi="宋体"/>
                <w:color w:val="auto"/>
                <w:sz w:val="24"/>
                <w:szCs w:val="24"/>
              </w:rPr>
              <w:t>有一个</w:t>
            </w:r>
            <w:r>
              <w:rPr>
                <w:rFonts w:hint="eastAsia" w:hAnsi="宋体"/>
                <w:color w:val="auto"/>
                <w:sz w:val="24"/>
                <w:szCs w:val="24"/>
              </w:rPr>
              <w:t>汽修厂</w:t>
            </w:r>
            <w:r>
              <w:rPr>
                <w:rFonts w:hAnsi="宋体"/>
                <w:color w:val="auto"/>
                <w:sz w:val="24"/>
                <w:szCs w:val="24"/>
              </w:rPr>
              <w:t>，</w:t>
            </w:r>
            <w:r>
              <w:rPr>
                <w:rFonts w:hint="eastAsia" w:hAnsi="宋体"/>
                <w:color w:val="auto"/>
                <w:sz w:val="24"/>
                <w:szCs w:val="24"/>
              </w:rPr>
              <w:t>东边20m处和东侧300m处存在加油站。存在个别企业，以住宅为主</w:t>
            </w:r>
            <w:r>
              <w:rPr>
                <w:rFonts w:hAnsi="宋体"/>
                <w:color w:val="auto"/>
                <w:sz w:val="24"/>
                <w:szCs w:val="24"/>
              </w:rPr>
              <w:t>。项目周边最主要的环境问题为周边工业企业产生的废气、废水、固废、噪声；周边居民生产生活活动中产生的废气、固废等，具体情况如下：</w:t>
            </w:r>
          </w:p>
          <w:p>
            <w:pPr>
              <w:pStyle w:val="2"/>
            </w:pPr>
          </w:p>
          <w:p>
            <w:pPr>
              <w:pStyle w:val="2"/>
            </w:pPr>
          </w:p>
          <w:p>
            <w:pPr>
              <w:pStyle w:val="2"/>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none"/>
              </w:rPr>
            </w:pPr>
            <w:r>
              <w:rPr>
                <w:rFonts w:hint="eastAsia" w:hAnsi="宋体"/>
                <w:b/>
                <w:bCs/>
                <w:color w:val="auto"/>
                <w:u w:val="none"/>
              </w:rPr>
              <w:t>表</w:t>
            </w:r>
            <w:r>
              <w:rPr>
                <w:rFonts w:hint="eastAsia" w:hAnsi="宋体"/>
                <w:b/>
                <w:bCs/>
                <w:color w:val="auto"/>
                <w:u w:val="none"/>
                <w:lang w:val="en-US" w:eastAsia="zh-CN"/>
              </w:rPr>
              <w:t>8</w:t>
            </w:r>
            <w:r>
              <w:rPr>
                <w:rFonts w:hint="eastAsia" w:hAnsi="宋体"/>
                <w:b/>
                <w:bCs/>
                <w:color w:val="auto"/>
                <w:u w:val="none"/>
              </w:rPr>
              <w:t xml:space="preserve">  项目周边环境污染情况一览表</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27"/>
              <w:gridCol w:w="1391"/>
              <w:gridCol w:w="1441"/>
              <w:gridCol w:w="2304"/>
              <w:gridCol w:w="1114"/>
              <w:gridCol w:w="1025"/>
              <w:gridCol w:w="10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727" w:type="dxa"/>
                  <w:vAlign w:val="center"/>
                </w:tcPr>
                <w:p>
                  <w:pPr>
                    <w:jc w:val="center"/>
                    <w:rPr>
                      <w:color w:val="auto"/>
                      <w:szCs w:val="21"/>
                    </w:rPr>
                  </w:pPr>
                  <w:r>
                    <w:rPr>
                      <w:rFonts w:hAnsi="宋体"/>
                      <w:color w:val="auto"/>
                      <w:szCs w:val="21"/>
                    </w:rPr>
                    <w:t>序号</w:t>
                  </w:r>
                </w:p>
              </w:tc>
              <w:tc>
                <w:tcPr>
                  <w:tcW w:w="1391" w:type="dxa"/>
                  <w:vAlign w:val="center"/>
                </w:tcPr>
                <w:p>
                  <w:pPr>
                    <w:jc w:val="center"/>
                    <w:rPr>
                      <w:color w:val="auto"/>
                      <w:szCs w:val="21"/>
                    </w:rPr>
                  </w:pPr>
                  <w:r>
                    <w:rPr>
                      <w:rFonts w:hAnsi="宋体"/>
                      <w:color w:val="auto"/>
                      <w:szCs w:val="21"/>
                    </w:rPr>
                    <w:t>项目建筑</w:t>
                  </w:r>
                </w:p>
              </w:tc>
              <w:tc>
                <w:tcPr>
                  <w:tcW w:w="1441" w:type="dxa"/>
                  <w:vAlign w:val="center"/>
                </w:tcPr>
                <w:p>
                  <w:pPr>
                    <w:jc w:val="center"/>
                    <w:rPr>
                      <w:color w:val="auto"/>
                      <w:szCs w:val="21"/>
                    </w:rPr>
                  </w:pPr>
                  <w:r>
                    <w:rPr>
                      <w:rFonts w:hAnsi="宋体"/>
                      <w:color w:val="auto"/>
                      <w:szCs w:val="21"/>
                    </w:rPr>
                    <w:t>位置</w:t>
                  </w:r>
                </w:p>
              </w:tc>
              <w:tc>
                <w:tcPr>
                  <w:tcW w:w="2304" w:type="dxa"/>
                  <w:vAlign w:val="center"/>
                </w:tcPr>
                <w:p>
                  <w:pPr>
                    <w:jc w:val="center"/>
                    <w:rPr>
                      <w:color w:val="auto"/>
                      <w:szCs w:val="21"/>
                    </w:rPr>
                  </w:pPr>
                  <w:r>
                    <w:rPr>
                      <w:rFonts w:hAnsi="宋体"/>
                      <w:color w:val="auto"/>
                      <w:szCs w:val="21"/>
                    </w:rPr>
                    <w:t>废水</w:t>
                  </w:r>
                </w:p>
              </w:tc>
              <w:tc>
                <w:tcPr>
                  <w:tcW w:w="1114" w:type="dxa"/>
                  <w:tcBorders>
                    <w:right w:val="single" w:color="auto" w:sz="4" w:space="0"/>
                  </w:tcBorders>
                  <w:vAlign w:val="center"/>
                </w:tcPr>
                <w:p>
                  <w:pPr>
                    <w:jc w:val="center"/>
                    <w:rPr>
                      <w:color w:val="auto"/>
                      <w:szCs w:val="21"/>
                    </w:rPr>
                  </w:pPr>
                  <w:r>
                    <w:rPr>
                      <w:rFonts w:hAnsi="宋体"/>
                      <w:color w:val="auto"/>
                      <w:szCs w:val="21"/>
                    </w:rPr>
                    <w:t>废气</w:t>
                  </w:r>
                </w:p>
              </w:tc>
              <w:tc>
                <w:tcPr>
                  <w:tcW w:w="1025" w:type="dxa"/>
                  <w:tcBorders>
                    <w:left w:val="single" w:color="auto" w:sz="4" w:space="0"/>
                  </w:tcBorders>
                  <w:vAlign w:val="center"/>
                </w:tcPr>
                <w:p>
                  <w:pPr>
                    <w:jc w:val="center"/>
                    <w:rPr>
                      <w:color w:val="auto"/>
                      <w:szCs w:val="21"/>
                    </w:rPr>
                  </w:pPr>
                  <w:r>
                    <w:rPr>
                      <w:rFonts w:hAnsi="宋体"/>
                      <w:color w:val="auto"/>
                      <w:szCs w:val="21"/>
                    </w:rPr>
                    <w:t>噪声</w:t>
                  </w:r>
                </w:p>
              </w:tc>
              <w:tc>
                <w:tcPr>
                  <w:tcW w:w="1068" w:type="dxa"/>
                  <w:vAlign w:val="center"/>
                </w:tcPr>
                <w:p>
                  <w:pPr>
                    <w:jc w:val="center"/>
                    <w:rPr>
                      <w:color w:val="auto"/>
                      <w:szCs w:val="21"/>
                    </w:rPr>
                  </w:pPr>
                  <w:r>
                    <w:rPr>
                      <w:rFonts w:hAnsi="宋体"/>
                      <w:color w:val="auto"/>
                      <w:szCs w:val="21"/>
                    </w:rPr>
                    <w:t>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727" w:type="dxa"/>
                  <w:vAlign w:val="center"/>
                </w:tcPr>
                <w:p>
                  <w:pPr>
                    <w:jc w:val="center"/>
                    <w:rPr>
                      <w:color w:val="auto"/>
                      <w:szCs w:val="21"/>
                    </w:rPr>
                  </w:pPr>
                  <w:r>
                    <w:rPr>
                      <w:color w:val="auto"/>
                      <w:szCs w:val="21"/>
                    </w:rPr>
                    <w:t>1</w:t>
                  </w:r>
                </w:p>
              </w:tc>
              <w:tc>
                <w:tcPr>
                  <w:tcW w:w="1391" w:type="dxa"/>
                  <w:vAlign w:val="center"/>
                </w:tcPr>
                <w:p>
                  <w:pPr>
                    <w:jc w:val="center"/>
                    <w:rPr>
                      <w:color w:val="auto"/>
                      <w:szCs w:val="21"/>
                    </w:rPr>
                  </w:pPr>
                  <w:r>
                    <w:rPr>
                      <w:rFonts w:hint="eastAsia" w:hAnsi="宋体"/>
                      <w:color w:val="auto"/>
                      <w:szCs w:val="21"/>
                    </w:rPr>
                    <w:t>平安汽修厂、三鑫汽修厂</w:t>
                  </w:r>
                </w:p>
              </w:tc>
              <w:tc>
                <w:tcPr>
                  <w:tcW w:w="1441" w:type="dxa"/>
                  <w:vAlign w:val="center"/>
                </w:tcPr>
                <w:p>
                  <w:pPr>
                    <w:jc w:val="center"/>
                    <w:rPr>
                      <w:color w:val="auto"/>
                      <w:szCs w:val="21"/>
                    </w:rPr>
                  </w:pPr>
                  <w:r>
                    <w:rPr>
                      <w:rFonts w:hAnsi="宋体"/>
                      <w:color w:val="auto"/>
                      <w:szCs w:val="21"/>
                    </w:rPr>
                    <w:t>项目</w:t>
                  </w:r>
                  <w:r>
                    <w:rPr>
                      <w:rFonts w:hint="eastAsia" w:hAnsi="宋体"/>
                      <w:color w:val="auto"/>
                      <w:szCs w:val="21"/>
                    </w:rPr>
                    <w:t>南侧</w:t>
                  </w:r>
                  <w:r>
                    <w:rPr>
                      <w:rFonts w:hAnsi="宋体"/>
                      <w:color w:val="auto"/>
                      <w:szCs w:val="21"/>
                    </w:rPr>
                    <w:t>约</w:t>
                  </w:r>
                  <w:r>
                    <w:rPr>
                      <w:color w:val="auto"/>
                      <w:szCs w:val="21"/>
                    </w:rPr>
                    <w:t>50m</w:t>
                  </w:r>
                  <w:r>
                    <w:rPr>
                      <w:rFonts w:hint="eastAsia"/>
                      <w:color w:val="auto"/>
                      <w:szCs w:val="21"/>
                    </w:rPr>
                    <w:t>、150m</w:t>
                  </w:r>
                </w:p>
              </w:tc>
              <w:tc>
                <w:tcPr>
                  <w:tcW w:w="2304" w:type="dxa"/>
                  <w:vAlign w:val="center"/>
                </w:tcPr>
                <w:p>
                  <w:pPr>
                    <w:jc w:val="center"/>
                    <w:rPr>
                      <w:color w:val="auto"/>
                      <w:szCs w:val="21"/>
                    </w:rPr>
                  </w:pPr>
                  <w:r>
                    <w:rPr>
                      <w:rFonts w:hAnsi="宋体"/>
                      <w:color w:val="auto"/>
                      <w:szCs w:val="21"/>
                    </w:rPr>
                    <w:t>生活污水</w:t>
                  </w:r>
                  <w:r>
                    <w:rPr>
                      <w:color w:val="auto"/>
                      <w:szCs w:val="21"/>
                    </w:rPr>
                    <w:t>(COD</w:t>
                  </w:r>
                  <w:r>
                    <w:rPr>
                      <w:color w:val="auto"/>
                      <w:szCs w:val="21"/>
                      <w:vertAlign w:val="subscript"/>
                    </w:rPr>
                    <w:t>Cr</w:t>
                  </w:r>
                  <w:r>
                    <w:rPr>
                      <w:rFonts w:hAnsi="宋体"/>
                      <w:color w:val="auto"/>
                      <w:szCs w:val="21"/>
                    </w:rPr>
                    <w:t>、</w:t>
                  </w:r>
                  <w:r>
                    <w:rPr>
                      <w:color w:val="auto"/>
                      <w:szCs w:val="21"/>
                    </w:rPr>
                    <w:t>BOD</w:t>
                  </w:r>
                  <w:r>
                    <w:rPr>
                      <w:color w:val="auto"/>
                      <w:szCs w:val="21"/>
                      <w:vertAlign w:val="subscript"/>
                    </w:rPr>
                    <w:t>5</w:t>
                  </w:r>
                  <w:r>
                    <w:rPr>
                      <w:rFonts w:hAnsi="宋体"/>
                      <w:color w:val="auto"/>
                      <w:szCs w:val="21"/>
                    </w:rPr>
                    <w:t>、</w:t>
                  </w:r>
                  <w:r>
                    <w:rPr>
                      <w:color w:val="auto"/>
                      <w:szCs w:val="21"/>
                    </w:rPr>
                    <w:t>NH</w:t>
                  </w:r>
                  <w:r>
                    <w:rPr>
                      <w:color w:val="auto"/>
                      <w:szCs w:val="21"/>
                      <w:vertAlign w:val="subscript"/>
                    </w:rPr>
                    <w:t>3</w:t>
                  </w:r>
                  <w:r>
                    <w:rPr>
                      <w:color w:val="auto"/>
                      <w:szCs w:val="21"/>
                    </w:rPr>
                    <w:t>-N</w:t>
                  </w:r>
                  <w:r>
                    <w:rPr>
                      <w:rFonts w:hAnsi="宋体"/>
                      <w:color w:val="auto"/>
                      <w:szCs w:val="21"/>
                    </w:rPr>
                    <w:t>、</w:t>
                  </w:r>
                  <w:r>
                    <w:rPr>
                      <w:color w:val="auto"/>
                      <w:szCs w:val="21"/>
                    </w:rPr>
                    <w:t>SS)</w:t>
                  </w:r>
                </w:p>
              </w:tc>
              <w:tc>
                <w:tcPr>
                  <w:tcW w:w="1114" w:type="dxa"/>
                  <w:tcBorders>
                    <w:right w:val="single" w:color="auto" w:sz="4" w:space="0"/>
                  </w:tcBorders>
                  <w:vAlign w:val="center"/>
                </w:tcPr>
                <w:p>
                  <w:pPr>
                    <w:jc w:val="center"/>
                    <w:rPr>
                      <w:color w:val="auto"/>
                      <w:szCs w:val="21"/>
                    </w:rPr>
                  </w:pPr>
                  <w:r>
                    <w:rPr>
                      <w:rFonts w:hint="eastAsia" w:hAnsi="宋体"/>
                      <w:color w:val="auto"/>
                      <w:szCs w:val="21"/>
                    </w:rPr>
                    <w:t>有机废气</w:t>
                  </w:r>
                </w:p>
              </w:tc>
              <w:tc>
                <w:tcPr>
                  <w:tcW w:w="1025" w:type="dxa"/>
                  <w:tcBorders>
                    <w:left w:val="single" w:color="auto" w:sz="4" w:space="0"/>
                  </w:tcBorders>
                  <w:vAlign w:val="center"/>
                </w:tcPr>
                <w:p>
                  <w:pPr>
                    <w:jc w:val="center"/>
                    <w:rPr>
                      <w:color w:val="auto"/>
                      <w:szCs w:val="21"/>
                    </w:rPr>
                  </w:pPr>
                  <w:r>
                    <w:rPr>
                      <w:rFonts w:hAnsi="宋体"/>
                      <w:color w:val="auto"/>
                      <w:szCs w:val="21"/>
                    </w:rPr>
                    <w:t>机械噪声</w:t>
                  </w:r>
                </w:p>
              </w:tc>
              <w:tc>
                <w:tcPr>
                  <w:tcW w:w="1068" w:type="dxa"/>
                  <w:vAlign w:val="center"/>
                </w:tcPr>
                <w:p>
                  <w:pPr>
                    <w:jc w:val="center"/>
                    <w:rPr>
                      <w:color w:val="auto"/>
                      <w:szCs w:val="21"/>
                    </w:rPr>
                  </w:pPr>
                  <w:r>
                    <w:rPr>
                      <w:rFonts w:hint="eastAsia" w:hAnsi="宋体"/>
                      <w:color w:val="auto"/>
                      <w:szCs w:val="21"/>
                    </w:rPr>
                    <w:t>机油及废机械部件、</w:t>
                  </w:r>
                  <w:r>
                    <w:rPr>
                      <w:rFonts w:hAnsi="宋体"/>
                      <w:color w:val="auto"/>
                      <w:szCs w:val="21"/>
                    </w:rPr>
                    <w:t>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727" w:type="dxa"/>
                  <w:vAlign w:val="center"/>
                </w:tcPr>
                <w:p>
                  <w:pPr>
                    <w:jc w:val="center"/>
                    <w:rPr>
                      <w:color w:val="auto"/>
                      <w:szCs w:val="21"/>
                    </w:rPr>
                  </w:pPr>
                  <w:r>
                    <w:rPr>
                      <w:color w:val="auto"/>
                      <w:szCs w:val="21"/>
                    </w:rPr>
                    <w:t>2</w:t>
                  </w:r>
                </w:p>
              </w:tc>
              <w:tc>
                <w:tcPr>
                  <w:tcW w:w="1391" w:type="dxa"/>
                  <w:vAlign w:val="center"/>
                </w:tcPr>
                <w:p>
                  <w:pPr>
                    <w:jc w:val="center"/>
                    <w:rPr>
                      <w:color w:val="auto"/>
                      <w:szCs w:val="21"/>
                    </w:rPr>
                  </w:pPr>
                  <w:r>
                    <w:rPr>
                      <w:rFonts w:hint="eastAsia" w:hAnsi="宋体"/>
                      <w:color w:val="auto"/>
                      <w:szCs w:val="21"/>
                    </w:rPr>
                    <w:t>加油站</w:t>
                  </w:r>
                </w:p>
              </w:tc>
              <w:tc>
                <w:tcPr>
                  <w:tcW w:w="1441" w:type="dxa"/>
                  <w:vAlign w:val="center"/>
                </w:tcPr>
                <w:p>
                  <w:pPr>
                    <w:jc w:val="center"/>
                    <w:rPr>
                      <w:color w:val="auto"/>
                      <w:szCs w:val="21"/>
                    </w:rPr>
                  </w:pPr>
                  <w:r>
                    <w:rPr>
                      <w:rFonts w:hAnsi="宋体"/>
                      <w:color w:val="auto"/>
                      <w:szCs w:val="21"/>
                    </w:rPr>
                    <w:t>项目东侧约</w:t>
                  </w:r>
                  <w:r>
                    <w:rPr>
                      <w:rFonts w:hint="eastAsia"/>
                      <w:color w:val="auto"/>
                      <w:szCs w:val="21"/>
                    </w:rPr>
                    <w:t>15</w:t>
                  </w:r>
                  <w:r>
                    <w:rPr>
                      <w:color w:val="auto"/>
                      <w:szCs w:val="21"/>
                    </w:rPr>
                    <w:t>m</w:t>
                  </w:r>
                  <w:r>
                    <w:rPr>
                      <w:rFonts w:hint="eastAsia"/>
                      <w:color w:val="auto"/>
                      <w:szCs w:val="21"/>
                    </w:rPr>
                    <w:t>，东侧300m</w:t>
                  </w:r>
                </w:p>
              </w:tc>
              <w:tc>
                <w:tcPr>
                  <w:tcW w:w="2304" w:type="dxa"/>
                  <w:vAlign w:val="center"/>
                </w:tcPr>
                <w:p>
                  <w:pPr>
                    <w:jc w:val="center"/>
                    <w:rPr>
                      <w:color w:val="auto"/>
                      <w:szCs w:val="21"/>
                    </w:rPr>
                  </w:pPr>
                  <w:r>
                    <w:rPr>
                      <w:rFonts w:hAnsi="宋体"/>
                      <w:color w:val="auto"/>
                      <w:szCs w:val="21"/>
                    </w:rPr>
                    <w:t>生活污水</w:t>
                  </w:r>
                  <w:r>
                    <w:rPr>
                      <w:color w:val="auto"/>
                      <w:szCs w:val="21"/>
                    </w:rPr>
                    <w:t>(COD</w:t>
                  </w:r>
                  <w:r>
                    <w:rPr>
                      <w:color w:val="auto"/>
                      <w:szCs w:val="21"/>
                      <w:vertAlign w:val="subscript"/>
                    </w:rPr>
                    <w:t>Cr</w:t>
                  </w:r>
                  <w:r>
                    <w:rPr>
                      <w:rFonts w:hAnsi="宋体"/>
                      <w:color w:val="auto"/>
                      <w:szCs w:val="21"/>
                    </w:rPr>
                    <w:t>、</w:t>
                  </w:r>
                  <w:r>
                    <w:rPr>
                      <w:color w:val="auto"/>
                      <w:szCs w:val="21"/>
                    </w:rPr>
                    <w:t>BOD</w:t>
                  </w:r>
                  <w:r>
                    <w:rPr>
                      <w:color w:val="auto"/>
                      <w:szCs w:val="21"/>
                      <w:vertAlign w:val="subscript"/>
                    </w:rPr>
                    <w:t>5</w:t>
                  </w:r>
                  <w:r>
                    <w:rPr>
                      <w:rFonts w:hAnsi="宋体"/>
                      <w:color w:val="auto"/>
                      <w:szCs w:val="21"/>
                    </w:rPr>
                    <w:t>、</w:t>
                  </w:r>
                  <w:r>
                    <w:rPr>
                      <w:color w:val="auto"/>
                      <w:szCs w:val="21"/>
                    </w:rPr>
                    <w:t>NH</w:t>
                  </w:r>
                  <w:r>
                    <w:rPr>
                      <w:color w:val="auto"/>
                      <w:szCs w:val="21"/>
                      <w:vertAlign w:val="subscript"/>
                    </w:rPr>
                    <w:t>3</w:t>
                  </w:r>
                  <w:r>
                    <w:rPr>
                      <w:color w:val="auto"/>
                      <w:szCs w:val="21"/>
                    </w:rPr>
                    <w:t>-N</w:t>
                  </w:r>
                  <w:r>
                    <w:rPr>
                      <w:rFonts w:hAnsi="宋体"/>
                      <w:color w:val="auto"/>
                      <w:szCs w:val="21"/>
                    </w:rPr>
                    <w:t>、</w:t>
                  </w:r>
                  <w:r>
                    <w:rPr>
                      <w:color w:val="auto"/>
                      <w:szCs w:val="21"/>
                    </w:rPr>
                    <w:t>SS)</w:t>
                  </w:r>
                </w:p>
              </w:tc>
              <w:tc>
                <w:tcPr>
                  <w:tcW w:w="1114" w:type="dxa"/>
                  <w:tcBorders>
                    <w:right w:val="single" w:color="auto" w:sz="4" w:space="0"/>
                  </w:tcBorders>
                  <w:vAlign w:val="center"/>
                </w:tcPr>
                <w:p>
                  <w:pPr>
                    <w:jc w:val="center"/>
                    <w:rPr>
                      <w:color w:val="auto"/>
                      <w:szCs w:val="21"/>
                    </w:rPr>
                  </w:pPr>
                  <w:r>
                    <w:rPr>
                      <w:rFonts w:hint="eastAsia" w:hAnsi="宋体"/>
                      <w:color w:val="auto"/>
                      <w:szCs w:val="21"/>
                    </w:rPr>
                    <w:t>有机废气</w:t>
                  </w:r>
                </w:p>
              </w:tc>
              <w:tc>
                <w:tcPr>
                  <w:tcW w:w="1025" w:type="dxa"/>
                  <w:tcBorders>
                    <w:left w:val="single" w:color="auto" w:sz="4" w:space="0"/>
                  </w:tcBorders>
                  <w:vAlign w:val="center"/>
                </w:tcPr>
                <w:p>
                  <w:pPr>
                    <w:jc w:val="center"/>
                    <w:rPr>
                      <w:color w:val="auto"/>
                      <w:szCs w:val="21"/>
                    </w:rPr>
                  </w:pPr>
                  <w:r>
                    <w:rPr>
                      <w:rFonts w:hAnsi="宋体"/>
                      <w:color w:val="auto"/>
                      <w:szCs w:val="21"/>
                    </w:rPr>
                    <w:t>汽车噪声</w:t>
                  </w:r>
                </w:p>
              </w:tc>
              <w:tc>
                <w:tcPr>
                  <w:tcW w:w="1068" w:type="dxa"/>
                  <w:vAlign w:val="center"/>
                </w:tcPr>
                <w:p>
                  <w:pPr>
                    <w:rPr>
                      <w:color w:val="auto"/>
                      <w:szCs w:val="21"/>
                    </w:rPr>
                  </w:pPr>
                  <w:r>
                    <w:rPr>
                      <w:rFonts w:hint="eastAsia" w:hAnsi="宋体"/>
                      <w:color w:val="auto"/>
                      <w:szCs w:val="21"/>
                    </w:rPr>
                    <w:t>生活垃圾</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eastAsia="宋体"/>
                <w:color w:val="auto"/>
                <w:sz w:val="24"/>
                <w:szCs w:val="24"/>
                <w:u w:val="single"/>
                <w:lang w:eastAsia="zh-CN"/>
              </w:rPr>
            </w:pPr>
          </w:p>
          <w:p>
            <w:pPr>
              <w:pStyle w:val="2"/>
              <w:rPr>
                <w:rFonts w:hAnsi="宋体"/>
                <w:color w:val="auto"/>
                <w:sz w:val="24"/>
                <w:szCs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p>
            <w:pPr>
              <w:pStyle w:val="15"/>
              <w:spacing w:after="0" w:line="480" w:lineRule="exact"/>
              <w:ind w:left="0" w:leftChars="0"/>
              <w:rPr>
                <w:bCs/>
                <w:color w:val="auto"/>
                <w:sz w:val="24"/>
              </w:rPr>
            </w:pPr>
          </w:p>
        </w:tc>
      </w:tr>
    </w:tbl>
    <w:p>
      <w:pPr>
        <w:rPr>
          <w:color w:val="auto"/>
        </w:rPr>
      </w:pPr>
    </w:p>
    <w:tbl>
      <w:tblPr>
        <w:tblStyle w:val="30"/>
        <w:tblpPr w:leftFromText="180" w:rightFromText="180" w:horzAnchor="margin" w:tblpY="495"/>
        <w:tblW w:w="9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9" w:hRule="atLeast"/>
        </w:trPr>
        <w:tc>
          <w:tcPr>
            <w:tcW w:w="9181"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Cs/>
                <w:color w:val="auto"/>
                <w:sz w:val="24"/>
                <w:szCs w:val="24"/>
              </w:rPr>
            </w:pPr>
            <w:r>
              <w:rPr>
                <w:rFonts w:hAnsi="宋体"/>
                <w:b/>
                <w:color w:val="auto"/>
                <w:sz w:val="24"/>
                <w:szCs w:val="24"/>
              </w:rPr>
              <mc:AlternateContent>
                <mc:Choice Requires="wps">
                  <w:drawing>
                    <wp:anchor distT="0" distB="0" distL="114300" distR="114300" simplePos="0" relativeHeight="251726848" behindDoc="0" locked="0" layoutInCell="1" allowOverlap="1">
                      <wp:simplePos x="0" y="0"/>
                      <wp:positionH relativeFrom="column">
                        <wp:posOffset>-71755</wp:posOffset>
                      </wp:positionH>
                      <wp:positionV relativeFrom="paragraph">
                        <wp:posOffset>-334645</wp:posOffset>
                      </wp:positionV>
                      <wp:extent cx="3114675" cy="276225"/>
                      <wp:effectExtent l="0" t="0" r="0" b="0"/>
                      <wp:wrapNone/>
                      <wp:docPr id="24" name="Text Box 35"/>
                      <wp:cNvGraphicFramePr/>
                      <a:graphic xmlns:a="http://schemas.openxmlformats.org/drawingml/2006/main">
                        <a:graphicData uri="http://schemas.microsoft.com/office/word/2010/wordprocessingShape">
                          <wps:wsp>
                            <wps:cNvSpPr txBox="1">
                              <a:spLocks noChangeArrowheads="1"/>
                            </wps:cNvSpPr>
                            <wps:spPr bwMode="auto">
                              <a:xfrm>
                                <a:off x="0" y="0"/>
                                <a:ext cx="3114675" cy="276225"/>
                              </a:xfrm>
                              <a:prstGeom prst="rect">
                                <a:avLst/>
                              </a:prstGeom>
                              <a:noFill/>
                              <a:ln>
                                <a:noFill/>
                              </a:ln>
                              <a:effectLst/>
                            </wps:spPr>
                            <wps:txbx>
                              <w:txbxContent>
                                <w:p>
                                  <w:pPr>
                                    <w:rPr>
                                      <w:b/>
                                      <w:sz w:val="24"/>
                                      <w:szCs w:val="24"/>
                                    </w:rPr>
                                  </w:pPr>
                                  <w:bookmarkStart w:id="72" w:name="_Toc485612237"/>
                                  <w:r>
                                    <w:rPr>
                                      <w:b/>
                                      <w:sz w:val="24"/>
                                      <w:szCs w:val="24"/>
                                    </w:rPr>
                                    <w:t>建设项目所在地自然环境社会环境简况</w:t>
                                  </w:r>
                                  <w:bookmarkEnd w:id="72"/>
                                </w:p>
                              </w:txbxContent>
                            </wps:txbx>
                            <wps:bodyPr rot="0" vert="horz" wrap="square" lIns="91440" tIns="45720" rIns="91440" bIns="45720" anchor="t" anchorCtr="0" upright="1">
                              <a:noAutofit/>
                            </wps:bodyPr>
                          </wps:wsp>
                        </a:graphicData>
                      </a:graphic>
                    </wp:anchor>
                  </w:drawing>
                </mc:Choice>
                <mc:Fallback>
                  <w:pict>
                    <v:shape id="Text Box 35" o:spid="_x0000_s1026" o:spt="202" type="#_x0000_t202" style="position:absolute;left:0pt;margin-left:-5.65pt;margin-top:-26.35pt;height:21.75pt;width:245.25pt;z-index:251726848;mso-width-relative:page;mso-height-relative:page;" filled="f" stroked="f" coordsize="21600,21600" o:gfxdata="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mIvRtcAAAAKAQAADwAAAAAAAAABACAAAAAiAAAAZHJzL2Rvd25yZXYueG1sUEsBAhQA&#10;FAAAAAgAh07iQJKJG+bzAQAA1gMAAA4AAAAAAAAAAQAgAAAAJgEAAGRycy9lMm9Eb2MueG1sUEsF&#10;BgAAAAAGAAYAWQEAAIsFAAAAAA==&#10;">
                      <v:fill on="f" focussize="0,0"/>
                      <v:stroke on="f"/>
                      <v:imagedata o:title=""/>
                      <o:lock v:ext="edit" aspectratio="f"/>
                      <v:textbox>
                        <w:txbxContent>
                          <w:p>
                            <w:pPr>
                              <w:rPr>
                                <w:b/>
                                <w:sz w:val="24"/>
                                <w:szCs w:val="24"/>
                              </w:rPr>
                            </w:pPr>
                            <w:bookmarkStart w:id="72" w:name="_Toc485612237"/>
                            <w:r>
                              <w:rPr>
                                <w:b/>
                                <w:sz w:val="24"/>
                                <w:szCs w:val="24"/>
                              </w:rPr>
                              <w:t>建设项目所在地自然环境社会环境简况</w:t>
                            </w:r>
                            <w:bookmarkEnd w:id="72"/>
                          </w:p>
                        </w:txbxContent>
                      </v:textbox>
                    </v:shape>
                  </w:pict>
                </mc:Fallback>
              </mc:AlternateContent>
            </w:r>
            <w:r>
              <w:rPr>
                <w:rFonts w:hAnsi="宋体"/>
                <w:bCs/>
                <w:color w:val="auto"/>
                <w:sz w:val="24"/>
                <w:szCs w:val="24"/>
              </w:rPr>
              <w:t>自然环境简况</w:t>
            </w:r>
            <w:r>
              <w:rPr>
                <w:bCs/>
                <w:color w:val="auto"/>
                <w:sz w:val="24"/>
                <w:szCs w:val="24"/>
              </w:rPr>
              <w:t>(</w:t>
            </w:r>
            <w:r>
              <w:rPr>
                <w:rFonts w:hAnsi="宋体"/>
                <w:bCs/>
                <w:color w:val="auto"/>
                <w:sz w:val="24"/>
                <w:szCs w:val="24"/>
              </w:rPr>
              <w:t>地形、地貌、地质、气候、气象、水文、植被、生物多样性等</w:t>
            </w:r>
            <w:r>
              <w:rPr>
                <w:bCs/>
                <w:color w:val="auto"/>
                <w:sz w:val="24"/>
                <w:szCs w:val="24"/>
              </w:rPr>
              <w:t>)</w:t>
            </w:r>
            <w:r>
              <w:rPr>
                <w:rFonts w:hAnsi="宋体"/>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一、地理位置</w:t>
            </w:r>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Ansi="Times New Roman"/>
                <w:color w:val="auto"/>
                <w:sz w:val="24"/>
                <w:szCs w:val="24"/>
              </w:rPr>
            </w:pPr>
            <w:r>
              <w:rPr>
                <w:color w:val="auto"/>
                <w:sz w:val="24"/>
                <w:szCs w:val="24"/>
              </w:rPr>
              <w:t>岳阳市位于湖南省的东北部，素称</w:t>
            </w:r>
            <w:r>
              <w:rPr>
                <w:rFonts w:hAnsi="Times New Roman"/>
                <w:color w:val="auto"/>
                <w:sz w:val="24"/>
                <w:szCs w:val="24"/>
              </w:rPr>
              <w:t>“</w:t>
            </w:r>
            <w:r>
              <w:rPr>
                <w:color w:val="auto"/>
                <w:sz w:val="24"/>
                <w:szCs w:val="24"/>
              </w:rPr>
              <w:t>湘北门户</w:t>
            </w:r>
            <w:r>
              <w:rPr>
                <w:rFonts w:hAnsi="Times New Roman"/>
                <w:color w:val="auto"/>
                <w:sz w:val="24"/>
                <w:szCs w:val="24"/>
              </w:rPr>
              <w:t>”</w:t>
            </w:r>
            <w:r>
              <w:rPr>
                <w:color w:val="auto"/>
                <w:sz w:val="24"/>
                <w:szCs w:val="24"/>
              </w:rPr>
              <w:t>。地处东经</w:t>
            </w:r>
            <w:r>
              <w:rPr>
                <w:rFonts w:hAnsi="Times New Roman"/>
                <w:color w:val="auto"/>
                <w:sz w:val="24"/>
                <w:szCs w:val="24"/>
              </w:rPr>
              <w:t>112°18′31″</w:t>
            </w:r>
            <w:r>
              <w:rPr>
                <w:color w:val="auto"/>
                <w:sz w:val="24"/>
                <w:szCs w:val="24"/>
              </w:rPr>
              <w:t>～</w:t>
            </w:r>
            <w:r>
              <w:rPr>
                <w:rFonts w:hAnsi="Times New Roman"/>
                <w:color w:val="auto"/>
                <w:sz w:val="24"/>
                <w:szCs w:val="24"/>
              </w:rPr>
              <w:t>114°9′6″</w:t>
            </w:r>
            <w:r>
              <w:rPr>
                <w:color w:val="auto"/>
                <w:sz w:val="24"/>
                <w:szCs w:val="24"/>
              </w:rPr>
              <w:t>，北纬</w:t>
            </w:r>
            <w:r>
              <w:rPr>
                <w:rFonts w:hAnsi="Times New Roman"/>
                <w:color w:val="auto"/>
                <w:sz w:val="24"/>
                <w:szCs w:val="24"/>
              </w:rPr>
              <w:t>28°25′33″</w:t>
            </w:r>
            <w:r>
              <w:rPr>
                <w:color w:val="auto"/>
                <w:sz w:val="24"/>
                <w:szCs w:val="24"/>
              </w:rPr>
              <w:t>～</w:t>
            </w:r>
            <w:r>
              <w:rPr>
                <w:rFonts w:hAnsi="Times New Roman"/>
                <w:color w:val="auto"/>
                <w:sz w:val="24"/>
                <w:szCs w:val="24"/>
              </w:rPr>
              <w:t>29°51′00″</w:t>
            </w:r>
            <w:r>
              <w:rPr>
                <w:color w:val="auto"/>
                <w:sz w:val="24"/>
                <w:szCs w:val="24"/>
              </w:rPr>
              <w:t>之间。</w:t>
            </w:r>
            <w:r>
              <w:rPr>
                <w:rFonts w:hint="eastAsia" w:hAnsi="Times New Roman"/>
                <w:color w:val="auto"/>
                <w:sz w:val="24"/>
                <w:szCs w:val="24"/>
              </w:rPr>
              <w:t>平江县，隶属于湖南省岳阳市，位于湖南省东北部，处汨水、罗水上游，汨罗江自东向西贯穿全境，东与江西省修水县、铜鼓县交界，北与湖北省通城县和湖南省岳阳县相连，南与浏阳市接壤，西与长沙县、汨罗市毗邻。平江县是湘楚文化源头之一，被誉为“蓝墨水的上游”，有“中华诗词之乡”的美誉。平江是著名桂花蜜源之乡、黄金产地及林业重点县之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本项目位于</w:t>
            </w:r>
            <w:r>
              <w:rPr>
                <w:rFonts w:hint="eastAsia" w:hAnsi="宋体"/>
                <w:color w:val="auto"/>
                <w:sz w:val="24"/>
                <w:szCs w:val="24"/>
              </w:rPr>
              <w:t>岳阳市平江县城关镇长冲路与106国道交汇夹角北侧</w:t>
            </w:r>
            <w:r>
              <w:rPr>
                <w:rFonts w:hAnsi="宋体"/>
                <w:color w:val="auto"/>
                <w:sz w:val="24"/>
                <w:szCs w:val="24"/>
              </w:rPr>
              <w:t>，具体位置见附图</w:t>
            </w:r>
            <w:r>
              <w:rPr>
                <w:color w:val="auto"/>
                <w:sz w:val="24"/>
                <w:szCs w:val="24"/>
              </w:rPr>
              <w:t>1</w:t>
            </w:r>
            <w:r>
              <w:rPr>
                <w:rFonts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二、地质地貌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rFonts w:hAnsi="宋体"/>
                <w:color w:val="auto"/>
                <w:sz w:val="24"/>
                <w:szCs w:val="24"/>
              </w:rPr>
            </w:pPr>
            <w:r>
              <w:rPr>
                <w:rFonts w:hAnsi="宋体"/>
                <w:color w:val="auto"/>
                <w:sz w:val="24"/>
                <w:szCs w:val="24"/>
              </w:rPr>
              <w:t>平江县地貌以山地和丘陵为主。山地占总面积的28.5%，丘陵占55.9%，岗地占5.8%，平原占9.8%。地势东南部和东北部高，西南部低，相对高度达1500米。境内山丘分属</w:t>
            </w:r>
            <w:r>
              <w:rPr>
                <w:color w:val="auto"/>
                <w:sz w:val="24"/>
                <w:szCs w:val="24"/>
              </w:rPr>
              <w:fldChar w:fldCharType="begin"/>
            </w:r>
            <w:r>
              <w:rPr>
                <w:color w:val="auto"/>
                <w:sz w:val="24"/>
                <w:szCs w:val="24"/>
              </w:rPr>
              <w:instrText xml:space="preserve"> HYPERLINK "http://baike.sogou.com/lemma/ShowInnerLink.htm?lemmaId=446194&amp;ss_c=ssc.citiao.link" \t "_blank" </w:instrText>
            </w:r>
            <w:r>
              <w:rPr>
                <w:color w:val="auto"/>
                <w:sz w:val="24"/>
                <w:szCs w:val="24"/>
              </w:rPr>
              <w:fldChar w:fldCharType="separate"/>
            </w:r>
            <w:r>
              <w:rPr>
                <w:rStyle w:val="28"/>
                <w:rFonts w:hAnsi="宋体"/>
                <w:color w:val="auto"/>
                <w:sz w:val="24"/>
                <w:szCs w:val="24"/>
              </w:rPr>
              <w:t>连云山</w:t>
            </w:r>
            <w:r>
              <w:rPr>
                <w:rStyle w:val="28"/>
                <w:rFonts w:hAnsi="宋体"/>
                <w:color w:val="auto"/>
                <w:sz w:val="24"/>
                <w:szCs w:val="24"/>
              </w:rPr>
              <w:fldChar w:fldCharType="end"/>
            </w:r>
            <w:r>
              <w:rPr>
                <w:rFonts w:hAnsi="宋体"/>
                <w:color w:val="auto"/>
                <w:sz w:val="24"/>
                <w:szCs w:val="24"/>
              </w:rPr>
              <w:t>脉和</w:t>
            </w:r>
            <w:r>
              <w:rPr>
                <w:color w:val="auto"/>
                <w:sz w:val="24"/>
                <w:szCs w:val="24"/>
              </w:rPr>
              <w:fldChar w:fldCharType="begin"/>
            </w:r>
            <w:r>
              <w:rPr>
                <w:color w:val="auto"/>
                <w:sz w:val="24"/>
                <w:szCs w:val="24"/>
              </w:rPr>
              <w:instrText xml:space="preserve"> HYPERLINK "http://baike.sogou.com/lemma/ShowInnerLink.htm?lemmaId=182718&amp;ss_c=ssc.citiao.link" \t "_blank" </w:instrText>
            </w:r>
            <w:r>
              <w:rPr>
                <w:color w:val="auto"/>
                <w:sz w:val="24"/>
                <w:szCs w:val="24"/>
              </w:rPr>
              <w:fldChar w:fldCharType="separate"/>
            </w:r>
            <w:r>
              <w:rPr>
                <w:rStyle w:val="28"/>
                <w:rFonts w:hAnsi="宋体"/>
                <w:color w:val="auto"/>
                <w:sz w:val="24"/>
                <w:szCs w:val="24"/>
              </w:rPr>
              <w:t>幕阜山脉</w:t>
            </w:r>
            <w:r>
              <w:rPr>
                <w:rStyle w:val="28"/>
                <w:rFonts w:hAnsi="宋体"/>
                <w:color w:val="auto"/>
                <w:sz w:val="24"/>
                <w:szCs w:val="24"/>
              </w:rPr>
              <w:fldChar w:fldCharType="end"/>
            </w:r>
            <w:r>
              <w:rPr>
                <w:rFonts w:hAnsi="宋体"/>
                <w:color w:val="auto"/>
                <w:sz w:val="24"/>
                <w:szCs w:val="24"/>
              </w:rPr>
              <w:t>。连云山主峰海拔1600.3米，为境内最高峰。</w:t>
            </w:r>
            <w:r>
              <w:rPr>
                <w:color w:val="auto"/>
                <w:sz w:val="24"/>
                <w:szCs w:val="24"/>
              </w:rPr>
              <w:fldChar w:fldCharType="begin"/>
            </w:r>
            <w:r>
              <w:rPr>
                <w:color w:val="auto"/>
                <w:sz w:val="24"/>
                <w:szCs w:val="24"/>
              </w:rPr>
              <w:instrText xml:space="preserve"> HYPERLINK "http://baike.sogou.com/lemma/ShowInnerLink.htm?lemmaId=2907907&amp;ss_c=ssc.citiao.link" \t "_blank" </w:instrText>
            </w:r>
            <w:r>
              <w:rPr>
                <w:color w:val="auto"/>
                <w:sz w:val="24"/>
                <w:szCs w:val="24"/>
              </w:rPr>
              <w:fldChar w:fldCharType="separate"/>
            </w:r>
            <w:r>
              <w:rPr>
                <w:rStyle w:val="28"/>
                <w:rFonts w:hAnsi="宋体"/>
                <w:color w:val="auto"/>
                <w:sz w:val="24"/>
                <w:szCs w:val="24"/>
              </w:rPr>
              <w:t>幕阜山</w:t>
            </w:r>
            <w:r>
              <w:rPr>
                <w:rStyle w:val="28"/>
                <w:rFonts w:hAnsi="宋体"/>
                <w:color w:val="auto"/>
                <w:sz w:val="24"/>
                <w:szCs w:val="24"/>
              </w:rPr>
              <w:fldChar w:fldCharType="end"/>
            </w:r>
            <w:r>
              <w:rPr>
                <w:rFonts w:hAnsi="宋体"/>
                <w:color w:val="auto"/>
                <w:sz w:val="24"/>
                <w:szCs w:val="24"/>
              </w:rPr>
              <w:t>主峰海拔1593.6米。此外，东南部的十八折、黄花尖、下小尖；南面的</w:t>
            </w:r>
            <w:r>
              <w:rPr>
                <w:color w:val="auto"/>
                <w:sz w:val="24"/>
                <w:szCs w:val="24"/>
              </w:rPr>
              <w:fldChar w:fldCharType="begin"/>
            </w:r>
            <w:r>
              <w:rPr>
                <w:color w:val="auto"/>
                <w:sz w:val="24"/>
                <w:szCs w:val="24"/>
              </w:rPr>
              <w:instrText xml:space="preserve"> HYPERLINK "http://baike.sogou.com/lemma/ShowInnerLink.htm?lemmaId=74119587&amp;ss_c=ssc.citiao.link" \t "_blank" </w:instrText>
            </w:r>
            <w:r>
              <w:rPr>
                <w:color w:val="auto"/>
                <w:sz w:val="24"/>
                <w:szCs w:val="24"/>
              </w:rPr>
              <w:fldChar w:fldCharType="separate"/>
            </w:r>
            <w:r>
              <w:rPr>
                <w:rStyle w:val="28"/>
                <w:rFonts w:hAnsi="宋体"/>
                <w:color w:val="auto"/>
                <w:sz w:val="24"/>
                <w:szCs w:val="24"/>
              </w:rPr>
              <w:t>轿顶山</w:t>
            </w:r>
            <w:r>
              <w:rPr>
                <w:rStyle w:val="28"/>
                <w:rFonts w:hAnsi="宋体"/>
                <w:color w:val="auto"/>
                <w:sz w:val="24"/>
                <w:szCs w:val="24"/>
              </w:rPr>
              <w:fldChar w:fldCharType="end"/>
            </w:r>
            <w:r>
              <w:rPr>
                <w:rFonts w:hAnsi="宋体"/>
                <w:color w:val="auto"/>
                <w:sz w:val="24"/>
                <w:szCs w:val="24"/>
              </w:rPr>
              <w:t>、</w:t>
            </w:r>
            <w:r>
              <w:rPr>
                <w:color w:val="auto"/>
                <w:sz w:val="24"/>
                <w:szCs w:val="24"/>
              </w:rPr>
              <w:fldChar w:fldCharType="begin"/>
            </w:r>
            <w:r>
              <w:rPr>
                <w:color w:val="auto"/>
                <w:sz w:val="24"/>
                <w:szCs w:val="24"/>
              </w:rPr>
              <w:instrText xml:space="preserve"> HYPERLINK "http://baike.sogou.com/lemma/ShowInnerLink.htm?lemmaId=64720463&amp;ss_c=ssc.citiao.link" \t "_blank" </w:instrText>
            </w:r>
            <w:r>
              <w:rPr>
                <w:color w:val="auto"/>
                <w:sz w:val="24"/>
                <w:szCs w:val="24"/>
              </w:rPr>
              <w:fldChar w:fldCharType="separate"/>
            </w:r>
            <w:r>
              <w:rPr>
                <w:rStyle w:val="28"/>
                <w:rFonts w:hAnsi="宋体"/>
                <w:color w:val="auto"/>
                <w:sz w:val="24"/>
                <w:szCs w:val="24"/>
              </w:rPr>
              <w:t>福寿山</w:t>
            </w:r>
            <w:r>
              <w:rPr>
                <w:rStyle w:val="28"/>
                <w:rFonts w:hAnsi="宋体"/>
                <w:color w:val="auto"/>
                <w:sz w:val="24"/>
                <w:szCs w:val="24"/>
              </w:rPr>
              <w:fldChar w:fldCharType="end"/>
            </w:r>
            <w:r>
              <w:rPr>
                <w:rFonts w:hAnsi="宋体"/>
                <w:color w:val="auto"/>
                <w:sz w:val="24"/>
                <w:szCs w:val="24"/>
              </w:rPr>
              <w:t>、白水坪、甑盖山、十八盘、寒婆坳；东北部的一峰尖、</w:t>
            </w:r>
            <w:r>
              <w:rPr>
                <w:color w:val="auto"/>
                <w:sz w:val="24"/>
                <w:szCs w:val="24"/>
              </w:rPr>
              <w:fldChar w:fldCharType="begin"/>
            </w:r>
            <w:r>
              <w:rPr>
                <w:color w:val="auto"/>
                <w:sz w:val="24"/>
                <w:szCs w:val="24"/>
              </w:rPr>
              <w:instrText xml:space="preserve"> HYPERLINK "http://baike.sogou.com/lemma/ShowInnerLink.htm?lemmaId=570431&amp;ss_c=ssc.citiao.link" \t "_blank" </w:instrText>
            </w:r>
            <w:r>
              <w:rPr>
                <w:color w:val="auto"/>
                <w:sz w:val="24"/>
                <w:szCs w:val="24"/>
              </w:rPr>
              <w:fldChar w:fldCharType="separate"/>
            </w:r>
            <w:r>
              <w:rPr>
                <w:rStyle w:val="28"/>
                <w:rFonts w:hAnsi="宋体"/>
                <w:color w:val="auto"/>
                <w:sz w:val="24"/>
                <w:szCs w:val="24"/>
              </w:rPr>
              <w:t>九龙池</w:t>
            </w:r>
            <w:r>
              <w:rPr>
                <w:rStyle w:val="28"/>
                <w:rFonts w:hAnsi="宋体"/>
                <w:color w:val="auto"/>
                <w:sz w:val="24"/>
                <w:szCs w:val="24"/>
              </w:rPr>
              <w:fldChar w:fldCharType="end"/>
            </w:r>
            <w:r>
              <w:rPr>
                <w:rFonts w:hAnsi="宋体"/>
                <w:color w:val="auto"/>
                <w:sz w:val="24"/>
                <w:szCs w:val="24"/>
              </w:rPr>
              <w:t>、</w:t>
            </w:r>
            <w:r>
              <w:rPr>
                <w:color w:val="auto"/>
                <w:sz w:val="24"/>
                <w:szCs w:val="24"/>
              </w:rPr>
              <w:fldChar w:fldCharType="begin"/>
            </w:r>
            <w:r>
              <w:rPr>
                <w:color w:val="auto"/>
                <w:sz w:val="24"/>
                <w:szCs w:val="24"/>
              </w:rPr>
              <w:instrText xml:space="preserve"> HYPERLINK "http://baike.sogou.com/lemma/ShowInnerLink.htm?lemmaId=72053150&amp;ss_c=ssc.citiao.link" \t "_blank" </w:instrText>
            </w:r>
            <w:r>
              <w:rPr>
                <w:color w:val="auto"/>
                <w:sz w:val="24"/>
                <w:szCs w:val="24"/>
              </w:rPr>
              <w:fldChar w:fldCharType="separate"/>
            </w:r>
            <w:r>
              <w:rPr>
                <w:rStyle w:val="28"/>
                <w:rFonts w:hAnsi="宋体"/>
                <w:color w:val="auto"/>
                <w:sz w:val="24"/>
                <w:szCs w:val="24"/>
              </w:rPr>
              <w:t>云腾</w:t>
            </w:r>
            <w:r>
              <w:rPr>
                <w:rStyle w:val="28"/>
                <w:rFonts w:hAnsi="宋体"/>
                <w:color w:val="auto"/>
                <w:sz w:val="24"/>
                <w:szCs w:val="24"/>
              </w:rPr>
              <w:fldChar w:fldCharType="end"/>
            </w:r>
            <w:r>
              <w:rPr>
                <w:rFonts w:hAnsi="宋体"/>
                <w:color w:val="auto"/>
                <w:sz w:val="24"/>
                <w:szCs w:val="24"/>
              </w:rPr>
              <w:t>寺、</w:t>
            </w:r>
            <w:r>
              <w:rPr>
                <w:color w:val="auto"/>
                <w:sz w:val="24"/>
                <w:szCs w:val="24"/>
              </w:rPr>
              <w:fldChar w:fldCharType="begin"/>
            </w:r>
            <w:r>
              <w:rPr>
                <w:color w:val="auto"/>
                <w:sz w:val="24"/>
                <w:szCs w:val="24"/>
              </w:rPr>
              <w:instrText xml:space="preserve"> HYPERLINK "http://baike.sogou.com/lemma/ShowInnerLink.htm?lemmaId=4351318&amp;ss_c=ssc.citiao.link" \t "_blank" </w:instrText>
            </w:r>
            <w:r>
              <w:rPr>
                <w:color w:val="auto"/>
                <w:sz w:val="24"/>
                <w:szCs w:val="24"/>
              </w:rPr>
              <w:fldChar w:fldCharType="separate"/>
            </w:r>
            <w:r>
              <w:rPr>
                <w:rStyle w:val="28"/>
                <w:rFonts w:hAnsi="宋体"/>
                <w:color w:val="auto"/>
                <w:sz w:val="24"/>
                <w:szCs w:val="24"/>
              </w:rPr>
              <w:t>黄龙山</w:t>
            </w:r>
            <w:r>
              <w:rPr>
                <w:rStyle w:val="28"/>
                <w:rFonts w:hAnsi="宋体"/>
                <w:color w:val="auto"/>
                <w:sz w:val="24"/>
                <w:szCs w:val="24"/>
              </w:rPr>
              <w:fldChar w:fldCharType="end"/>
            </w:r>
            <w:r>
              <w:rPr>
                <w:rFonts w:hAnsi="宋体"/>
                <w:color w:val="auto"/>
                <w:sz w:val="24"/>
                <w:szCs w:val="24"/>
              </w:rPr>
              <w:t>、只角楼、秋水塘、丘池塘；北部的流水庵、凤凰山、凤凰翅、</w:t>
            </w:r>
            <w:r>
              <w:rPr>
                <w:color w:val="auto"/>
                <w:sz w:val="24"/>
                <w:szCs w:val="24"/>
              </w:rPr>
              <w:fldChar w:fldCharType="begin"/>
            </w:r>
            <w:r>
              <w:rPr>
                <w:color w:val="auto"/>
                <w:sz w:val="24"/>
                <w:szCs w:val="24"/>
              </w:rPr>
              <w:instrText xml:space="preserve"> HYPERLINK "http://baike.sogou.com/lemma/ShowInnerLink.htm?lemmaId=8560382&amp;ss_c=ssc.citiao.link" \t "_blank" </w:instrText>
            </w:r>
            <w:r>
              <w:rPr>
                <w:color w:val="auto"/>
                <w:sz w:val="24"/>
                <w:szCs w:val="24"/>
              </w:rPr>
              <w:fldChar w:fldCharType="separate"/>
            </w:r>
            <w:r>
              <w:rPr>
                <w:rStyle w:val="28"/>
                <w:rFonts w:hAnsi="宋体"/>
                <w:color w:val="auto"/>
                <w:sz w:val="24"/>
                <w:szCs w:val="24"/>
              </w:rPr>
              <w:t>燕子岩</w:t>
            </w:r>
            <w:r>
              <w:rPr>
                <w:rStyle w:val="28"/>
                <w:rFonts w:hAnsi="宋体"/>
                <w:color w:val="auto"/>
                <w:sz w:val="24"/>
                <w:szCs w:val="24"/>
              </w:rPr>
              <w:fldChar w:fldCharType="end"/>
            </w:r>
            <w:r>
              <w:rPr>
                <w:rFonts w:hAnsi="宋体"/>
                <w:color w:val="auto"/>
                <w:sz w:val="24"/>
                <w:szCs w:val="24"/>
              </w:rPr>
              <w:t>、冬桃山等21座山，海拔均在1000米以上。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三、气候、气象</w:t>
            </w:r>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Ansi="Times New Roman" w:eastAsiaTheme="minorEastAsia"/>
                <w:color w:val="auto"/>
                <w:sz w:val="24"/>
                <w:szCs w:val="24"/>
              </w:rPr>
            </w:pPr>
            <w:r>
              <w:rPr>
                <w:rFonts w:hAnsi="Times New Roman" w:eastAsiaTheme="minorEastAsia"/>
                <w:color w:val="auto"/>
                <w:sz w:val="24"/>
                <w:szCs w:val="24"/>
              </w:rPr>
              <w:t>平江县气候属</w:t>
            </w:r>
            <w:r>
              <w:rPr>
                <w:color w:val="auto"/>
                <w:sz w:val="24"/>
                <w:szCs w:val="24"/>
              </w:rPr>
              <w:fldChar w:fldCharType="begin"/>
            </w:r>
            <w:r>
              <w:rPr>
                <w:color w:val="auto"/>
                <w:sz w:val="24"/>
                <w:szCs w:val="24"/>
              </w:rPr>
              <w:instrText xml:space="preserve"> HYPERLINK "http://baike.sogou.com/lemma/ShowInnerLink.htm?lemmaId=101467422&amp;ss_c=ssc.citiao.link" \t "_blank" </w:instrText>
            </w:r>
            <w:r>
              <w:rPr>
                <w:color w:val="auto"/>
                <w:sz w:val="24"/>
                <w:szCs w:val="24"/>
              </w:rPr>
              <w:fldChar w:fldCharType="separate"/>
            </w:r>
            <w:r>
              <w:rPr>
                <w:rStyle w:val="28"/>
                <w:rFonts w:hAnsi="Times New Roman" w:eastAsiaTheme="minorEastAsia"/>
                <w:color w:val="auto"/>
                <w:sz w:val="24"/>
                <w:szCs w:val="24"/>
              </w:rPr>
              <w:t>大陆性季风气候</w:t>
            </w:r>
            <w:r>
              <w:rPr>
                <w:rStyle w:val="28"/>
                <w:rFonts w:hAnsi="Times New Roman" w:eastAsiaTheme="minorEastAsia"/>
                <w:color w:val="auto"/>
                <w:sz w:val="24"/>
                <w:szCs w:val="24"/>
              </w:rPr>
              <w:fldChar w:fldCharType="end"/>
            </w:r>
            <w:r>
              <w:rPr>
                <w:rFonts w:hAnsi="Times New Roman" w:eastAsiaTheme="minorEastAsia"/>
                <w:color w:val="auto"/>
                <w:sz w:val="24"/>
                <w:szCs w:val="24"/>
              </w:rPr>
              <w:t>区，东亚热带向北亚带过渡气候带。主要气候特征为：春温多雨、寒流频繁，降水集中；夏秋多旱；严寒期短，无霜期长；风小、雾多、温度大。年平均气温16.8</w:t>
            </w:r>
            <w:r>
              <w:rPr>
                <w:rFonts w:hint="eastAsia" w:ascii="宋体" w:cs="宋体"/>
                <w:color w:val="auto"/>
                <w:sz w:val="24"/>
                <w:szCs w:val="24"/>
              </w:rPr>
              <w:t>℃</w:t>
            </w:r>
            <w:r>
              <w:rPr>
                <w:rFonts w:hint="eastAsia" w:hAnsi="Times New Roman" w:eastAsiaTheme="minorEastAsia"/>
                <w:color w:val="auto"/>
                <w:sz w:val="24"/>
                <w:szCs w:val="24"/>
              </w:rPr>
              <w:t>，</w:t>
            </w:r>
            <w:r>
              <w:rPr>
                <w:rFonts w:hAnsi="Times New Roman" w:eastAsiaTheme="minorEastAsia"/>
                <w:color w:val="auto"/>
                <w:sz w:val="24"/>
                <w:szCs w:val="24"/>
              </w:rPr>
              <w:t>常年积温6185.3</w:t>
            </w:r>
            <w:r>
              <w:rPr>
                <w:rFonts w:hint="eastAsia" w:ascii="宋体" w:cs="宋体"/>
                <w:color w:val="auto"/>
                <w:sz w:val="24"/>
                <w:szCs w:val="24"/>
              </w:rPr>
              <w:t>℃</w:t>
            </w:r>
            <w:r>
              <w:rPr>
                <w:rFonts w:hAnsi="Times New Roman" w:eastAsiaTheme="minorEastAsia"/>
                <w:color w:val="auto"/>
                <w:sz w:val="24"/>
                <w:szCs w:val="24"/>
              </w:rPr>
              <w:t>。1月平均气温4.9</w:t>
            </w:r>
            <w:r>
              <w:rPr>
                <w:rFonts w:hint="eastAsia" w:ascii="宋体" w:cs="宋体"/>
                <w:color w:val="auto"/>
                <w:sz w:val="24"/>
                <w:szCs w:val="24"/>
              </w:rPr>
              <w:t>℃</w:t>
            </w:r>
            <w:r>
              <w:rPr>
                <w:rFonts w:hAnsi="Times New Roman" w:eastAsiaTheme="minorEastAsia"/>
                <w:color w:val="auto"/>
                <w:sz w:val="24"/>
                <w:szCs w:val="24"/>
              </w:rPr>
              <w:t>，极端最低气温为-12</w:t>
            </w:r>
            <w:r>
              <w:rPr>
                <w:rFonts w:hint="eastAsia" w:ascii="宋体" w:cs="宋体"/>
                <w:color w:val="auto"/>
                <w:sz w:val="24"/>
                <w:szCs w:val="24"/>
              </w:rPr>
              <w:t>℃</w:t>
            </w:r>
            <w:r>
              <w:rPr>
                <w:rFonts w:hAnsi="Times New Roman" w:eastAsiaTheme="minorEastAsia"/>
                <w:color w:val="auto"/>
                <w:sz w:val="24"/>
                <w:szCs w:val="24"/>
              </w:rPr>
              <w:t>（1972年2月9日），7月平均气温28.6</w:t>
            </w:r>
            <w:r>
              <w:rPr>
                <w:rFonts w:hint="eastAsia" w:ascii="宋体" w:cs="宋体"/>
                <w:color w:val="auto"/>
                <w:sz w:val="24"/>
                <w:szCs w:val="24"/>
              </w:rPr>
              <w:t>℃</w:t>
            </w:r>
            <w:r>
              <w:rPr>
                <w:rFonts w:hAnsi="Times New Roman" w:eastAsiaTheme="minorEastAsia"/>
                <w:color w:val="auto"/>
                <w:sz w:val="24"/>
                <w:szCs w:val="24"/>
              </w:rPr>
              <w:t>，极端最高气温40.3</w:t>
            </w:r>
            <w:r>
              <w:rPr>
                <w:rFonts w:hint="eastAsia" w:ascii="宋体" w:cs="宋体"/>
                <w:color w:val="auto"/>
                <w:sz w:val="24"/>
                <w:szCs w:val="24"/>
              </w:rPr>
              <w:t>℃</w:t>
            </w:r>
            <w:r>
              <w:rPr>
                <w:rFonts w:hAnsi="Times New Roman" w:eastAsiaTheme="minorEastAsia"/>
                <w:color w:val="auto"/>
                <w:sz w:val="24"/>
                <w:szCs w:val="24"/>
              </w:rPr>
              <w:t>（1971年7月26日）。年平均气温5</w:t>
            </w:r>
            <w:r>
              <w:rPr>
                <w:rFonts w:hint="eastAsia" w:ascii="宋体" w:cs="宋体"/>
                <w:color w:val="auto"/>
                <w:sz w:val="24"/>
                <w:szCs w:val="24"/>
              </w:rPr>
              <w:t>℃</w:t>
            </w:r>
            <w:r>
              <w:rPr>
                <w:rFonts w:hAnsi="Times New Roman" w:eastAsiaTheme="minorEastAsia"/>
                <w:color w:val="auto"/>
                <w:sz w:val="24"/>
                <w:szCs w:val="24"/>
              </w:rPr>
              <w:t>以上的持续时期为295天。年平均降水量1450.8毫米，雨雪160天。常年雨季从四月初开始，持续80天。雨季降水最占全年降水量的50%。年日照1731小时，太阳辐射平均为每平方厘米108.5千卡。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723" w:firstLineChars="300"/>
              <w:jc w:val="both"/>
              <w:textAlignment w:val="auto"/>
              <w:outlineLvl w:val="9"/>
              <w:rPr>
                <w:b/>
                <w:color w:val="auto"/>
                <w:sz w:val="24"/>
                <w:szCs w:val="24"/>
              </w:rPr>
            </w:pPr>
            <w:r>
              <w:rPr>
                <w:rFonts w:hAnsi="宋体"/>
                <w:b/>
                <w:color w:val="auto"/>
                <w:sz w:val="24"/>
                <w:szCs w:val="24"/>
              </w:rPr>
              <w:t>四、水文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rFonts w:hAnsi="宋体"/>
                <w:color w:val="auto"/>
                <w:sz w:val="24"/>
                <w:szCs w:val="24"/>
              </w:rPr>
            </w:pPr>
            <w:r>
              <w:rPr>
                <w:rFonts w:hAnsi="宋体"/>
                <w:color w:val="auto"/>
                <w:sz w:val="24"/>
                <w:szCs w:val="24"/>
              </w:rPr>
              <w:t>境内河网密布，分属</w:t>
            </w:r>
            <w:r>
              <w:rPr>
                <w:color w:val="auto"/>
                <w:sz w:val="24"/>
                <w:szCs w:val="24"/>
              </w:rPr>
              <w:fldChar w:fldCharType="begin"/>
            </w:r>
            <w:r>
              <w:rPr>
                <w:color w:val="auto"/>
                <w:sz w:val="24"/>
                <w:szCs w:val="24"/>
              </w:rPr>
              <w:instrText xml:space="preserve"> HYPERLINK "http://baike.sogou.com/lemma/ShowInnerLink.htm?lemmaId=36564&amp;ss_c=ssc.citiao.link" \t "_blank" </w:instrText>
            </w:r>
            <w:r>
              <w:rPr>
                <w:color w:val="auto"/>
                <w:sz w:val="24"/>
                <w:szCs w:val="24"/>
              </w:rPr>
              <w:fldChar w:fldCharType="separate"/>
            </w:r>
            <w:r>
              <w:rPr>
                <w:rStyle w:val="28"/>
                <w:rFonts w:hAnsi="宋体"/>
                <w:color w:val="auto"/>
                <w:sz w:val="24"/>
                <w:szCs w:val="24"/>
              </w:rPr>
              <w:t>汨罗江</w:t>
            </w:r>
            <w:r>
              <w:rPr>
                <w:rStyle w:val="28"/>
                <w:rFonts w:hAnsi="宋体"/>
                <w:color w:val="auto"/>
                <w:sz w:val="24"/>
                <w:szCs w:val="24"/>
              </w:rPr>
              <w:fldChar w:fldCharType="end"/>
            </w:r>
            <w:r>
              <w:rPr>
                <w:rFonts w:hAnsi="宋体"/>
                <w:color w:val="auto"/>
                <w:sz w:val="24"/>
                <w:szCs w:val="24"/>
              </w:rPr>
              <w:t>和</w:t>
            </w:r>
            <w:r>
              <w:rPr>
                <w:color w:val="auto"/>
                <w:sz w:val="24"/>
                <w:szCs w:val="24"/>
              </w:rPr>
              <w:fldChar w:fldCharType="begin"/>
            </w:r>
            <w:r>
              <w:rPr>
                <w:color w:val="auto"/>
                <w:sz w:val="24"/>
                <w:szCs w:val="24"/>
              </w:rPr>
              <w:instrText xml:space="preserve"> HYPERLINK "http://baike.sogou.com/lemma/ShowInnerLink.htm?lemmaId=63424547&amp;ss_c=ssc.citiao.link" \t "_blank" </w:instrText>
            </w:r>
            <w:r>
              <w:rPr>
                <w:color w:val="auto"/>
                <w:sz w:val="24"/>
                <w:szCs w:val="24"/>
              </w:rPr>
              <w:fldChar w:fldCharType="separate"/>
            </w:r>
            <w:r>
              <w:rPr>
                <w:rStyle w:val="28"/>
                <w:rFonts w:hAnsi="宋体"/>
                <w:color w:val="auto"/>
                <w:sz w:val="24"/>
                <w:szCs w:val="24"/>
              </w:rPr>
              <w:t>新墙河</w:t>
            </w:r>
            <w:r>
              <w:rPr>
                <w:rStyle w:val="28"/>
                <w:rFonts w:hAnsi="宋体"/>
                <w:color w:val="auto"/>
                <w:sz w:val="24"/>
                <w:szCs w:val="24"/>
              </w:rPr>
              <w:fldChar w:fldCharType="end"/>
            </w:r>
            <w:r>
              <w:rPr>
                <w:rFonts w:hAnsi="宋体"/>
                <w:color w:val="auto"/>
                <w:sz w:val="24"/>
                <w:szCs w:val="24"/>
              </w:rPr>
              <w:t>两大水系。汨罗江流域面积占96.1%；新墙河流面积占3.9%。汨水自东向西贯穿全境，境内全长192.9公里，有大小支流141条，总长2656.9公里，河网密度0.64公里/平方公里。径流总量32.56亿立方米。141条河流中，一级支流有木瓜河、钟洞河、清水、昌江等50条；二级支流67条；三级支流21条；四级支流3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color w:val="auto"/>
                <w:sz w:val="24"/>
                <w:szCs w:val="24"/>
              </w:rPr>
            </w:pPr>
            <w:r>
              <w:rPr>
                <w:rFonts w:hAnsi="宋体"/>
                <w:b/>
                <w:color w:val="auto"/>
                <w:sz w:val="24"/>
                <w:szCs w:val="24"/>
              </w:rPr>
              <w:t>五、生物多样性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rFonts w:hAnsi="宋体"/>
                <w:color w:val="auto"/>
                <w:sz w:val="24"/>
                <w:szCs w:val="24"/>
              </w:rPr>
            </w:pPr>
            <w:r>
              <w:rPr>
                <w:rFonts w:hAnsi="宋体"/>
                <w:color w:val="auto"/>
                <w:sz w:val="24"/>
                <w:szCs w:val="24"/>
              </w:rPr>
              <w:t>平江县有伯乐树、珙桐、</w:t>
            </w:r>
            <w:r>
              <w:rPr>
                <w:color w:val="auto"/>
                <w:sz w:val="24"/>
                <w:szCs w:val="24"/>
              </w:rPr>
              <w:fldChar w:fldCharType="begin"/>
            </w:r>
            <w:r>
              <w:rPr>
                <w:color w:val="auto"/>
                <w:sz w:val="24"/>
                <w:szCs w:val="24"/>
              </w:rPr>
              <w:instrText xml:space="preserve"> HYPERLINK "http://baike.sogou.com/lemma/ShowInnerLink.htm?lemmaId=145053&amp;ss_c=ssc.citiao.link" \t "_blank" </w:instrText>
            </w:r>
            <w:r>
              <w:rPr>
                <w:color w:val="auto"/>
                <w:sz w:val="24"/>
                <w:szCs w:val="24"/>
              </w:rPr>
              <w:fldChar w:fldCharType="separate"/>
            </w:r>
            <w:r>
              <w:rPr>
                <w:rStyle w:val="28"/>
                <w:rFonts w:hAnsi="宋体"/>
                <w:color w:val="auto"/>
                <w:sz w:val="24"/>
                <w:szCs w:val="24"/>
              </w:rPr>
              <w:t>南方红豆杉</w:t>
            </w:r>
            <w:r>
              <w:rPr>
                <w:rStyle w:val="28"/>
                <w:rFonts w:hAnsi="宋体"/>
                <w:color w:val="auto"/>
                <w:sz w:val="24"/>
                <w:szCs w:val="24"/>
              </w:rPr>
              <w:fldChar w:fldCharType="end"/>
            </w:r>
            <w:r>
              <w:rPr>
                <w:rFonts w:hAnsi="宋体"/>
                <w:color w:val="auto"/>
                <w:sz w:val="24"/>
                <w:szCs w:val="24"/>
              </w:rPr>
              <w:t>、红豆杉等一级保护植物4种，闽楠、樟树（香樟）、厚朴、杜仲、</w:t>
            </w:r>
            <w:r>
              <w:rPr>
                <w:color w:val="auto"/>
                <w:sz w:val="24"/>
                <w:szCs w:val="24"/>
              </w:rPr>
              <w:fldChar w:fldCharType="begin"/>
            </w:r>
            <w:r>
              <w:rPr>
                <w:color w:val="auto"/>
                <w:sz w:val="24"/>
                <w:szCs w:val="24"/>
              </w:rPr>
              <w:instrText xml:space="preserve"> HYPERLINK "http://baike.sogou.com/lemma/ShowInnerLink.htm?lemmaId=145064&amp;ss_c=ssc.citiao.link" \t "_blank" </w:instrText>
            </w:r>
            <w:r>
              <w:rPr>
                <w:color w:val="auto"/>
                <w:sz w:val="24"/>
                <w:szCs w:val="24"/>
              </w:rPr>
              <w:fldChar w:fldCharType="separate"/>
            </w:r>
            <w:r>
              <w:rPr>
                <w:rStyle w:val="28"/>
                <w:rFonts w:hAnsi="宋体"/>
                <w:color w:val="auto"/>
                <w:sz w:val="24"/>
                <w:szCs w:val="24"/>
              </w:rPr>
              <w:t>蓖子三尖杉</w:t>
            </w:r>
            <w:r>
              <w:rPr>
                <w:rStyle w:val="28"/>
                <w:rFonts w:hAnsi="宋体"/>
                <w:color w:val="auto"/>
                <w:sz w:val="24"/>
                <w:szCs w:val="24"/>
              </w:rPr>
              <w:fldChar w:fldCharType="end"/>
            </w:r>
            <w:r>
              <w:rPr>
                <w:rFonts w:hAnsi="宋体"/>
                <w:color w:val="auto"/>
                <w:sz w:val="24"/>
                <w:szCs w:val="24"/>
              </w:rPr>
              <w:t>、香果树、鹅掌揪、金钱松、喜树、榉树、</w:t>
            </w:r>
            <w:r>
              <w:rPr>
                <w:color w:val="auto"/>
                <w:sz w:val="24"/>
                <w:szCs w:val="24"/>
              </w:rPr>
              <w:fldChar w:fldCharType="begin"/>
            </w:r>
            <w:r>
              <w:rPr>
                <w:color w:val="auto"/>
                <w:sz w:val="24"/>
                <w:szCs w:val="24"/>
              </w:rPr>
              <w:instrText xml:space="preserve"> HYPERLINK "http://baike.sogou.com/lemma/ShowInnerLink.htm?lemmaId=146946&amp;ss_c=ssc.citiao.link" \t "_blank" </w:instrText>
            </w:r>
            <w:r>
              <w:rPr>
                <w:color w:val="auto"/>
                <w:sz w:val="24"/>
                <w:szCs w:val="24"/>
              </w:rPr>
              <w:fldChar w:fldCharType="separate"/>
            </w:r>
            <w:r>
              <w:rPr>
                <w:rStyle w:val="28"/>
                <w:rFonts w:hAnsi="宋体"/>
                <w:color w:val="auto"/>
                <w:sz w:val="24"/>
                <w:szCs w:val="24"/>
              </w:rPr>
              <w:t>凹叶厚朴</w:t>
            </w:r>
            <w:r>
              <w:rPr>
                <w:rStyle w:val="28"/>
                <w:rFonts w:hAnsi="宋体"/>
                <w:color w:val="auto"/>
                <w:sz w:val="24"/>
                <w:szCs w:val="24"/>
              </w:rPr>
              <w:fldChar w:fldCharType="end"/>
            </w:r>
            <w:r>
              <w:rPr>
                <w:rFonts w:hAnsi="宋体"/>
                <w:color w:val="auto"/>
                <w:sz w:val="24"/>
                <w:szCs w:val="24"/>
              </w:rPr>
              <w:t>、香榧、毛红椿、喙核桃、福建柏等二级保护植物15种；云豹、</w:t>
            </w:r>
            <w:r>
              <w:rPr>
                <w:color w:val="auto"/>
                <w:sz w:val="24"/>
                <w:szCs w:val="24"/>
              </w:rPr>
              <w:fldChar w:fldCharType="begin"/>
            </w:r>
            <w:r>
              <w:rPr>
                <w:color w:val="auto"/>
                <w:sz w:val="24"/>
                <w:szCs w:val="24"/>
              </w:rPr>
              <w:instrText xml:space="preserve"> HYPERLINK "http://baike.sogou.com/lemma/ShowInnerLink.htm?lemmaId=355522&amp;ss_c=ssc.citiao.link" \t "_blank" </w:instrText>
            </w:r>
            <w:r>
              <w:rPr>
                <w:color w:val="auto"/>
                <w:sz w:val="24"/>
                <w:szCs w:val="24"/>
              </w:rPr>
              <w:fldChar w:fldCharType="separate"/>
            </w:r>
            <w:r>
              <w:rPr>
                <w:rStyle w:val="28"/>
                <w:rFonts w:hAnsi="宋体"/>
                <w:color w:val="auto"/>
                <w:sz w:val="24"/>
                <w:szCs w:val="24"/>
              </w:rPr>
              <w:t>黄腹角雉</w:t>
            </w:r>
            <w:r>
              <w:rPr>
                <w:rStyle w:val="28"/>
                <w:rFonts w:hAnsi="宋体"/>
                <w:color w:val="auto"/>
                <w:sz w:val="24"/>
                <w:szCs w:val="24"/>
              </w:rPr>
              <w:fldChar w:fldCharType="end"/>
            </w:r>
            <w:r>
              <w:rPr>
                <w:rFonts w:hAnsi="宋体"/>
                <w:color w:val="auto"/>
                <w:sz w:val="24"/>
                <w:szCs w:val="24"/>
              </w:rPr>
              <w:t>、金雕、大蟒等</w:t>
            </w:r>
            <w:r>
              <w:rPr>
                <w:color w:val="auto"/>
                <w:sz w:val="24"/>
                <w:szCs w:val="24"/>
              </w:rPr>
              <w:fldChar w:fldCharType="begin"/>
            </w:r>
            <w:r>
              <w:rPr>
                <w:color w:val="auto"/>
                <w:sz w:val="24"/>
                <w:szCs w:val="24"/>
              </w:rPr>
              <w:instrText xml:space="preserve"> HYPERLINK "http://baike.sogou.com/lemma/ShowInnerLink.htm?lemmaId=52465482&amp;ss_c=ssc.citiao.link" \t "_blank" </w:instrText>
            </w:r>
            <w:r>
              <w:rPr>
                <w:color w:val="auto"/>
                <w:sz w:val="24"/>
                <w:szCs w:val="24"/>
              </w:rPr>
              <w:fldChar w:fldCharType="separate"/>
            </w:r>
            <w:r>
              <w:rPr>
                <w:rStyle w:val="28"/>
                <w:rFonts w:hAnsi="宋体"/>
                <w:color w:val="auto"/>
                <w:sz w:val="24"/>
                <w:szCs w:val="24"/>
              </w:rPr>
              <w:t>一级保护动物</w:t>
            </w:r>
            <w:r>
              <w:rPr>
                <w:rStyle w:val="28"/>
                <w:rFonts w:hAnsi="宋体"/>
                <w:color w:val="auto"/>
                <w:sz w:val="24"/>
                <w:szCs w:val="24"/>
              </w:rPr>
              <w:fldChar w:fldCharType="end"/>
            </w:r>
            <w:r>
              <w:rPr>
                <w:rFonts w:hAnsi="宋体"/>
                <w:color w:val="auto"/>
                <w:sz w:val="24"/>
                <w:szCs w:val="24"/>
              </w:rPr>
              <w:t>4种，小天鹅、草鸮、长耳鸮、大鲵、猕猴、穿山甲、豺、青鼬、水獭、果子狸、大灵猫、小灵猫、河鹿、</w:t>
            </w:r>
            <w:r>
              <w:rPr>
                <w:color w:val="auto"/>
                <w:sz w:val="24"/>
                <w:szCs w:val="24"/>
              </w:rPr>
              <w:fldChar w:fldCharType="begin"/>
            </w:r>
            <w:r>
              <w:rPr>
                <w:color w:val="auto"/>
                <w:sz w:val="24"/>
                <w:szCs w:val="24"/>
              </w:rPr>
              <w:instrText xml:space="preserve"> HYPERLINK "http://baike.sogou.com/lemma/ShowInnerLink.htm?lemmaId=90442&amp;ss_c=ssc.citiao.link" \t "_blank" </w:instrText>
            </w:r>
            <w:r>
              <w:rPr>
                <w:color w:val="auto"/>
                <w:sz w:val="24"/>
                <w:szCs w:val="24"/>
              </w:rPr>
              <w:fldChar w:fldCharType="separate"/>
            </w:r>
            <w:r>
              <w:rPr>
                <w:rStyle w:val="28"/>
                <w:rFonts w:hAnsi="宋体"/>
                <w:color w:val="auto"/>
                <w:sz w:val="24"/>
                <w:szCs w:val="24"/>
              </w:rPr>
              <w:t>白冠长尾雉</w:t>
            </w:r>
            <w:r>
              <w:rPr>
                <w:rStyle w:val="28"/>
                <w:rFonts w:hAnsi="宋体"/>
                <w:color w:val="auto"/>
                <w:sz w:val="24"/>
                <w:szCs w:val="24"/>
              </w:rPr>
              <w:fldChar w:fldCharType="end"/>
            </w:r>
            <w:r>
              <w:rPr>
                <w:rFonts w:hAnsi="宋体"/>
                <w:color w:val="auto"/>
                <w:sz w:val="24"/>
                <w:szCs w:val="24"/>
              </w:rPr>
              <w:t>、白鹇、勺鸡、东方号鸮、领角鸮、黄角渔鸮、</w:t>
            </w:r>
            <w:r>
              <w:rPr>
                <w:color w:val="auto"/>
                <w:sz w:val="24"/>
                <w:szCs w:val="24"/>
              </w:rPr>
              <w:fldChar w:fldCharType="begin"/>
            </w:r>
            <w:r>
              <w:rPr>
                <w:color w:val="auto"/>
                <w:sz w:val="24"/>
                <w:szCs w:val="24"/>
              </w:rPr>
              <w:instrText xml:space="preserve"> HYPERLINK "http://baike.sogou.com/lemma/ShowInnerLink.htm?lemmaId=90722&amp;ss_c=ssc.citiao.link" \t "_blank" </w:instrText>
            </w:r>
            <w:r>
              <w:rPr>
                <w:color w:val="auto"/>
                <w:sz w:val="24"/>
                <w:szCs w:val="24"/>
              </w:rPr>
              <w:fldChar w:fldCharType="separate"/>
            </w:r>
            <w:r>
              <w:rPr>
                <w:rStyle w:val="28"/>
                <w:rFonts w:hAnsi="宋体"/>
                <w:color w:val="auto"/>
                <w:sz w:val="24"/>
                <w:szCs w:val="24"/>
              </w:rPr>
              <w:t>斑头鸺鹠</w:t>
            </w:r>
            <w:r>
              <w:rPr>
                <w:rStyle w:val="28"/>
                <w:rFonts w:hAnsi="宋体"/>
                <w:color w:val="auto"/>
                <w:sz w:val="24"/>
                <w:szCs w:val="24"/>
              </w:rPr>
              <w:fldChar w:fldCharType="end"/>
            </w:r>
            <w:r>
              <w:rPr>
                <w:rFonts w:hAnsi="宋体"/>
                <w:color w:val="auto"/>
                <w:sz w:val="24"/>
                <w:szCs w:val="24"/>
              </w:rPr>
              <w:t>、短耳鸮、黑耳鸢、风头蜂膺、白尾鹞、雀鹰、赤腹鹰、普通鵟、大鵟、游隼、燕隼、红隼等</w:t>
            </w:r>
            <w:r>
              <w:rPr>
                <w:color w:val="auto"/>
                <w:sz w:val="24"/>
                <w:szCs w:val="24"/>
              </w:rPr>
              <w:fldChar w:fldCharType="begin"/>
            </w:r>
            <w:r>
              <w:rPr>
                <w:color w:val="auto"/>
                <w:sz w:val="24"/>
                <w:szCs w:val="24"/>
              </w:rPr>
              <w:instrText xml:space="preserve"> HYPERLINK "http://baike.sogou.com/lemma/ShowInnerLink.htm?lemmaId=7519004&amp;ss_c=ssc.citiao.link" \t "_blank" </w:instrText>
            </w:r>
            <w:r>
              <w:rPr>
                <w:color w:val="auto"/>
                <w:sz w:val="24"/>
                <w:szCs w:val="24"/>
              </w:rPr>
              <w:fldChar w:fldCharType="separate"/>
            </w:r>
            <w:r>
              <w:rPr>
                <w:rStyle w:val="28"/>
                <w:rFonts w:hAnsi="宋体"/>
                <w:color w:val="auto"/>
                <w:sz w:val="24"/>
                <w:szCs w:val="24"/>
              </w:rPr>
              <w:t>二级保护动物</w:t>
            </w:r>
            <w:r>
              <w:rPr>
                <w:rStyle w:val="28"/>
                <w:rFonts w:hAnsi="宋体"/>
                <w:color w:val="auto"/>
                <w:sz w:val="24"/>
                <w:szCs w:val="24"/>
              </w:rPr>
              <w:fldChar w:fldCharType="end"/>
            </w:r>
            <w:r>
              <w:rPr>
                <w:rFonts w:hAnsi="宋体"/>
                <w:color w:val="auto"/>
                <w:sz w:val="24"/>
                <w:szCs w:val="24"/>
              </w:rPr>
              <w:t>31种；另有较为丰富的野生湿地植物资源和水产资源。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六、区域环境功能区划如下表所示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w:t>
            </w:r>
            <w:r>
              <w:rPr>
                <w:rFonts w:hint="eastAsia" w:hAnsi="宋体"/>
                <w:b/>
                <w:bCs/>
                <w:color w:val="auto"/>
                <w:u w:val="single"/>
                <w:lang w:val="en-US" w:eastAsia="zh-CN"/>
              </w:rPr>
              <w:t>9</w:t>
            </w:r>
            <w:r>
              <w:rPr>
                <w:rFonts w:hint="eastAsia" w:hAnsi="宋体"/>
                <w:b/>
                <w:bCs/>
                <w:color w:val="auto"/>
                <w:u w:val="single"/>
              </w:rPr>
              <w:t xml:space="preserve">  项目拟选址环境功能属性</w:t>
            </w:r>
          </w:p>
          <w:tbl>
            <w:tblPr>
              <w:tblStyle w:val="30"/>
              <w:tblW w:w="896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890"/>
              <w:gridCol w:w="5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编号</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项目</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功能属性及执行标准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水环境功能区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《地表水环境质量标准》（</w:t>
                  </w:r>
                  <w:r>
                    <w:rPr>
                      <w:color w:val="auto"/>
                      <w:szCs w:val="21"/>
                    </w:rPr>
                    <w:t>GB3838-2002</w:t>
                  </w:r>
                  <w:r>
                    <w:rPr>
                      <w:rFonts w:hAnsi="宋体"/>
                      <w:color w:val="auto"/>
                      <w:szCs w:val="21"/>
                    </w:rPr>
                    <w:t>）中</w:t>
                  </w:r>
                  <w:r>
                    <w:rPr>
                      <w:rFonts w:ascii="宋体" w:hAnsi="宋体"/>
                      <w:color w:val="auto"/>
                      <w:szCs w:val="21"/>
                    </w:rPr>
                    <w:t>Ⅲ</w:t>
                  </w:r>
                  <w:r>
                    <w:rPr>
                      <w:rFonts w:hAnsi="宋体"/>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2</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环境空气质量功能区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二类区，执行《环境空气质量标准》（</w:t>
                  </w:r>
                  <w:r>
                    <w:rPr>
                      <w:color w:val="auto"/>
                      <w:szCs w:val="21"/>
                    </w:rPr>
                    <w:t>GB3095-2012</w:t>
                  </w:r>
                  <w:r>
                    <w:rPr>
                      <w:rFonts w:hAnsi="宋体"/>
                      <w:color w:val="auto"/>
                      <w:szCs w:val="21"/>
                    </w:rPr>
                    <w:t>）中的二级标准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3</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声环境功能区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snapToGrid w:val="0"/>
                      <w:color w:val="auto"/>
                      <w:kern w:val="0"/>
                      <w:szCs w:val="21"/>
                    </w:rPr>
                    <w:t>二类区，执行《声环境质量标准》（</w:t>
                  </w:r>
                  <w:r>
                    <w:rPr>
                      <w:snapToGrid w:val="0"/>
                      <w:color w:val="auto"/>
                      <w:kern w:val="0"/>
                      <w:szCs w:val="21"/>
                    </w:rPr>
                    <w:t>GB3096-2008</w:t>
                  </w:r>
                  <w:r>
                    <w:rPr>
                      <w:rFonts w:hAnsi="宋体"/>
                      <w:snapToGrid w:val="0"/>
                      <w:color w:val="auto"/>
                      <w:kern w:val="0"/>
                      <w:szCs w:val="21"/>
                    </w:rPr>
                    <w:t>）</w:t>
                  </w:r>
                  <w:r>
                    <w:rPr>
                      <w:snapToGrid w:val="0"/>
                      <w:color w:val="auto"/>
                      <w:kern w:val="0"/>
                      <w:szCs w:val="21"/>
                    </w:rPr>
                    <w:t>2</w:t>
                  </w:r>
                  <w:r>
                    <w:rPr>
                      <w:rFonts w:hAnsi="宋体"/>
                      <w:snapToGrid w:val="0"/>
                      <w:color w:val="auto"/>
                      <w:kern w:val="0"/>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4</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是否自然保护区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rFonts w:hint="eastAsia" w:hAnsi="宋体"/>
                      <w:color w:val="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5</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是否基本农田保护区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6</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是否森林公园</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7</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是否生态功能区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8</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是否水土流域重点防治区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9</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是否人口密集区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10</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是否重点文物保护单位</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11</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是否三河、三湖、两控区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12</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是否水库库区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13</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是否污水处理厂集水范围</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5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14</w:t>
                  </w:r>
                </w:p>
              </w:tc>
              <w:tc>
                <w:tcPr>
                  <w:tcW w:w="28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是否属于生态敏感与脆弱区</w:t>
                  </w:r>
                </w:p>
              </w:tc>
              <w:tc>
                <w:tcPr>
                  <w:tcW w:w="532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否</w:t>
                  </w:r>
                </w:p>
              </w:tc>
            </w:tr>
          </w:tbl>
          <w:p>
            <w:pPr>
              <w:spacing w:line="360" w:lineRule="auto"/>
              <w:ind w:firstLine="480" w:firstLineChars="200"/>
              <w:rPr>
                <w:color w:val="auto"/>
                <w:sz w:val="24"/>
              </w:rPr>
            </w:pPr>
          </w:p>
        </w:tc>
      </w:tr>
    </w:tbl>
    <w:p>
      <w:pPr>
        <w:pStyle w:val="3"/>
        <w:spacing w:before="0" w:after="0" w:line="240" w:lineRule="auto"/>
        <w:rPr>
          <w:b w:val="0"/>
          <w:bCs w:val="0"/>
          <w:color w:val="auto"/>
          <w:sz w:val="30"/>
        </w:rPr>
      </w:pPr>
      <w:bookmarkStart w:id="5" w:name="_Toc485612238"/>
      <w:r>
        <w:rPr>
          <w:rFonts w:hAnsi="宋体"/>
          <w:color w:val="auto"/>
          <w:sz w:val="28"/>
          <w:szCs w:val="28"/>
        </w:rPr>
        <w:t>环境质量现状</w:t>
      </w:r>
      <w:bookmarkEnd w:id="5"/>
    </w:p>
    <w:tbl>
      <w:tblPr>
        <w:tblStyle w:val="30"/>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62" w:hRule="atLeast"/>
          <w:jc w:val="center"/>
        </w:trPr>
        <w:tc>
          <w:tcPr>
            <w:tcW w:w="9286"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bCs w:val="0"/>
                <w:color w:val="auto"/>
                <w:sz w:val="24"/>
                <w:szCs w:val="24"/>
              </w:rPr>
            </w:pPr>
            <w:r>
              <w:rPr>
                <w:rFonts w:hAnsi="宋体"/>
                <w:b/>
                <w:bCs w:val="0"/>
                <w:color w:val="auto"/>
                <w:sz w:val="24"/>
                <w:szCs w:val="24"/>
              </w:rPr>
              <w:t>建设项目所在地区域环境质量现状及主要环境问题（环境空气、地面水、地下水、声环境、生态环境）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一、空气环境质量现状</w:t>
            </w:r>
          </w:p>
          <w:p>
            <w:pPr>
              <w:pStyle w:val="5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color w:val="auto"/>
              </w:rPr>
            </w:pPr>
            <w:r>
              <w:rPr>
                <w:rFonts w:hAnsi="宋体"/>
                <w:color w:val="auto"/>
              </w:rPr>
              <w:t>根据建设项目情况，本次环评委托</w:t>
            </w:r>
            <w:r>
              <w:rPr>
                <w:rFonts w:hint="eastAsia" w:hAnsi="宋体"/>
                <w:color w:val="auto"/>
              </w:rPr>
              <w:t>湖南安博检测有限公司</w:t>
            </w:r>
            <w:r>
              <w:rPr>
                <w:rFonts w:hAnsi="宋体"/>
                <w:color w:val="auto"/>
              </w:rPr>
              <w:t>于</w:t>
            </w:r>
            <w:r>
              <w:rPr>
                <w:color w:val="auto"/>
              </w:rPr>
              <w:t>2017</w:t>
            </w:r>
            <w:r>
              <w:rPr>
                <w:rFonts w:hAnsi="宋体"/>
                <w:color w:val="auto"/>
              </w:rPr>
              <w:t>年</w:t>
            </w:r>
            <w:r>
              <w:rPr>
                <w:rFonts w:hint="eastAsia"/>
                <w:color w:val="auto"/>
              </w:rPr>
              <w:t>10</w:t>
            </w:r>
            <w:r>
              <w:rPr>
                <w:rFonts w:hAnsi="宋体"/>
                <w:color w:val="auto"/>
              </w:rPr>
              <w:t>月对项目周边（布设</w:t>
            </w:r>
            <w:r>
              <w:rPr>
                <w:color w:val="auto"/>
              </w:rPr>
              <w:t>3</w:t>
            </w:r>
            <w:r>
              <w:rPr>
                <w:rFonts w:hAnsi="宋体"/>
                <w:color w:val="auto"/>
              </w:rPr>
              <w:t>个大气环境监测点）进行了一期环境空气质量现状监测。</w:t>
            </w:r>
          </w:p>
          <w:p>
            <w:pPr>
              <w:pStyle w:val="5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color w:val="auto"/>
              </w:rPr>
            </w:pPr>
            <w:r>
              <w:rPr>
                <w:rFonts w:hAnsi="宋体"/>
                <w:color w:val="auto"/>
              </w:rPr>
              <w:t>（</w:t>
            </w:r>
            <w:r>
              <w:rPr>
                <w:color w:val="auto"/>
              </w:rPr>
              <w:t>1</w:t>
            </w:r>
            <w:r>
              <w:rPr>
                <w:rFonts w:hAnsi="宋体"/>
                <w:color w:val="auto"/>
              </w:rPr>
              <w:t>）监测点位：根据项目的具体情况，本环评</w:t>
            </w:r>
            <w:r>
              <w:rPr>
                <w:rFonts w:hAnsi="宋体"/>
                <w:color w:val="auto"/>
                <w:kern w:val="18"/>
              </w:rPr>
              <w:t>设置</w:t>
            </w:r>
            <w:r>
              <w:rPr>
                <w:color w:val="auto"/>
                <w:kern w:val="18"/>
              </w:rPr>
              <w:t>3</w:t>
            </w:r>
            <w:r>
              <w:rPr>
                <w:rFonts w:hAnsi="宋体"/>
                <w:color w:val="auto"/>
                <w:kern w:val="18"/>
              </w:rPr>
              <w:t>个环境空气监测点，</w:t>
            </w:r>
            <w:r>
              <w:rPr>
                <w:rFonts w:hAnsi="宋体"/>
                <w:color w:val="auto"/>
              </w:rPr>
              <w:t>具体位置见附图</w:t>
            </w:r>
            <w:r>
              <w:rPr>
                <w:color w:val="auto"/>
              </w:rPr>
              <w:t>4</w:t>
            </w:r>
            <w:r>
              <w:rPr>
                <w:rFonts w:hAnsi="宋体"/>
                <w:color w:val="auto"/>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表10  环境空气现状监测布点情况表</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2632"/>
              <w:gridCol w:w="2575"/>
              <w:gridCol w:w="2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64"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Ansi="宋体"/>
                      <w:color w:val="auto"/>
                      <w:sz w:val="21"/>
                      <w:szCs w:val="21"/>
                    </w:rPr>
                    <w:t>序号</w:t>
                  </w:r>
                </w:p>
              </w:tc>
              <w:tc>
                <w:tcPr>
                  <w:tcW w:w="2632"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Ansi="宋体"/>
                      <w:color w:val="auto"/>
                      <w:sz w:val="21"/>
                      <w:szCs w:val="21"/>
                    </w:rPr>
                    <w:t>点位名称</w:t>
                  </w:r>
                </w:p>
              </w:tc>
              <w:tc>
                <w:tcPr>
                  <w:tcW w:w="2575"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Ansi="宋体"/>
                      <w:color w:val="auto"/>
                      <w:sz w:val="21"/>
                      <w:szCs w:val="21"/>
                    </w:rPr>
                    <w:t>方位</w:t>
                  </w:r>
                </w:p>
              </w:tc>
              <w:tc>
                <w:tcPr>
                  <w:tcW w:w="2099"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Ansi="宋体"/>
                      <w:color w:val="auto"/>
                      <w:sz w:val="21"/>
                      <w:szCs w:val="21"/>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64"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G1</w:t>
                  </w:r>
                </w:p>
              </w:tc>
              <w:tc>
                <w:tcPr>
                  <w:tcW w:w="2632"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w:t>
                  </w:r>
                  <w:r>
                    <w:rPr>
                      <w:rFonts w:hint="eastAsia"/>
                      <w:color w:val="auto"/>
                      <w:kern w:val="0"/>
                      <w:szCs w:val="21"/>
                    </w:rPr>
                    <w:t>1</w:t>
                  </w:r>
                  <w:r>
                    <w:rPr>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color w:val="auto"/>
                      <w:kern w:val="0"/>
                      <w:szCs w:val="21"/>
                    </w:rPr>
                    <w:t>南侧修理厂</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S</w:t>
                  </w:r>
                  <w:r>
                    <w:rPr>
                      <w:rFonts w:hAnsi="宋体"/>
                      <w:color w:val="auto"/>
                      <w:szCs w:val="21"/>
                    </w:rPr>
                    <w:t>，</w:t>
                  </w:r>
                  <w:r>
                    <w:rPr>
                      <w:rFonts w:hint="eastAsia"/>
                      <w:color w:val="auto"/>
                      <w:szCs w:val="21"/>
                    </w:rPr>
                    <w:t>40</w:t>
                  </w:r>
                  <w:r>
                    <w:rPr>
                      <w:color w:val="auto"/>
                      <w:szCs w:val="21"/>
                    </w:rPr>
                    <w:t>m</w:t>
                  </w:r>
                </w:p>
              </w:tc>
              <w:tc>
                <w:tcPr>
                  <w:tcW w:w="20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上风向居民点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64"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G2</w:t>
                  </w:r>
                </w:p>
              </w:tc>
              <w:tc>
                <w:tcPr>
                  <w:tcW w:w="2632"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color w:val="auto"/>
                      <w:kern w:val="0"/>
                      <w:szCs w:val="21"/>
                    </w:rPr>
                  </w:pPr>
                  <w:r>
                    <w:rPr>
                      <w:rFonts w:hint="eastAsia" w:ascii="宋体" w:hAnsi="宋体"/>
                      <w:color w:val="auto"/>
                      <w:kern w:val="0"/>
                      <w:szCs w:val="21"/>
                    </w:rPr>
                    <w:t>○</w:t>
                  </w:r>
                  <w:r>
                    <w:rPr>
                      <w:color w:val="auto"/>
                      <w:kern w:val="0"/>
                      <w:szCs w:val="21"/>
                    </w:rPr>
                    <w:t>2</w:t>
                  </w:r>
                  <w:r>
                    <w:rPr>
                      <w:rFonts w:ascii="宋体" w:hAnsi="宋体"/>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北侧加油站</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NE</w:t>
                  </w:r>
                  <w:r>
                    <w:rPr>
                      <w:rFonts w:hAnsi="宋体"/>
                      <w:color w:val="auto"/>
                      <w:szCs w:val="21"/>
                    </w:rPr>
                    <w:t>，</w:t>
                  </w:r>
                  <w:r>
                    <w:rPr>
                      <w:rFonts w:hint="eastAsia"/>
                      <w:color w:val="auto"/>
                      <w:szCs w:val="21"/>
                    </w:rPr>
                    <w:t>38</w:t>
                  </w:r>
                  <w:r>
                    <w:rPr>
                      <w:color w:val="auto"/>
                      <w:szCs w:val="21"/>
                    </w:rPr>
                    <w:t>m</w:t>
                  </w:r>
                </w:p>
              </w:tc>
              <w:tc>
                <w:tcPr>
                  <w:tcW w:w="20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项目地居民点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64" w:type="dxa"/>
                  <w:vAlign w:val="center"/>
                </w:tcPr>
                <w:p>
                  <w:pPr>
                    <w:pStyle w:val="5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G3</w:t>
                  </w:r>
                </w:p>
              </w:tc>
              <w:tc>
                <w:tcPr>
                  <w:tcW w:w="2632"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color w:val="auto"/>
                      <w:kern w:val="0"/>
                      <w:szCs w:val="21"/>
                    </w:rPr>
                  </w:pPr>
                  <w:r>
                    <w:rPr>
                      <w:rFonts w:hint="eastAsia" w:ascii="宋体" w:hAnsi="宋体"/>
                      <w:color w:val="auto"/>
                      <w:kern w:val="0"/>
                      <w:szCs w:val="21"/>
                    </w:rPr>
                    <w:t>○</w:t>
                  </w:r>
                  <w:r>
                    <w:rPr>
                      <w:color w:val="auto"/>
                      <w:kern w:val="0"/>
                      <w:szCs w:val="21"/>
                    </w:rPr>
                    <w:t>3</w:t>
                  </w:r>
                  <w:r>
                    <w:rPr>
                      <w:rFonts w:ascii="宋体" w:hAnsi="宋体"/>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居民点</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S</w:t>
                  </w:r>
                  <w:r>
                    <w:rPr>
                      <w:rFonts w:hAnsi="宋体"/>
                      <w:color w:val="auto"/>
                      <w:szCs w:val="21"/>
                    </w:rPr>
                    <w:t>，</w:t>
                  </w:r>
                  <w:r>
                    <w:rPr>
                      <w:rFonts w:hint="eastAsia"/>
                      <w:color w:val="auto"/>
                      <w:szCs w:val="21"/>
                    </w:rPr>
                    <w:t>60</w:t>
                  </w:r>
                  <w:r>
                    <w:rPr>
                      <w:color w:val="auto"/>
                      <w:szCs w:val="21"/>
                    </w:rPr>
                    <w:t>m</w:t>
                  </w:r>
                </w:p>
              </w:tc>
              <w:tc>
                <w:tcPr>
                  <w:tcW w:w="20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下风向居民点</w:t>
                  </w:r>
                </w:p>
              </w:tc>
            </w:tr>
          </w:tbl>
          <w:p>
            <w:pPr>
              <w:pStyle w:val="5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rPr>
            </w:pPr>
            <w:r>
              <w:rPr>
                <w:rFonts w:hAnsi="宋体"/>
                <w:color w:val="auto"/>
              </w:rPr>
              <w:t>（</w:t>
            </w:r>
            <w:r>
              <w:rPr>
                <w:color w:val="auto"/>
              </w:rPr>
              <w:t>2</w:t>
            </w:r>
            <w:r>
              <w:rPr>
                <w:rFonts w:hAnsi="宋体"/>
                <w:color w:val="auto"/>
              </w:rPr>
              <w:t>）监测频次：</w:t>
            </w:r>
            <w:r>
              <w:rPr>
                <w:color w:val="auto"/>
              </w:rPr>
              <w:t>7</w:t>
            </w:r>
            <w:r>
              <w:rPr>
                <w:rFonts w:hAnsi="宋体"/>
                <w:color w:val="auto"/>
              </w:rPr>
              <w:t>天。</w:t>
            </w:r>
          </w:p>
          <w:p>
            <w:pPr>
              <w:pStyle w:val="5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rPr>
            </w:pPr>
            <w:r>
              <w:rPr>
                <w:rFonts w:hAnsi="宋体"/>
                <w:color w:val="auto"/>
              </w:rPr>
              <w:t>（</w:t>
            </w:r>
            <w:r>
              <w:rPr>
                <w:color w:val="auto"/>
              </w:rPr>
              <w:t>3</w:t>
            </w:r>
            <w:r>
              <w:rPr>
                <w:rFonts w:hAnsi="宋体"/>
                <w:color w:val="auto"/>
              </w:rPr>
              <w:t>）监测项目：</w:t>
            </w:r>
            <w:r>
              <w:rPr>
                <w:snapToGrid w:val="0"/>
                <w:color w:val="auto"/>
                <w:kern w:val="0"/>
              </w:rPr>
              <w:t>PM</w:t>
            </w:r>
            <w:r>
              <w:rPr>
                <w:snapToGrid w:val="0"/>
                <w:color w:val="auto"/>
                <w:kern w:val="0"/>
                <w:vertAlign w:val="subscript"/>
              </w:rPr>
              <w:t>10</w:t>
            </w:r>
            <w:r>
              <w:rPr>
                <w:rFonts w:hAnsi="宋体"/>
                <w:snapToGrid w:val="0"/>
                <w:color w:val="auto"/>
                <w:kern w:val="0"/>
              </w:rPr>
              <w:t>、</w:t>
            </w:r>
            <w:r>
              <w:rPr>
                <w:rFonts w:hint="eastAsia" w:hAnsi="宋体"/>
                <w:snapToGrid w:val="0"/>
                <w:color w:val="auto"/>
                <w:kern w:val="0"/>
              </w:rPr>
              <w:t>挥发性有机物</w:t>
            </w:r>
            <w:r>
              <w:rPr>
                <w:rFonts w:hAnsi="宋体"/>
                <w:color w:val="auto"/>
              </w:rPr>
              <w:t>。</w:t>
            </w:r>
          </w:p>
          <w:p>
            <w:pPr>
              <w:pStyle w:val="5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rPr>
            </w:pPr>
            <w:r>
              <w:rPr>
                <w:rFonts w:hAnsi="宋体"/>
                <w:color w:val="auto"/>
              </w:rPr>
              <w:t>（</w:t>
            </w:r>
            <w:r>
              <w:rPr>
                <w:color w:val="auto"/>
              </w:rPr>
              <w:t>4</w:t>
            </w:r>
            <w:r>
              <w:rPr>
                <w:rFonts w:hAnsi="宋体"/>
                <w:color w:val="auto"/>
              </w:rPr>
              <w:t>）监测时间和频率：</w:t>
            </w:r>
            <w:r>
              <w:rPr>
                <w:color w:val="auto"/>
              </w:rPr>
              <w:t>2017</w:t>
            </w:r>
            <w:r>
              <w:rPr>
                <w:rFonts w:hAnsi="宋体"/>
                <w:color w:val="auto"/>
              </w:rPr>
              <w:t>年</w:t>
            </w:r>
            <w:r>
              <w:rPr>
                <w:rFonts w:hint="eastAsia"/>
                <w:color w:val="auto"/>
              </w:rPr>
              <w:t>10</w:t>
            </w:r>
            <w:r>
              <w:rPr>
                <w:rFonts w:hAnsi="宋体"/>
                <w:color w:val="auto"/>
              </w:rPr>
              <w:t>月</w:t>
            </w:r>
            <w:r>
              <w:rPr>
                <w:rFonts w:hint="eastAsia"/>
                <w:color w:val="auto"/>
              </w:rPr>
              <w:t>09</w:t>
            </w:r>
            <w:r>
              <w:rPr>
                <w:rFonts w:hAnsi="宋体"/>
                <w:color w:val="auto"/>
              </w:rPr>
              <w:t>日至</w:t>
            </w:r>
            <w:r>
              <w:rPr>
                <w:rFonts w:hint="eastAsia"/>
                <w:color w:val="auto"/>
              </w:rPr>
              <w:t>10</w:t>
            </w:r>
            <w:r>
              <w:rPr>
                <w:rFonts w:hAnsi="宋体"/>
                <w:color w:val="auto"/>
              </w:rPr>
              <w:t>月</w:t>
            </w:r>
            <w:r>
              <w:rPr>
                <w:rFonts w:hint="eastAsia"/>
                <w:color w:val="auto"/>
              </w:rPr>
              <w:t>15</w:t>
            </w:r>
            <w:r>
              <w:rPr>
                <w:rFonts w:hAnsi="宋体"/>
                <w:color w:val="auto"/>
              </w:rPr>
              <w:t>日，连续</w:t>
            </w:r>
            <w:r>
              <w:rPr>
                <w:color w:val="auto"/>
              </w:rPr>
              <w:t>7</w:t>
            </w:r>
            <w:r>
              <w:rPr>
                <w:rFonts w:hAnsi="宋体"/>
                <w:color w:val="auto"/>
              </w:rPr>
              <w:t>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5</w:t>
            </w:r>
            <w:r>
              <w:rPr>
                <w:rFonts w:hAnsi="宋体"/>
                <w:color w:val="auto"/>
                <w:sz w:val="24"/>
              </w:rPr>
              <w:t>）采样和分析方法：采样方法按《环境监测技术规范》大气部分执行，分析方法按《环境空气质量标准》（</w:t>
            </w:r>
            <w:r>
              <w:rPr>
                <w:color w:val="auto"/>
                <w:sz w:val="24"/>
              </w:rPr>
              <w:t>GB3095-2012</w:t>
            </w:r>
            <w:r>
              <w:rPr>
                <w:rFonts w:hAnsi="宋体"/>
                <w:color w:val="auto"/>
                <w:sz w:val="24"/>
              </w:rPr>
              <w:t>）表</w:t>
            </w:r>
            <w:r>
              <w:rPr>
                <w:color w:val="auto"/>
                <w:sz w:val="24"/>
              </w:rPr>
              <w:t>2</w:t>
            </w:r>
            <w:r>
              <w:rPr>
                <w:rFonts w:hAnsi="宋体"/>
                <w:color w:val="auto"/>
                <w:sz w:val="24"/>
              </w:rPr>
              <w:t>中的规定执行。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6</w:t>
            </w:r>
            <w:r>
              <w:rPr>
                <w:rFonts w:hAnsi="宋体"/>
                <w:color w:val="auto"/>
                <w:sz w:val="24"/>
              </w:rPr>
              <w:t>）评价</w:t>
            </w:r>
            <w:r>
              <w:rPr>
                <w:rFonts w:hint="eastAsia" w:hAnsi="宋体"/>
                <w:color w:val="auto"/>
                <w:sz w:val="24"/>
              </w:rPr>
              <w:t>方法及</w:t>
            </w:r>
            <w:r>
              <w:rPr>
                <w:rFonts w:hAnsi="宋体"/>
                <w:color w:val="auto"/>
                <w:sz w:val="24"/>
              </w:rPr>
              <w:t>标准：</w:t>
            </w:r>
            <w:r>
              <w:rPr>
                <w:rFonts w:hint="eastAsia" w:hAnsi="宋体"/>
                <w:color w:val="auto"/>
                <w:sz w:val="24"/>
              </w:rPr>
              <w:t>评价方法采用标准指数法，</w:t>
            </w:r>
            <w:r>
              <w:rPr>
                <w:rFonts w:hAnsi="宋体"/>
                <w:color w:val="auto"/>
                <w:sz w:val="24"/>
              </w:rPr>
              <w:t>执行《环境空气质量标准》（</w:t>
            </w:r>
            <w:r>
              <w:rPr>
                <w:color w:val="auto"/>
                <w:sz w:val="24"/>
              </w:rPr>
              <w:t>GB3095-2012</w:t>
            </w:r>
            <w:r>
              <w:rPr>
                <w:rFonts w:hAnsi="宋体"/>
                <w:color w:val="auto"/>
                <w:sz w:val="24"/>
              </w:rPr>
              <w:t>）中的二级标准。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7</w:t>
            </w:r>
            <w:r>
              <w:rPr>
                <w:rFonts w:hAnsi="宋体"/>
                <w:color w:val="auto"/>
                <w:sz w:val="24"/>
              </w:rPr>
              <w:t>）监测及评价结果：见附件</w:t>
            </w:r>
            <w:r>
              <w:rPr>
                <w:color w:val="auto"/>
                <w:sz w:val="24"/>
              </w:rPr>
              <w:t>4</w:t>
            </w:r>
            <w:r>
              <w:rPr>
                <w:rFonts w:hAnsi="宋体"/>
                <w:color w:val="auto"/>
                <w:sz w:val="24"/>
              </w:rPr>
              <w:t>及下表。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表11  环境空气质量现状调查监测统计结果</w:t>
            </w:r>
            <w:r>
              <w:rPr>
                <w:rFonts w:hint="eastAsia" w:hAnsi="宋体"/>
                <w:b/>
                <w:bCs/>
                <w:color w:val="auto"/>
                <w:u w:val="single"/>
                <w:lang w:val="en-US" w:eastAsia="zh-CN"/>
              </w:rPr>
              <w:t xml:space="preserve">      </w:t>
            </w:r>
            <w:r>
              <w:rPr>
                <w:rFonts w:hint="eastAsia" w:hAnsi="宋体"/>
                <w:b/>
                <w:bCs/>
                <w:color w:val="auto"/>
                <w:u w:val="single"/>
              </w:rPr>
              <w:t>单位：mg/m</w:t>
            </w:r>
            <w:r>
              <w:rPr>
                <w:rFonts w:hint="eastAsia" w:hAnsi="宋体"/>
                <w:b/>
                <w:bCs/>
                <w:color w:val="auto"/>
                <w:u w:val="single"/>
                <w:vertAlign w:val="superscript"/>
              </w:rPr>
              <w:t>3</w:t>
            </w:r>
          </w:p>
          <w:tbl>
            <w:tblPr>
              <w:tblStyle w:val="30"/>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49"/>
              <w:gridCol w:w="1134"/>
              <w:gridCol w:w="990"/>
              <w:gridCol w:w="990"/>
              <w:gridCol w:w="990"/>
              <w:gridCol w:w="1032"/>
              <w:gridCol w:w="1108"/>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6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检测项目</w:t>
                  </w:r>
                </w:p>
              </w:tc>
              <w:tc>
                <w:tcPr>
                  <w:tcW w:w="84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采样</w:t>
                  </w:r>
                  <w:r>
                    <w:rPr>
                      <w:b w:val="0"/>
                      <w:bCs/>
                      <w:color w:val="auto"/>
                      <w:kern w:val="0"/>
                      <w:szCs w:val="21"/>
                    </w:rPr>
                    <w:t>点位</w:t>
                  </w:r>
                </w:p>
              </w:tc>
              <w:tc>
                <w:tcPr>
                  <w:tcW w:w="7355"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检测结果（2017年）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6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p>
              </w:tc>
              <w:tc>
                <w:tcPr>
                  <w:tcW w:w="84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10.09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10.14</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6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vertAlign w:val="subscript"/>
                    </w:rPr>
                  </w:pPr>
                  <w:r>
                    <w:rPr>
                      <w:rFonts w:hint="eastAsia"/>
                      <w:color w:val="auto"/>
                      <w:kern w:val="0"/>
                      <w:szCs w:val="21"/>
                    </w:rPr>
                    <w:t>PM</w:t>
                  </w:r>
                  <w:r>
                    <w:rPr>
                      <w:rFonts w:hint="eastAsia"/>
                      <w:color w:val="auto"/>
                      <w:kern w:val="0"/>
                      <w:szCs w:val="21"/>
                      <w:vertAlign w:val="subscript"/>
                    </w:rPr>
                    <w:t>10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color w:val="auto"/>
                      <w:kern w:val="0"/>
                      <w:szCs w:val="21"/>
                    </w:rPr>
                    <w:t>(μg/m</w:t>
                  </w:r>
                  <w:r>
                    <w:rPr>
                      <w:rFonts w:hint="eastAsia"/>
                      <w:color w:val="auto"/>
                      <w:kern w:val="0"/>
                      <w:szCs w:val="21"/>
                      <w:vertAlign w:val="superscript"/>
                    </w:rPr>
                    <w:t>3</w:t>
                  </w:r>
                  <w:r>
                    <w:rPr>
                      <w:color w:val="auto"/>
                      <w:kern w:val="0"/>
                      <w:szCs w:val="21"/>
                    </w:rPr>
                    <w:t>)</w:t>
                  </w:r>
                </w:p>
              </w:tc>
              <w:tc>
                <w:tcPr>
                  <w:tcW w:w="849"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ascii="宋体" w:hAnsi="宋体"/>
                      <w:color w:val="auto"/>
                      <w:kern w:val="0"/>
                      <w:szCs w:val="21"/>
                    </w:rPr>
                    <w:t>○</w:t>
                  </w:r>
                  <w:r>
                    <w:rPr>
                      <w:rFonts w:hint="eastAsia"/>
                      <w:color w:val="auto"/>
                      <w:kern w:val="0"/>
                      <w:szCs w:val="21"/>
                    </w:rPr>
                    <w:t>1</w:t>
                  </w:r>
                  <w:r>
                    <w:rPr>
                      <w:color w:val="auto"/>
                      <w:kern w:val="0"/>
                      <w:szCs w:val="21"/>
                      <w:vertAlign w:val="superscript"/>
                    </w:rPr>
                    <w:t>#</w:t>
                  </w:r>
                  <w:r>
                    <w:rPr>
                      <w:rFonts w:hint="eastAsia"/>
                      <w:color w:val="auto"/>
                      <w:kern w:val="0"/>
                      <w:szCs w:val="21"/>
                    </w:rPr>
                    <w:t>南侧修理厂G1</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32</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33</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35</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32</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32</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34</w:t>
                  </w: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6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849"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w:t>
                  </w:r>
                  <w:r>
                    <w:rPr>
                      <w:color w:val="auto"/>
                      <w:kern w:val="0"/>
                      <w:szCs w:val="21"/>
                    </w:rPr>
                    <w:t>2</w:t>
                  </w:r>
                  <w:r>
                    <w:rPr>
                      <w:rFonts w:ascii="宋体" w:hAnsi="宋体"/>
                      <w:color w:val="auto"/>
                      <w:kern w:val="0"/>
                      <w:szCs w:val="21"/>
                      <w:vertAlign w:val="superscript"/>
                    </w:rPr>
                    <w:t>#</w:t>
                  </w:r>
                  <w:r>
                    <w:rPr>
                      <w:rFonts w:hint="eastAsia" w:ascii="宋体" w:hAnsi="宋体"/>
                      <w:color w:val="auto"/>
                      <w:kern w:val="0"/>
                      <w:szCs w:val="21"/>
                    </w:rPr>
                    <w:t>北侧加油站</w:t>
                  </w:r>
                  <w:r>
                    <w:rPr>
                      <w:color w:val="auto"/>
                      <w:kern w:val="0"/>
                      <w:szCs w:val="21"/>
                    </w:rPr>
                    <w:t>G2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34</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34</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33</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31</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30</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32</w:t>
                  </w: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6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849"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w:t>
                  </w:r>
                  <w:r>
                    <w:rPr>
                      <w:color w:val="auto"/>
                      <w:kern w:val="0"/>
                      <w:szCs w:val="21"/>
                    </w:rPr>
                    <w:t>3</w:t>
                  </w:r>
                  <w:r>
                    <w:rPr>
                      <w:rFonts w:ascii="宋体" w:hAnsi="宋体"/>
                      <w:color w:val="auto"/>
                      <w:kern w:val="0"/>
                      <w:szCs w:val="21"/>
                      <w:vertAlign w:val="superscript"/>
                    </w:rPr>
                    <w:t>#</w:t>
                  </w:r>
                  <w:r>
                    <w:rPr>
                      <w:rFonts w:hint="eastAsia" w:ascii="宋体" w:hAnsi="宋体"/>
                      <w:color w:val="auto"/>
                      <w:kern w:val="0"/>
                      <w:szCs w:val="21"/>
                    </w:rPr>
                    <w:t>居民点</w:t>
                  </w:r>
                  <w:r>
                    <w:rPr>
                      <w:color w:val="auto"/>
                      <w:kern w:val="0"/>
                      <w:szCs w:val="21"/>
                    </w:rPr>
                    <w:t>G3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32</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32</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33</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31</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31</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33</w:t>
                  </w: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86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vertAlign w:val="subscript"/>
                    </w:rPr>
                  </w:pPr>
                  <w:r>
                    <w:rPr>
                      <w:rFonts w:hint="eastAsia"/>
                      <w:color w:val="auto"/>
                      <w:kern w:val="0"/>
                      <w:szCs w:val="21"/>
                    </w:rPr>
                    <w:t>TVOC</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color w:val="auto"/>
                      <w:kern w:val="0"/>
                      <w:szCs w:val="21"/>
                    </w:rPr>
                    <w:t>(μg/m</w:t>
                  </w:r>
                  <w:r>
                    <w:rPr>
                      <w:rFonts w:hint="eastAsia"/>
                      <w:color w:val="auto"/>
                      <w:kern w:val="0"/>
                      <w:szCs w:val="21"/>
                      <w:vertAlign w:val="superscript"/>
                    </w:rPr>
                    <w:t>3</w:t>
                  </w:r>
                  <w:r>
                    <w:rPr>
                      <w:color w:val="auto"/>
                      <w:kern w:val="0"/>
                      <w:szCs w:val="21"/>
                    </w:rPr>
                    <w:t>)</w:t>
                  </w:r>
                </w:p>
              </w:tc>
              <w:tc>
                <w:tcPr>
                  <w:tcW w:w="849"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ascii="宋体" w:hAnsi="宋体"/>
                      <w:color w:val="auto"/>
                      <w:kern w:val="0"/>
                      <w:szCs w:val="21"/>
                    </w:rPr>
                    <w:t>○</w:t>
                  </w:r>
                  <w:r>
                    <w:rPr>
                      <w:rFonts w:hint="eastAsia"/>
                      <w:color w:val="auto"/>
                      <w:kern w:val="0"/>
                      <w:szCs w:val="21"/>
                    </w:rPr>
                    <w:t>1</w:t>
                  </w:r>
                  <w:r>
                    <w:rPr>
                      <w:color w:val="auto"/>
                      <w:kern w:val="0"/>
                      <w:szCs w:val="21"/>
                      <w:vertAlign w:val="superscript"/>
                    </w:rPr>
                    <w:t>#</w:t>
                  </w:r>
                  <w:r>
                    <w:rPr>
                      <w:rFonts w:hint="eastAsia"/>
                      <w:color w:val="auto"/>
                      <w:kern w:val="0"/>
                      <w:szCs w:val="21"/>
                    </w:rPr>
                    <w:t>南侧修理厂G1</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38.9</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39.2</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38.5</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43.2</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41.4</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41.5</w:t>
                  </w: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40.</w:t>
                  </w:r>
                  <w:r>
                    <w:rPr>
                      <w:color w:val="auto"/>
                      <w:kern w:val="0"/>
                      <w:szCs w:val="21"/>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6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849"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w:t>
                  </w:r>
                  <w:r>
                    <w:rPr>
                      <w:color w:val="auto"/>
                      <w:kern w:val="0"/>
                      <w:szCs w:val="21"/>
                    </w:rPr>
                    <w:t>2</w:t>
                  </w:r>
                  <w:r>
                    <w:rPr>
                      <w:rFonts w:ascii="宋体" w:hAnsi="宋体"/>
                      <w:color w:val="auto"/>
                      <w:kern w:val="0"/>
                      <w:szCs w:val="21"/>
                      <w:vertAlign w:val="superscript"/>
                    </w:rPr>
                    <w:t>#</w:t>
                  </w:r>
                  <w:r>
                    <w:rPr>
                      <w:rFonts w:hint="eastAsia" w:ascii="宋体" w:hAnsi="宋体"/>
                      <w:color w:val="auto"/>
                      <w:kern w:val="0"/>
                      <w:szCs w:val="21"/>
                    </w:rPr>
                    <w:t>北侧加油站</w:t>
                  </w:r>
                  <w:r>
                    <w:rPr>
                      <w:color w:val="auto"/>
                      <w:kern w:val="0"/>
                      <w:szCs w:val="21"/>
                    </w:rPr>
                    <w:t>G2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39.1</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39.2</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43.0</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40.8</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39.6</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40.0</w:t>
                  </w: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w:t>
                  </w:r>
                  <w:r>
                    <w:rPr>
                      <w:color w:val="auto"/>
                      <w:kern w:val="0"/>
                      <w:szCs w:val="21"/>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866" w:type="dxa"/>
                  <w:vMerge w:val="continue"/>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849"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w:t>
                  </w:r>
                  <w:r>
                    <w:rPr>
                      <w:color w:val="auto"/>
                      <w:kern w:val="0"/>
                      <w:szCs w:val="21"/>
                    </w:rPr>
                    <w:t>3</w:t>
                  </w:r>
                  <w:r>
                    <w:rPr>
                      <w:rFonts w:ascii="宋体" w:hAnsi="宋体"/>
                      <w:color w:val="auto"/>
                      <w:kern w:val="0"/>
                      <w:szCs w:val="21"/>
                      <w:vertAlign w:val="superscript"/>
                    </w:rPr>
                    <w:t>#</w:t>
                  </w:r>
                  <w:r>
                    <w:rPr>
                      <w:rFonts w:hint="eastAsia" w:ascii="宋体" w:hAnsi="宋体"/>
                      <w:color w:val="auto"/>
                      <w:kern w:val="0"/>
                      <w:szCs w:val="21"/>
                    </w:rPr>
                    <w:t>居民点</w:t>
                  </w:r>
                  <w:r>
                    <w:rPr>
                      <w:color w:val="auto"/>
                      <w:kern w:val="0"/>
                      <w:szCs w:val="21"/>
                    </w:rPr>
                    <w:t>G3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43.8</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41.2</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39.5</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41.4</w:t>
                  </w:r>
                </w:p>
              </w:tc>
              <w:tc>
                <w:tcPr>
                  <w:tcW w:w="10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43.7</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41.3</w:t>
                  </w:r>
                </w:p>
              </w:tc>
              <w:tc>
                <w:tcPr>
                  <w:tcW w:w="111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41.3</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表12  环境空气质量现状调查监测统计结果</w:t>
            </w:r>
            <w:r>
              <w:rPr>
                <w:rFonts w:hint="eastAsia" w:hAnsi="宋体"/>
                <w:b/>
                <w:bCs/>
                <w:color w:val="auto"/>
                <w:u w:val="single"/>
                <w:lang w:val="en-US" w:eastAsia="zh-CN"/>
              </w:rPr>
              <w:t xml:space="preserve">       </w:t>
            </w:r>
            <w:r>
              <w:rPr>
                <w:rFonts w:hint="eastAsia" w:hAnsi="宋体"/>
                <w:b/>
                <w:bCs/>
                <w:color w:val="auto"/>
                <w:u w:val="single"/>
              </w:rPr>
              <w:t>单位：mg/m</w:t>
            </w:r>
            <w:r>
              <w:rPr>
                <w:rFonts w:hint="eastAsia" w:hAnsi="宋体"/>
                <w:b/>
                <w:bCs/>
                <w:color w:val="auto"/>
                <w:u w:val="single"/>
                <w:vertAlign w:val="superscript"/>
              </w:rPr>
              <w:t>3</w:t>
            </w:r>
          </w:p>
          <w:tbl>
            <w:tblPr>
              <w:tblStyle w:val="30"/>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707"/>
              <w:gridCol w:w="1136"/>
              <w:gridCol w:w="992"/>
              <w:gridCol w:w="992"/>
              <w:gridCol w:w="992"/>
              <w:gridCol w:w="1034"/>
              <w:gridCol w:w="1110"/>
              <w:gridCol w:w="1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检测项目</w:t>
                  </w:r>
                </w:p>
              </w:tc>
              <w:tc>
                <w:tcPr>
                  <w:tcW w:w="70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采样</w:t>
                  </w:r>
                  <w:r>
                    <w:rPr>
                      <w:b w:val="0"/>
                      <w:bCs/>
                      <w:color w:val="auto"/>
                      <w:kern w:val="0"/>
                      <w:szCs w:val="21"/>
                    </w:rPr>
                    <w:t>点位</w:t>
                  </w:r>
                </w:p>
              </w:tc>
              <w:tc>
                <w:tcPr>
                  <w:tcW w:w="7370"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检测结果（单因子指数）2017年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p>
              </w:tc>
              <w:tc>
                <w:tcPr>
                  <w:tcW w:w="707"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10.09</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11</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10.14</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10.</w:t>
                  </w:r>
                  <w:r>
                    <w:rPr>
                      <w:b w:val="0"/>
                      <w:bCs/>
                      <w:color w:val="auto"/>
                      <w:kern w:val="0"/>
                      <w:szCs w:val="21"/>
                    </w:rPr>
                    <w:t>15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(日均值)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vertAlign w:val="subscript"/>
                    </w:rPr>
                  </w:pPr>
                  <w:r>
                    <w:rPr>
                      <w:rFonts w:hint="eastAsia"/>
                      <w:color w:val="auto"/>
                      <w:kern w:val="0"/>
                      <w:szCs w:val="21"/>
                    </w:rPr>
                    <w:t>PM</w:t>
                  </w:r>
                  <w:r>
                    <w:rPr>
                      <w:rFonts w:hint="eastAsia"/>
                      <w:color w:val="auto"/>
                      <w:kern w:val="0"/>
                      <w:szCs w:val="21"/>
                      <w:vertAlign w:val="subscript"/>
                    </w:rPr>
                    <w:t>10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color w:val="auto"/>
                      <w:kern w:val="0"/>
                      <w:szCs w:val="21"/>
                    </w:rPr>
                    <w:t>(μg/m</w:t>
                  </w:r>
                  <w:r>
                    <w:rPr>
                      <w:rFonts w:hint="eastAsia"/>
                      <w:color w:val="auto"/>
                      <w:kern w:val="0"/>
                      <w:szCs w:val="21"/>
                      <w:vertAlign w:val="superscript"/>
                    </w:rPr>
                    <w:t>3</w:t>
                  </w:r>
                  <w:r>
                    <w:rPr>
                      <w:color w:val="auto"/>
                      <w:kern w:val="0"/>
                      <w:szCs w:val="21"/>
                    </w:rPr>
                    <w:t>)</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w:t>
                  </w:r>
                  <w:r>
                    <w:rPr>
                      <w:rFonts w:hint="eastAsia"/>
                      <w:color w:val="auto"/>
                      <w:kern w:val="0"/>
                      <w:szCs w:val="21"/>
                    </w:rPr>
                    <w:t>1</w:t>
                  </w:r>
                  <w:r>
                    <w:rPr>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color w:val="auto"/>
                      <w:kern w:val="0"/>
                      <w:szCs w:val="21"/>
                    </w:rPr>
                    <w:t>南侧修理厂G1</w:t>
                  </w: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0.213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0.220</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0.233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0.213</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0.213</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0.227</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9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color w:val="auto"/>
                      <w:kern w:val="0"/>
                      <w:szCs w:val="21"/>
                    </w:rPr>
                  </w:pPr>
                  <w:r>
                    <w:rPr>
                      <w:rFonts w:hint="eastAsia" w:ascii="宋体" w:hAnsi="宋体"/>
                      <w:color w:val="auto"/>
                      <w:kern w:val="0"/>
                      <w:szCs w:val="21"/>
                    </w:rPr>
                    <w:t>○</w:t>
                  </w:r>
                  <w:r>
                    <w:rPr>
                      <w:color w:val="auto"/>
                      <w:kern w:val="0"/>
                      <w:szCs w:val="21"/>
                    </w:rPr>
                    <w:t>2</w:t>
                  </w:r>
                  <w:r>
                    <w:rPr>
                      <w:rFonts w:ascii="宋体" w:hAnsi="宋体"/>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北侧加油站</w:t>
                  </w:r>
                  <w:r>
                    <w:rPr>
                      <w:color w:val="auto"/>
                      <w:kern w:val="0"/>
                      <w:szCs w:val="21"/>
                    </w:rPr>
                    <w:t>G2</w:t>
                  </w: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0.227</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0.227</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0.220</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0.207</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0.200</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0.213</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color w:val="auto"/>
                      <w:kern w:val="0"/>
                      <w:szCs w:val="21"/>
                    </w:rPr>
                  </w:pPr>
                  <w:r>
                    <w:rPr>
                      <w:rFonts w:hint="eastAsia" w:ascii="宋体" w:hAnsi="宋体"/>
                      <w:color w:val="auto"/>
                      <w:kern w:val="0"/>
                      <w:szCs w:val="21"/>
                    </w:rPr>
                    <w:t>○</w:t>
                  </w:r>
                  <w:r>
                    <w:rPr>
                      <w:color w:val="auto"/>
                      <w:kern w:val="0"/>
                      <w:szCs w:val="21"/>
                    </w:rPr>
                    <w:t>3</w:t>
                  </w:r>
                  <w:r>
                    <w:rPr>
                      <w:rFonts w:ascii="宋体" w:hAnsi="宋体"/>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居民点</w:t>
                  </w:r>
                  <w:r>
                    <w:rPr>
                      <w:color w:val="auto"/>
                      <w:kern w:val="0"/>
                      <w:szCs w:val="21"/>
                    </w:rPr>
                    <w:t>G3</w:t>
                  </w: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0.213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0.213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0.220</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0.207</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0.207</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0.220</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vertAlign w:val="subscript"/>
                    </w:rPr>
                  </w:pPr>
                  <w:r>
                    <w:rPr>
                      <w:rFonts w:hint="eastAsia"/>
                      <w:color w:val="auto"/>
                      <w:kern w:val="0"/>
                      <w:szCs w:val="21"/>
                    </w:rPr>
                    <w:t>TVOC</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color w:val="auto"/>
                      <w:kern w:val="0"/>
                      <w:szCs w:val="21"/>
                    </w:rPr>
                    <w:t>(μg/m</w:t>
                  </w:r>
                  <w:r>
                    <w:rPr>
                      <w:rFonts w:hint="eastAsia"/>
                      <w:color w:val="auto"/>
                      <w:kern w:val="0"/>
                      <w:szCs w:val="21"/>
                      <w:vertAlign w:val="superscript"/>
                    </w:rPr>
                    <w:t>3</w:t>
                  </w:r>
                  <w:r>
                    <w:rPr>
                      <w:color w:val="auto"/>
                      <w:kern w:val="0"/>
                      <w:szCs w:val="21"/>
                    </w:rPr>
                    <w:t>)</w:t>
                  </w: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w:t>
                  </w:r>
                  <w:r>
                    <w:rPr>
                      <w:rFonts w:hint="eastAsia"/>
                      <w:color w:val="auto"/>
                      <w:kern w:val="0"/>
                      <w:szCs w:val="21"/>
                    </w:rPr>
                    <w:t>1</w:t>
                  </w:r>
                  <w:r>
                    <w:rPr>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color w:val="auto"/>
                      <w:kern w:val="0"/>
                      <w:szCs w:val="21"/>
                    </w:rPr>
                    <w:t>南侧修理厂G1</w:t>
                  </w: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0.648</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0.653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0.642</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0.720</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0.690</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0.692</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color w:val="auto"/>
                      <w:kern w:val="0"/>
                      <w:szCs w:val="21"/>
                    </w:rPr>
                  </w:pPr>
                  <w:r>
                    <w:rPr>
                      <w:rFonts w:hint="eastAsia" w:ascii="宋体" w:hAnsi="宋体"/>
                      <w:color w:val="auto"/>
                      <w:kern w:val="0"/>
                      <w:szCs w:val="21"/>
                    </w:rPr>
                    <w:t>○</w:t>
                  </w:r>
                  <w:r>
                    <w:rPr>
                      <w:color w:val="auto"/>
                      <w:kern w:val="0"/>
                      <w:szCs w:val="21"/>
                    </w:rPr>
                    <w:t>2</w:t>
                  </w:r>
                  <w:r>
                    <w:rPr>
                      <w:rFonts w:ascii="宋体" w:hAnsi="宋体"/>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北侧加油站</w:t>
                  </w:r>
                  <w:r>
                    <w:rPr>
                      <w:color w:val="auto"/>
                      <w:kern w:val="0"/>
                      <w:szCs w:val="21"/>
                    </w:rPr>
                    <w:t>G2</w:t>
                  </w: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0.652</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0.653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0.717</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0.680</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0.660</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0.667</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9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p>
              </w:tc>
              <w:tc>
                <w:tcPr>
                  <w:tcW w:w="70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color w:val="auto"/>
                      <w:kern w:val="0"/>
                      <w:szCs w:val="21"/>
                    </w:rPr>
                  </w:pPr>
                  <w:r>
                    <w:rPr>
                      <w:rFonts w:hint="eastAsia" w:ascii="宋体" w:hAnsi="宋体"/>
                      <w:color w:val="auto"/>
                      <w:kern w:val="0"/>
                      <w:szCs w:val="21"/>
                    </w:rPr>
                    <w:t>○</w:t>
                  </w:r>
                  <w:r>
                    <w:rPr>
                      <w:color w:val="auto"/>
                      <w:kern w:val="0"/>
                      <w:szCs w:val="21"/>
                    </w:rPr>
                    <w:t>3</w:t>
                  </w:r>
                  <w:r>
                    <w:rPr>
                      <w:rFonts w:ascii="宋体" w:hAnsi="宋体"/>
                      <w:color w:val="auto"/>
                      <w:kern w:val="0"/>
                      <w:szCs w:val="21"/>
                      <w:vertAlign w:val="superscript"/>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ascii="宋体" w:hAnsi="宋体"/>
                      <w:color w:val="auto"/>
                      <w:kern w:val="0"/>
                      <w:szCs w:val="21"/>
                    </w:rPr>
                    <w:t>居民点</w:t>
                  </w:r>
                  <w:r>
                    <w:rPr>
                      <w:color w:val="auto"/>
                      <w:kern w:val="0"/>
                      <w:szCs w:val="21"/>
                    </w:rPr>
                    <w:t>G3</w:t>
                  </w:r>
                </w:p>
              </w:tc>
              <w:tc>
                <w:tcPr>
                  <w:tcW w:w="113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0.730</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0.687</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0.658</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0.690</w:t>
                  </w:r>
                </w:p>
              </w:tc>
              <w:tc>
                <w:tcPr>
                  <w:tcW w:w="1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0.728</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0.688</w:t>
                  </w:r>
                </w:p>
              </w:tc>
              <w:tc>
                <w:tcPr>
                  <w:tcW w:w="11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0.688</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rPr>
            </w:pPr>
            <w:r>
              <w:rPr>
                <w:rFonts w:hAnsi="宋体"/>
                <w:color w:val="auto"/>
                <w:sz w:val="24"/>
              </w:rPr>
              <w:t>根据监测结果可知，三个监测点的监测因子中</w:t>
            </w:r>
            <w:r>
              <w:rPr>
                <w:snapToGrid w:val="0"/>
                <w:color w:val="auto"/>
                <w:kern w:val="0"/>
                <w:sz w:val="24"/>
              </w:rPr>
              <w:t>PM</w:t>
            </w:r>
            <w:r>
              <w:rPr>
                <w:snapToGrid w:val="0"/>
                <w:color w:val="auto"/>
                <w:kern w:val="0"/>
                <w:sz w:val="24"/>
                <w:vertAlign w:val="subscript"/>
              </w:rPr>
              <w:t>10</w:t>
            </w:r>
            <w:r>
              <w:rPr>
                <w:rFonts w:hAnsi="宋体"/>
                <w:snapToGrid w:val="0"/>
                <w:color w:val="auto"/>
                <w:kern w:val="0"/>
                <w:sz w:val="24"/>
              </w:rPr>
              <w:t>、</w:t>
            </w:r>
            <w:r>
              <w:rPr>
                <w:rFonts w:hint="eastAsia"/>
                <w:snapToGrid w:val="0"/>
                <w:color w:val="auto"/>
                <w:kern w:val="0"/>
                <w:sz w:val="24"/>
              </w:rPr>
              <w:t>TVOC的标准指数均小于1，监测结果</w:t>
            </w:r>
            <w:r>
              <w:rPr>
                <w:rFonts w:hAnsi="宋体"/>
                <w:color w:val="auto"/>
                <w:sz w:val="24"/>
              </w:rPr>
              <w:t>均能达到《环境空气质量标准》（</w:t>
            </w:r>
            <w:r>
              <w:rPr>
                <w:color w:val="auto"/>
                <w:sz w:val="24"/>
              </w:rPr>
              <w:t>GB3095-2012</w:t>
            </w:r>
            <w:r>
              <w:rPr>
                <w:rFonts w:hAnsi="宋体"/>
                <w:color w:val="auto"/>
                <w:sz w:val="24"/>
              </w:rPr>
              <w:t>）二级标准要求；</w:t>
            </w:r>
            <w:r>
              <w:rPr>
                <w:rFonts w:hint="eastAsia" w:hAnsi="宋体"/>
                <w:snapToGrid w:val="0"/>
                <w:color w:val="auto"/>
                <w:kern w:val="0"/>
                <w:sz w:val="24"/>
              </w:rPr>
              <w:t>TVOC</w:t>
            </w:r>
            <w:r>
              <w:rPr>
                <w:rFonts w:hAnsi="宋体"/>
                <w:snapToGrid w:val="0"/>
                <w:color w:val="auto"/>
                <w:kern w:val="0"/>
                <w:sz w:val="24"/>
              </w:rPr>
              <w:t>能达到</w:t>
            </w:r>
            <w:r>
              <w:rPr>
                <w:rFonts w:hint="eastAsia" w:hAnsi="宋体"/>
                <w:color w:val="auto"/>
                <w:sz w:val="24"/>
              </w:rPr>
              <w:t>《室内空气质量标准》（GB/T18883-2002）</w:t>
            </w:r>
            <w:r>
              <w:rPr>
                <w:rFonts w:hAnsi="宋体"/>
                <w:color w:val="auto"/>
                <w:sz w:val="24"/>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outlineLvl w:val="9"/>
              <w:rPr>
                <w:b/>
                <w:color w:val="auto"/>
                <w:sz w:val="24"/>
                <w:szCs w:val="24"/>
              </w:rPr>
            </w:pPr>
            <w:r>
              <w:rPr>
                <w:rFonts w:hAnsi="宋体"/>
                <w:b/>
                <w:color w:val="auto"/>
                <w:sz w:val="24"/>
                <w:szCs w:val="24"/>
              </w:rPr>
              <w:t>二、地表水环境质量现状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Ansi="宋体"/>
                <w:color w:val="auto"/>
                <w:sz w:val="24"/>
              </w:rPr>
            </w:pPr>
            <w:r>
              <w:rPr>
                <w:rFonts w:hAnsi="宋体"/>
                <w:color w:val="auto"/>
                <w:sz w:val="24"/>
              </w:rPr>
              <w:t>本项目周边水体为</w:t>
            </w:r>
            <w:r>
              <w:rPr>
                <w:rFonts w:hint="eastAsia" w:hAnsi="宋体"/>
                <w:color w:val="auto"/>
                <w:sz w:val="24"/>
              </w:rPr>
              <w:t>农干渠</w:t>
            </w:r>
            <w:r>
              <w:rPr>
                <w:rFonts w:hAnsi="宋体"/>
                <w:color w:val="auto"/>
                <w:sz w:val="24"/>
              </w:rPr>
              <w:t>，其水质应执行《地表水环境质量标准》（GB3838-2002）</w:t>
            </w:r>
            <w:r>
              <w:rPr>
                <w:rFonts w:hint="eastAsia" w:hAnsi="宋体"/>
                <w:color w:val="auto"/>
                <w:sz w:val="24"/>
              </w:rPr>
              <w:t>Ⅳ</w:t>
            </w:r>
            <w:r>
              <w:rPr>
                <w:rFonts w:hAnsi="宋体"/>
                <w:color w:val="auto"/>
                <w:sz w:val="24"/>
              </w:rPr>
              <w:t>类标准。为了解</w:t>
            </w:r>
            <w:r>
              <w:rPr>
                <w:rFonts w:hint="eastAsia" w:hAnsi="宋体"/>
                <w:color w:val="auto"/>
                <w:sz w:val="24"/>
              </w:rPr>
              <w:t>其</w:t>
            </w:r>
            <w:r>
              <w:rPr>
                <w:rFonts w:hAnsi="宋体"/>
                <w:color w:val="auto"/>
                <w:sz w:val="24"/>
              </w:rPr>
              <w:t>水体水质情况，本次环评委托</w:t>
            </w:r>
            <w:r>
              <w:rPr>
                <w:rFonts w:hint="eastAsia" w:hAnsi="宋体"/>
                <w:color w:val="auto"/>
                <w:sz w:val="24"/>
              </w:rPr>
              <w:t>湖南安博检测有限公司</w:t>
            </w:r>
            <w:r>
              <w:rPr>
                <w:rFonts w:hAnsi="宋体"/>
                <w:color w:val="auto"/>
                <w:sz w:val="24"/>
              </w:rPr>
              <w:t>于2017年</w:t>
            </w:r>
            <w:r>
              <w:rPr>
                <w:rFonts w:hint="eastAsia" w:hAnsi="宋体"/>
                <w:color w:val="auto"/>
                <w:sz w:val="24"/>
              </w:rPr>
              <w:t>10</w:t>
            </w:r>
            <w:r>
              <w:rPr>
                <w:rFonts w:hAnsi="宋体"/>
                <w:color w:val="auto"/>
                <w:sz w:val="24"/>
              </w:rPr>
              <w:t>月对项目周边</w:t>
            </w:r>
            <w:r>
              <w:rPr>
                <w:rFonts w:hint="eastAsia" w:hAnsi="宋体"/>
                <w:color w:val="auto"/>
                <w:sz w:val="24"/>
              </w:rPr>
              <w:t>农干渠</w:t>
            </w:r>
            <w:r>
              <w:rPr>
                <w:rFonts w:hAnsi="宋体"/>
                <w:color w:val="auto"/>
                <w:sz w:val="24"/>
              </w:rPr>
              <w:t>进行了一期质量现状监测。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表13  地表水水质监测结果统计表</w:t>
            </w:r>
            <w:r>
              <w:rPr>
                <w:rFonts w:hint="eastAsia" w:hAnsi="宋体"/>
                <w:b/>
                <w:bCs/>
                <w:color w:val="auto"/>
                <w:u w:val="single"/>
                <w:lang w:val="en-US" w:eastAsia="zh-CN"/>
              </w:rPr>
              <w:t xml:space="preserve">       </w:t>
            </w:r>
            <w:r>
              <w:rPr>
                <w:rFonts w:hint="eastAsia" w:hAnsi="宋体"/>
                <w:b/>
                <w:bCs/>
                <w:color w:val="auto"/>
                <w:u w:val="single"/>
              </w:rPr>
              <w:t>单位：mg/L，粪大肠菌群：个/L</w:t>
            </w:r>
          </w:p>
          <w:tbl>
            <w:tblPr>
              <w:tblStyle w:val="30"/>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378"/>
              <w:gridCol w:w="1205"/>
              <w:gridCol w:w="1809"/>
              <w:gridCol w:w="1809"/>
              <w:gridCol w:w="18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r>
                    <w:rPr>
                      <w:rFonts w:hint="eastAsia"/>
                      <w:b w:val="0"/>
                      <w:bCs/>
                      <w:i w:val="0"/>
                      <w:iCs w:val="0"/>
                      <w:color w:val="auto"/>
                      <w:kern w:val="0"/>
                      <w:sz w:val="21"/>
                      <w:szCs w:val="21"/>
                    </w:rPr>
                    <w:t>采样</w:t>
                  </w:r>
                  <w:r>
                    <w:rPr>
                      <w:b w:val="0"/>
                      <w:bCs/>
                      <w:i w:val="0"/>
                      <w:iCs w:val="0"/>
                      <w:color w:val="auto"/>
                      <w:kern w:val="0"/>
                      <w:sz w:val="21"/>
                      <w:szCs w:val="21"/>
                    </w:rPr>
                    <w:t>点位</w:t>
                  </w:r>
                </w:p>
              </w:tc>
              <w:tc>
                <w:tcPr>
                  <w:tcW w:w="1378"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r>
                    <w:rPr>
                      <w:rFonts w:hint="eastAsia"/>
                      <w:b w:val="0"/>
                      <w:bCs/>
                      <w:i w:val="0"/>
                      <w:iCs w:val="0"/>
                      <w:color w:val="auto"/>
                      <w:kern w:val="0"/>
                      <w:sz w:val="21"/>
                      <w:szCs w:val="21"/>
                    </w:rPr>
                    <w:t>检测</w:t>
                  </w:r>
                  <w:r>
                    <w:rPr>
                      <w:b w:val="0"/>
                      <w:bCs/>
                      <w:i w:val="0"/>
                      <w:iCs w:val="0"/>
                      <w:color w:val="auto"/>
                      <w:kern w:val="0"/>
                      <w:sz w:val="21"/>
                      <w:szCs w:val="21"/>
                    </w:rPr>
                    <w:t>项目</w:t>
                  </w:r>
                </w:p>
              </w:tc>
              <w:tc>
                <w:tcPr>
                  <w:tcW w:w="1205"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r>
                    <w:rPr>
                      <w:rFonts w:hint="eastAsia"/>
                      <w:b w:val="0"/>
                      <w:bCs/>
                      <w:i w:val="0"/>
                      <w:iCs w:val="0"/>
                      <w:color w:val="auto"/>
                      <w:kern w:val="0"/>
                      <w:sz w:val="21"/>
                      <w:szCs w:val="21"/>
                    </w:rPr>
                    <w:t>单位</w:t>
                  </w:r>
                </w:p>
              </w:tc>
              <w:tc>
                <w:tcPr>
                  <w:tcW w:w="5427" w:type="dxa"/>
                  <w:gridSpan w:val="3"/>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r>
                    <w:rPr>
                      <w:rFonts w:hint="eastAsia"/>
                      <w:b w:val="0"/>
                      <w:bCs/>
                      <w:i w:val="0"/>
                      <w:iCs w:val="0"/>
                      <w:color w:val="auto"/>
                      <w:kern w:val="0"/>
                      <w:sz w:val="21"/>
                      <w:szCs w:val="21"/>
                    </w:rPr>
                    <w:t>检测</w:t>
                  </w:r>
                  <w:r>
                    <w:rPr>
                      <w:b w:val="0"/>
                      <w:bCs/>
                      <w:i w:val="0"/>
                      <w:iCs w:val="0"/>
                      <w:color w:val="auto"/>
                      <w:kern w:val="0"/>
                      <w:sz w:val="21"/>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p>
              </w:tc>
              <w:tc>
                <w:tcPr>
                  <w:tcW w:w="1378"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p>
              </w:tc>
              <w:tc>
                <w:tcPr>
                  <w:tcW w:w="1205"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r>
                    <w:rPr>
                      <w:rFonts w:hint="eastAsia"/>
                      <w:b w:val="0"/>
                      <w:bCs/>
                      <w:i w:val="0"/>
                      <w:iCs w:val="0"/>
                      <w:color w:val="auto"/>
                      <w:kern w:val="0"/>
                      <w:sz w:val="21"/>
                      <w:szCs w:val="21"/>
                    </w:rPr>
                    <w:t>2017.10.09</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r>
                    <w:rPr>
                      <w:rFonts w:hint="eastAsia"/>
                      <w:b w:val="0"/>
                      <w:bCs/>
                      <w:i w:val="0"/>
                      <w:iCs w:val="0"/>
                      <w:color w:val="auto"/>
                      <w:kern w:val="0"/>
                      <w:sz w:val="21"/>
                      <w:szCs w:val="21"/>
                    </w:rPr>
                    <w:t>2017.10.</w:t>
                  </w:r>
                  <w:r>
                    <w:rPr>
                      <w:b w:val="0"/>
                      <w:bCs/>
                      <w:i w:val="0"/>
                      <w:iCs w:val="0"/>
                      <w:color w:val="auto"/>
                      <w:kern w:val="0"/>
                      <w:sz w:val="21"/>
                      <w:szCs w:val="21"/>
                    </w:rPr>
                    <w:t>10</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i w:val="0"/>
                      <w:iCs w:val="0"/>
                      <w:color w:val="auto"/>
                      <w:kern w:val="0"/>
                      <w:sz w:val="21"/>
                      <w:szCs w:val="21"/>
                    </w:rPr>
                  </w:pPr>
                  <w:r>
                    <w:rPr>
                      <w:rFonts w:hint="eastAsia"/>
                      <w:b w:val="0"/>
                      <w:bCs/>
                      <w:i w:val="0"/>
                      <w:iCs w:val="0"/>
                      <w:color w:val="auto"/>
                      <w:kern w:val="0"/>
                      <w:sz w:val="21"/>
                      <w:szCs w:val="21"/>
                    </w:rPr>
                    <w:t>2017.10.</w:t>
                  </w:r>
                  <w:r>
                    <w:rPr>
                      <w:b w:val="0"/>
                      <w:bCs/>
                      <w:i w:val="0"/>
                      <w:iCs w:val="0"/>
                      <w:color w:val="auto"/>
                      <w:kern w:val="0"/>
                      <w:sz w:val="21"/>
                      <w:szCs w:val="21"/>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ascii="宋体" w:hAnsi="宋体"/>
                      <w:color w:val="auto"/>
                      <w:sz w:val="21"/>
                      <w:szCs w:val="21"/>
                    </w:rPr>
                    <w:t>☆</w:t>
                  </w:r>
                  <w:r>
                    <w:rPr>
                      <w:rFonts w:hint="eastAsia"/>
                      <w:color w:val="auto"/>
                      <w:sz w:val="21"/>
                      <w:szCs w:val="21"/>
                    </w:rPr>
                    <w:t>4</w:t>
                  </w:r>
                  <w:r>
                    <w:rPr>
                      <w:color w:val="auto"/>
                      <w:sz w:val="21"/>
                      <w:szCs w:val="21"/>
                      <w:vertAlign w:val="superscript"/>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sz w:val="21"/>
                      <w:szCs w:val="21"/>
                    </w:rPr>
                    <w:t>农干渠W1</w:t>
                  </w: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样品</w:t>
                  </w:r>
                  <w:r>
                    <w:rPr>
                      <w:color w:val="auto"/>
                      <w:kern w:val="0"/>
                      <w:sz w:val="21"/>
                      <w:szCs w:val="21"/>
                    </w:rPr>
                    <w:t>状态</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无色无味</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无色无味</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无色无味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水温</w:t>
                  </w:r>
                </w:p>
              </w:tc>
              <w:tc>
                <w:tcPr>
                  <w:tcW w:w="120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ascii="宋体" w:hAnsi="宋体" w:cs="宋体"/>
                      <w:color w:val="auto"/>
                      <w:sz w:val="21"/>
                      <w:szCs w:val="21"/>
                      <w:lang w:eastAsia="ja-JP"/>
                    </w:rPr>
                    <w:t>℃</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18</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18</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color w:val="auto"/>
                      <w:kern w:val="0"/>
                      <w:sz w:val="21"/>
                      <w:szCs w:val="21"/>
                    </w:rPr>
                    <w:t>pH</w:t>
                  </w:r>
                  <w:r>
                    <w:rPr>
                      <w:rFonts w:hint="eastAsia"/>
                      <w:color w:val="auto"/>
                      <w:kern w:val="0"/>
                      <w:sz w:val="21"/>
                      <w:szCs w:val="21"/>
                    </w:rPr>
                    <w:t>值</w:t>
                  </w:r>
                </w:p>
              </w:tc>
              <w:tc>
                <w:tcPr>
                  <w:tcW w:w="120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无量纲</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7.17</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7.16</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7</w:t>
                  </w:r>
                  <w:r>
                    <w:rPr>
                      <w:color w:val="auto"/>
                      <w:kern w:val="0"/>
                      <w:sz w:val="21"/>
                      <w:szCs w:val="21"/>
                    </w:rPr>
                    <w:t>.</w:t>
                  </w:r>
                  <w:r>
                    <w:rPr>
                      <w:rFonts w:hint="eastAsia"/>
                      <w:color w:val="auto"/>
                      <w:kern w:val="0"/>
                      <w:sz w:val="21"/>
                      <w:szCs w:val="21"/>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悬浮物</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12</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11</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化学需氧量</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9</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9</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五日生化需氧量</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3.4</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3.2</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氨氮</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0.837</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0.834</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0.832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石油类</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阴离子表面活性剂</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六价铬</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铜</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镉</w:t>
                  </w:r>
                </w:p>
              </w:tc>
              <w:tc>
                <w:tcPr>
                  <w:tcW w:w="1205"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color w:val="auto"/>
                      <w:sz w:val="21"/>
                      <w:szCs w:val="21"/>
                    </w:rPr>
                    <w:t>mg/L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kern w:val="0"/>
                      <w:sz w:val="21"/>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60"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p>
              </w:tc>
              <w:tc>
                <w:tcPr>
                  <w:tcW w:w="1378"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粪大肠菌群</w:t>
                  </w:r>
                </w:p>
              </w:tc>
              <w:tc>
                <w:tcPr>
                  <w:tcW w:w="1205"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rPr>
                  </w:pPr>
                  <w:r>
                    <w:rPr>
                      <w:rFonts w:hint="eastAsia"/>
                      <w:color w:val="auto"/>
                      <w:sz w:val="21"/>
                      <w:szCs w:val="21"/>
                    </w:rPr>
                    <w:t>个</w:t>
                  </w:r>
                  <w:r>
                    <w:rPr>
                      <w:color w:val="auto"/>
                      <w:sz w:val="21"/>
                      <w:szCs w:val="21"/>
                    </w:rPr>
                    <w:t>/L</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 w:val="21"/>
                      <w:szCs w:val="21"/>
                    </w:rPr>
                  </w:pPr>
                  <w:r>
                    <w:rPr>
                      <w:rFonts w:hint="eastAsia"/>
                      <w:b/>
                      <w:color w:val="auto"/>
                      <w:kern w:val="0"/>
                      <w:sz w:val="21"/>
                      <w:szCs w:val="21"/>
                    </w:rPr>
                    <w:t>28000</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 w:val="21"/>
                      <w:szCs w:val="21"/>
                    </w:rPr>
                  </w:pPr>
                  <w:r>
                    <w:rPr>
                      <w:rFonts w:hint="eastAsia"/>
                      <w:b/>
                      <w:color w:val="auto"/>
                      <w:kern w:val="0"/>
                      <w:sz w:val="21"/>
                      <w:szCs w:val="21"/>
                    </w:rPr>
                    <w:t>22000</w:t>
                  </w:r>
                </w:p>
              </w:tc>
              <w:tc>
                <w:tcPr>
                  <w:tcW w:w="1809"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 w:val="21"/>
                      <w:szCs w:val="21"/>
                    </w:rPr>
                  </w:pPr>
                  <w:r>
                    <w:rPr>
                      <w:rFonts w:hint="eastAsia"/>
                      <w:color w:val="auto"/>
                      <w:kern w:val="0"/>
                      <w:sz w:val="21"/>
                      <w:szCs w:val="21"/>
                    </w:rPr>
                    <w:t>17000</w:t>
                  </w:r>
                </w:p>
              </w:tc>
            </w:tr>
          </w:tbl>
          <w:p>
            <w:pPr>
              <w:spacing w:line="480" w:lineRule="exact"/>
              <w:ind w:firstLine="482" w:firstLineChars="200"/>
              <w:jc w:val="center"/>
              <w:rPr>
                <w:rFonts w:hAnsi="宋体"/>
                <w:b/>
                <w:color w:val="auto"/>
                <w:sz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表14地表水水质标准值一览表</w:t>
            </w:r>
          </w:p>
          <w:tbl>
            <w:tblPr>
              <w:tblStyle w:val="30"/>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3"/>
              <w:gridCol w:w="1867"/>
              <w:gridCol w:w="3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检测</w:t>
                  </w:r>
                  <w:r>
                    <w:rPr>
                      <w:b w:val="0"/>
                      <w:bCs/>
                      <w:color w:val="auto"/>
                      <w:kern w:val="0"/>
                      <w:szCs w:val="21"/>
                    </w:rPr>
                    <w:t>项目</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单位</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val="0"/>
                      <w:bCs/>
                      <w:color w:val="auto"/>
                      <w:kern w:val="0"/>
                      <w:szCs w:val="21"/>
                    </w:rPr>
                  </w:pPr>
                  <w:r>
                    <w:rPr>
                      <w:rFonts w:hint="eastAsia"/>
                      <w:b w:val="0"/>
                      <w:bCs/>
                      <w:color w:val="auto"/>
                      <w:kern w:val="0"/>
                      <w:szCs w:val="21"/>
                    </w:rPr>
                    <w:t>标准值（Ⅳ类标准）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color w:val="auto"/>
                      <w:kern w:val="0"/>
                      <w:szCs w:val="21"/>
                    </w:rPr>
                    <w:t>pH</w:t>
                  </w:r>
                  <w:r>
                    <w:rPr>
                      <w:rFonts w:hint="eastAsia"/>
                      <w:color w:val="auto"/>
                      <w:kern w:val="0"/>
                      <w:szCs w:val="21"/>
                    </w:rPr>
                    <w:t>值</w:t>
                  </w:r>
                </w:p>
              </w:tc>
              <w:tc>
                <w:tcPr>
                  <w:tcW w:w="18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kern w:val="0"/>
                      <w:szCs w:val="21"/>
                    </w:rPr>
                    <w:t>无量纲</w:t>
                  </w:r>
                </w:p>
              </w:tc>
              <w:tc>
                <w:tcPr>
                  <w:tcW w:w="302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化学需氧量</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五日生化需氧量</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氨氮</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石油类</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阴离子表面活性剂</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六价铬</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r>
                    <w:rPr>
                      <w:rFonts w:hint="eastAsia"/>
                      <w:color w:val="auto"/>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总铜</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w:t>
                  </w:r>
                  <w:r>
                    <w:rPr>
                      <w:rFonts w:hint="eastAsia"/>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总镉</w:t>
                  </w:r>
                </w:p>
              </w:tc>
              <w:tc>
                <w:tcPr>
                  <w:tcW w:w="1867"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302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r>
                    <w:rPr>
                      <w:rFonts w:hint="eastAsia"/>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183"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粪大肠菌群</w:t>
                  </w:r>
                </w:p>
              </w:tc>
              <w:tc>
                <w:tcPr>
                  <w:tcW w:w="186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个</w:t>
                  </w:r>
                  <w:r>
                    <w:rPr>
                      <w:color w:val="auto"/>
                      <w:szCs w:val="21"/>
                    </w:rPr>
                    <w:t>/L</w:t>
                  </w:r>
                </w:p>
              </w:tc>
              <w:tc>
                <w:tcPr>
                  <w:tcW w:w="302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≤20000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4"/>
                <w:u w:val="single"/>
              </w:rPr>
            </w:pPr>
            <w:r>
              <w:rPr>
                <w:rFonts w:hAnsi="宋体"/>
                <w:color w:val="auto"/>
                <w:sz w:val="24"/>
                <w:szCs w:val="24"/>
              </w:rPr>
              <w:t>监测结果表明，对应标准</w:t>
            </w:r>
            <w:r>
              <w:rPr>
                <w:rFonts w:hint="eastAsia" w:hAnsi="宋体"/>
                <w:color w:val="auto"/>
                <w:sz w:val="24"/>
                <w:szCs w:val="24"/>
              </w:rPr>
              <w:t>，可得出农干渠</w:t>
            </w:r>
            <w:r>
              <w:rPr>
                <w:rFonts w:hAnsi="宋体"/>
                <w:color w:val="auto"/>
                <w:sz w:val="24"/>
                <w:szCs w:val="24"/>
              </w:rPr>
              <w:t>监测点的</w:t>
            </w:r>
            <w:r>
              <w:rPr>
                <w:rFonts w:hint="eastAsia" w:hAnsi="宋体"/>
                <w:color w:val="auto"/>
                <w:sz w:val="24"/>
                <w:szCs w:val="24"/>
              </w:rPr>
              <w:t>粪大肠菌群出现不同程度的超标，水质达不到</w:t>
            </w:r>
            <w:r>
              <w:rPr>
                <w:rFonts w:hAnsi="宋体"/>
                <w:color w:val="auto"/>
                <w:sz w:val="24"/>
                <w:szCs w:val="24"/>
              </w:rPr>
              <w:t>《地表水环境质量标准》（</w:t>
            </w:r>
            <w:r>
              <w:rPr>
                <w:color w:val="auto"/>
                <w:sz w:val="24"/>
                <w:szCs w:val="24"/>
              </w:rPr>
              <w:t>GB3838-2002</w:t>
            </w:r>
            <w:r>
              <w:rPr>
                <w:rFonts w:hAnsi="宋体"/>
                <w:color w:val="auto"/>
                <w:sz w:val="24"/>
                <w:szCs w:val="24"/>
              </w:rPr>
              <w:t>）中的</w:t>
            </w:r>
            <w:r>
              <w:rPr>
                <w:rFonts w:hint="eastAsia" w:hAnsi="宋体"/>
                <w:color w:val="auto"/>
                <w:sz w:val="24"/>
                <w:szCs w:val="24"/>
              </w:rPr>
              <w:t>Ⅳ</w:t>
            </w:r>
            <w:r>
              <w:rPr>
                <w:rFonts w:hAnsi="宋体"/>
                <w:color w:val="auto"/>
                <w:sz w:val="24"/>
                <w:szCs w:val="24"/>
              </w:rPr>
              <w:t>类标准要求。</w:t>
            </w:r>
            <w:r>
              <w:rPr>
                <w:rFonts w:hint="eastAsia" w:hAnsi="宋体"/>
                <w:color w:val="auto"/>
                <w:sz w:val="24"/>
                <w:szCs w:val="24"/>
              </w:rPr>
              <w:t>主要是由于上游部分生活污水、工业污水、农业面源污染源未经合理有效处理而导致</w:t>
            </w:r>
            <w:r>
              <w:rPr>
                <w:rFonts w:hAnsi="宋体"/>
                <w:color w:val="auto"/>
                <w:sz w:val="24"/>
                <w:szCs w:val="24"/>
              </w:rPr>
              <w:t>。</w:t>
            </w:r>
            <w:r>
              <w:rPr>
                <w:rFonts w:hint="eastAsia" w:hAnsi="宋体"/>
                <w:color w:val="auto"/>
                <w:sz w:val="24"/>
                <w:szCs w:val="24"/>
              </w:rPr>
              <w:t>在有关部门进一步治理下，地表水会得到进一步改善。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outlineLvl w:val="9"/>
              <w:rPr>
                <w:b/>
                <w:color w:val="auto"/>
                <w:sz w:val="24"/>
                <w:szCs w:val="24"/>
              </w:rPr>
            </w:pPr>
            <w:r>
              <w:rPr>
                <w:rFonts w:hAnsi="宋体"/>
                <w:b/>
                <w:color w:val="auto"/>
                <w:sz w:val="24"/>
                <w:szCs w:val="24"/>
              </w:rPr>
              <w:t>三、地下水环境质量现状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szCs w:val="24"/>
              </w:rPr>
            </w:pPr>
            <w:r>
              <w:rPr>
                <w:rFonts w:hAnsi="宋体"/>
                <w:color w:val="auto"/>
                <w:sz w:val="24"/>
                <w:szCs w:val="24"/>
              </w:rPr>
              <w:t>为了解项目周边地下水水质情况，本评价</w:t>
            </w:r>
            <w:r>
              <w:rPr>
                <w:rFonts w:hint="eastAsia" w:hAnsi="宋体"/>
                <w:color w:val="auto"/>
                <w:sz w:val="24"/>
                <w:szCs w:val="24"/>
              </w:rPr>
              <w:t>对周边地下水做了监测</w:t>
            </w:r>
            <w:r>
              <w:rPr>
                <w:rFonts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kern w:val="0"/>
                <w:sz w:val="24"/>
                <w:szCs w:val="24"/>
              </w:rPr>
            </w:pPr>
            <w:r>
              <w:rPr>
                <w:color w:val="auto"/>
                <w:sz w:val="24"/>
                <w:szCs w:val="24"/>
              </w:rPr>
              <w:t>2017</w:t>
            </w:r>
            <w:r>
              <w:rPr>
                <w:rFonts w:hAnsi="宋体"/>
                <w:color w:val="auto"/>
                <w:sz w:val="24"/>
                <w:szCs w:val="24"/>
              </w:rPr>
              <w:t>年</w:t>
            </w:r>
            <w:r>
              <w:rPr>
                <w:rFonts w:hint="eastAsia"/>
                <w:color w:val="auto"/>
                <w:sz w:val="24"/>
                <w:szCs w:val="24"/>
              </w:rPr>
              <w:t>10</w:t>
            </w:r>
            <w:r>
              <w:rPr>
                <w:rFonts w:hAnsi="宋体"/>
                <w:color w:val="auto"/>
                <w:sz w:val="24"/>
                <w:szCs w:val="24"/>
              </w:rPr>
              <w:t>月</w:t>
            </w:r>
            <w:r>
              <w:rPr>
                <w:rFonts w:hint="eastAsia"/>
                <w:color w:val="auto"/>
                <w:sz w:val="24"/>
                <w:szCs w:val="24"/>
              </w:rPr>
              <w:t>9</w:t>
            </w:r>
            <w:r>
              <w:rPr>
                <w:rFonts w:hAnsi="宋体"/>
                <w:color w:val="auto"/>
                <w:sz w:val="24"/>
                <w:szCs w:val="24"/>
              </w:rPr>
              <w:t>日委托</w:t>
            </w:r>
            <w:r>
              <w:rPr>
                <w:rFonts w:hint="eastAsia" w:hAnsi="宋体"/>
                <w:color w:val="auto"/>
                <w:sz w:val="24"/>
                <w:szCs w:val="24"/>
              </w:rPr>
              <w:t>湖南安博检测有限公司</w:t>
            </w:r>
            <w:r>
              <w:rPr>
                <w:rFonts w:hAnsi="宋体"/>
                <w:color w:val="auto"/>
                <w:sz w:val="24"/>
                <w:szCs w:val="24"/>
              </w:rPr>
              <w:t>对</w:t>
            </w:r>
            <w:r>
              <w:rPr>
                <w:rFonts w:hint="eastAsia" w:hAnsi="宋体"/>
                <w:color w:val="auto"/>
                <w:sz w:val="24"/>
                <w:szCs w:val="24"/>
                <w:lang w:val="zh-TW"/>
              </w:rPr>
              <w:t>北侧居民点水井</w:t>
            </w:r>
            <w:r>
              <w:rPr>
                <w:rFonts w:hAnsi="宋体"/>
                <w:color w:val="auto"/>
                <w:sz w:val="24"/>
                <w:szCs w:val="24"/>
                <w:lang w:val="zh-TW"/>
              </w:rPr>
              <w:t>地</w:t>
            </w:r>
            <w:r>
              <w:rPr>
                <w:rFonts w:hAnsi="宋体"/>
                <w:color w:val="auto"/>
                <w:sz w:val="24"/>
                <w:szCs w:val="24"/>
              </w:rPr>
              <w:t>下水水质进行了现状监测，监测项目为</w:t>
            </w:r>
            <w:r>
              <w:rPr>
                <w:color w:val="auto"/>
                <w:sz w:val="24"/>
                <w:szCs w:val="24"/>
              </w:rPr>
              <w:t>pH</w:t>
            </w:r>
            <w:r>
              <w:rPr>
                <w:rFonts w:hAnsi="宋体"/>
                <w:color w:val="auto"/>
                <w:sz w:val="24"/>
                <w:szCs w:val="24"/>
              </w:rPr>
              <w:t>、氨氮</w:t>
            </w:r>
            <w:r>
              <w:rPr>
                <w:rFonts w:hint="eastAsia" w:hAnsi="宋体"/>
                <w:color w:val="auto"/>
                <w:sz w:val="24"/>
                <w:szCs w:val="24"/>
              </w:rPr>
              <w:t>、</w:t>
            </w:r>
            <w:r>
              <w:rPr>
                <w:rFonts w:hAnsi="宋体"/>
                <w:color w:val="auto"/>
                <w:sz w:val="24"/>
                <w:szCs w:val="24"/>
              </w:rPr>
              <w:t>总硬度</w:t>
            </w:r>
            <w:r>
              <w:rPr>
                <w:rFonts w:hint="eastAsia" w:hAnsi="宋体"/>
                <w:color w:val="auto"/>
                <w:sz w:val="24"/>
                <w:szCs w:val="24"/>
              </w:rPr>
              <w:t>、</w:t>
            </w:r>
            <w:r>
              <w:rPr>
                <w:rFonts w:hAnsi="宋体"/>
                <w:color w:val="auto"/>
                <w:sz w:val="24"/>
                <w:szCs w:val="24"/>
              </w:rPr>
              <w:t>溶解性总固体</w:t>
            </w:r>
            <w:r>
              <w:rPr>
                <w:rFonts w:hint="eastAsia" w:hAnsi="宋体"/>
                <w:color w:val="auto"/>
                <w:sz w:val="24"/>
                <w:szCs w:val="24"/>
              </w:rPr>
              <w:t>、</w:t>
            </w:r>
            <w:r>
              <w:rPr>
                <w:rFonts w:hAnsi="宋体"/>
                <w:color w:val="auto"/>
                <w:sz w:val="24"/>
                <w:szCs w:val="24"/>
              </w:rPr>
              <w:t>高锰酸盐指数</w:t>
            </w:r>
            <w:r>
              <w:rPr>
                <w:rFonts w:hint="eastAsia" w:hAnsi="宋体"/>
                <w:color w:val="auto"/>
                <w:sz w:val="24"/>
                <w:szCs w:val="24"/>
              </w:rPr>
              <w:t>、</w:t>
            </w:r>
            <w:r>
              <w:rPr>
                <w:rFonts w:hAnsi="宋体"/>
                <w:color w:val="auto"/>
                <w:sz w:val="24"/>
                <w:szCs w:val="24"/>
              </w:rPr>
              <w:t>总磷</w:t>
            </w:r>
            <w:r>
              <w:rPr>
                <w:rFonts w:hint="eastAsia" w:hAnsi="宋体"/>
                <w:color w:val="auto"/>
                <w:sz w:val="24"/>
                <w:szCs w:val="24"/>
              </w:rPr>
              <w:t>、</w:t>
            </w:r>
            <w:r>
              <w:rPr>
                <w:rFonts w:hAnsi="宋体"/>
                <w:color w:val="auto"/>
                <w:sz w:val="24"/>
                <w:szCs w:val="24"/>
              </w:rPr>
              <w:t>六价铬</w:t>
            </w:r>
            <w:r>
              <w:rPr>
                <w:rFonts w:hint="eastAsia" w:hAnsi="宋体"/>
                <w:color w:val="auto"/>
                <w:sz w:val="24"/>
                <w:szCs w:val="24"/>
              </w:rPr>
              <w:t>、</w:t>
            </w:r>
            <w:r>
              <w:rPr>
                <w:rFonts w:hAnsi="宋体"/>
                <w:color w:val="auto"/>
                <w:sz w:val="24"/>
                <w:szCs w:val="24"/>
                <w:lang w:val="zh-TW"/>
              </w:rPr>
              <w:t>铜</w:t>
            </w:r>
            <w:r>
              <w:rPr>
                <w:rFonts w:hint="eastAsia" w:hAnsi="宋体"/>
                <w:color w:val="auto"/>
                <w:sz w:val="24"/>
                <w:szCs w:val="24"/>
                <w:lang w:val="zh-TW"/>
              </w:rPr>
              <w:t>、</w:t>
            </w:r>
            <w:r>
              <w:rPr>
                <w:rFonts w:hAnsi="宋体"/>
                <w:color w:val="auto"/>
                <w:sz w:val="24"/>
                <w:szCs w:val="24"/>
                <w:lang w:val="zh-TW"/>
              </w:rPr>
              <w:t>镉等</w:t>
            </w:r>
            <w:r>
              <w:rPr>
                <w:rFonts w:hint="eastAsia"/>
                <w:color w:val="auto"/>
                <w:sz w:val="24"/>
                <w:szCs w:val="24"/>
                <w:lang w:val="zh-TW"/>
              </w:rPr>
              <w:t>9</w:t>
            </w:r>
            <w:r>
              <w:rPr>
                <w:rFonts w:hAnsi="宋体"/>
                <w:color w:val="auto"/>
                <w:sz w:val="24"/>
                <w:szCs w:val="24"/>
                <w:lang w:val="zh-TW"/>
              </w:rPr>
              <w:t>项</w:t>
            </w:r>
            <w:r>
              <w:rPr>
                <w:rFonts w:hint="eastAsia"/>
                <w:color w:val="auto"/>
                <w:sz w:val="24"/>
                <w:szCs w:val="24"/>
              </w:rPr>
              <w:t>，</w:t>
            </w:r>
            <w:r>
              <w:rPr>
                <w:rFonts w:hint="eastAsia" w:hAnsi="宋体"/>
                <w:color w:val="auto"/>
                <w:sz w:val="24"/>
                <w:szCs w:val="24"/>
                <w:lang w:val="zh-TW"/>
              </w:rPr>
              <w:t>评价方法采用标准指数法</w:t>
            </w:r>
            <w:r>
              <w:rPr>
                <w:rFonts w:hAnsi="宋体"/>
                <w:color w:val="auto"/>
                <w:sz w:val="24"/>
                <w:szCs w:val="24"/>
                <w:lang w:val="zh-TW"/>
              </w:rPr>
              <w:t>。监测点位布置见附图，</w:t>
            </w:r>
            <w:r>
              <w:rPr>
                <w:rFonts w:hAnsi="宋体"/>
                <w:color w:val="auto"/>
                <w:sz w:val="24"/>
                <w:szCs w:val="24"/>
              </w:rPr>
              <w:t>监测结果详见附件及下表。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表15  引用区域地下水监测结果统计表单位：mg/L，pH除外</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38"/>
              <w:gridCol w:w="1098"/>
              <w:gridCol w:w="742"/>
              <w:gridCol w:w="833"/>
              <w:gridCol w:w="970"/>
              <w:gridCol w:w="878"/>
              <w:gridCol w:w="835"/>
              <w:gridCol w:w="927"/>
              <w:gridCol w:w="927"/>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397" w:hRule="atLeast"/>
                <w:jc w:val="center"/>
              </w:trPr>
              <w:tc>
                <w:tcPr>
                  <w:tcW w:w="938" w:type="dxa"/>
                  <w:vMerge w:val="restar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7"/>
                      <w:rFonts w:ascii="Times New Roman" w:hAnsi="宋体" w:eastAsia="宋体" w:cs="Times New Roman"/>
                      <w:color w:val="auto"/>
                      <w:sz w:val="21"/>
                      <w:szCs w:val="21"/>
                    </w:rPr>
                  </w:pPr>
                  <w:r>
                    <w:rPr>
                      <w:rStyle w:val="117"/>
                      <w:rFonts w:ascii="Times New Roman" w:hAnsi="宋体" w:eastAsia="宋体" w:cs="Times New Roman"/>
                      <w:color w:val="auto"/>
                      <w:sz w:val="21"/>
                      <w:szCs w:val="21"/>
                    </w:rPr>
                    <w:t>样品编号检测因子</w:t>
                  </w:r>
                </w:p>
              </w:tc>
              <w:tc>
                <w:tcPr>
                  <w:tcW w:w="8132" w:type="dxa"/>
                  <w:gridSpan w:val="9"/>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7"/>
                      <w:rFonts w:ascii="Times New Roman" w:hAnsi="宋体" w:eastAsia="宋体" w:cs="Times New Roman"/>
                      <w:color w:val="auto"/>
                      <w:sz w:val="21"/>
                      <w:szCs w:val="21"/>
                      <w:lang w:eastAsia="zh-CN"/>
                    </w:rPr>
                  </w:pPr>
                  <w:r>
                    <w:rPr>
                      <w:rStyle w:val="117"/>
                      <w:rFonts w:hint="eastAsia" w:ascii="Times New Roman" w:hAnsi="宋体" w:eastAsia="宋体" w:cs="Times New Roman"/>
                      <w:color w:val="auto"/>
                      <w:sz w:val="21"/>
                      <w:szCs w:val="21"/>
                      <w:lang w:eastAsia="zh-CN"/>
                    </w:rPr>
                    <w:t>监测结果2017.10.09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38" w:type="dxa"/>
                  <w:vMerge w:val="continue"/>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p>
              </w:tc>
              <w:tc>
                <w:tcPr>
                  <w:tcW w:w="109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ascii="Times New Roman" w:eastAsia="宋体" w:cs="Times New Roman"/>
                      <w:color w:val="auto"/>
                      <w:sz w:val="21"/>
                      <w:szCs w:val="21"/>
                    </w:rPr>
                    <w:t>pH</w:t>
                  </w:r>
                </w:p>
              </w:tc>
              <w:tc>
                <w:tcPr>
                  <w:tcW w:w="74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氨氮</w:t>
                  </w:r>
                </w:p>
              </w:tc>
              <w:tc>
                <w:tcPr>
                  <w:tcW w:w="833"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总硬度</w:t>
                  </w:r>
                </w:p>
              </w:tc>
              <w:tc>
                <w:tcPr>
                  <w:tcW w:w="97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溶解性总固体</w:t>
                  </w:r>
                </w:p>
              </w:tc>
              <w:tc>
                <w:tcPr>
                  <w:tcW w:w="87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高锰酸盐指数</w:t>
                  </w:r>
                </w:p>
              </w:tc>
              <w:tc>
                <w:tcPr>
                  <w:tcW w:w="835"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总磷</w:t>
                  </w:r>
                </w:p>
              </w:tc>
              <w:tc>
                <w:tcPr>
                  <w:tcW w:w="927"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六价铬</w:t>
                  </w:r>
                </w:p>
              </w:tc>
              <w:tc>
                <w:tcPr>
                  <w:tcW w:w="927"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Fonts w:hAnsi="宋体"/>
                      <w:color w:val="auto"/>
                      <w:szCs w:val="21"/>
                    </w:rPr>
                  </w:pPr>
                  <w:r>
                    <w:rPr>
                      <w:rFonts w:hAnsi="宋体"/>
                      <w:color w:val="auto"/>
                      <w:szCs w:val="21"/>
                      <w:lang w:val="zh-TW"/>
                    </w:rPr>
                    <w:t>铜</w:t>
                  </w:r>
                </w:p>
              </w:tc>
              <w:tc>
                <w:tcPr>
                  <w:tcW w:w="92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Fonts w:hAnsi="宋体"/>
                      <w:color w:val="auto"/>
                      <w:szCs w:val="21"/>
                    </w:rPr>
                  </w:pPr>
                  <w:r>
                    <w:rPr>
                      <w:rFonts w:hAnsi="宋体"/>
                      <w:color w:val="auto"/>
                      <w:szCs w:val="21"/>
                      <w:lang w:val="zh-TW"/>
                    </w:rPr>
                    <w:t>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3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7"/>
                      <w:rFonts w:ascii="宋体" w:hAnsi="宋体" w:eastAsia="宋体" w:cs="Times New Roman"/>
                      <w:color w:val="auto"/>
                      <w:sz w:val="21"/>
                      <w:szCs w:val="21"/>
                    </w:rPr>
                    <w:t>Ⅲ</w:t>
                  </w:r>
                  <w:r>
                    <w:rPr>
                      <w:rStyle w:val="117"/>
                      <w:rFonts w:ascii="Times New Roman" w:hAnsi="宋体" w:eastAsia="宋体" w:cs="Times New Roman"/>
                      <w:color w:val="auto"/>
                      <w:sz w:val="21"/>
                      <w:szCs w:val="21"/>
                      <w:lang w:eastAsia="zh-CN"/>
                    </w:rPr>
                    <w:t>类标准</w:t>
                  </w:r>
                </w:p>
              </w:tc>
              <w:tc>
                <w:tcPr>
                  <w:tcW w:w="1098"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color w:val="auto"/>
                      <w:szCs w:val="21"/>
                    </w:rPr>
                    <w:t>6.5</w:t>
                  </w:r>
                  <w:r>
                    <w:rPr>
                      <w:rFonts w:hAnsi="宋体"/>
                      <w:color w:val="auto"/>
                      <w:szCs w:val="21"/>
                    </w:rPr>
                    <w:t>～</w:t>
                  </w:r>
                  <w:r>
                    <w:rPr>
                      <w:color w:val="auto"/>
                      <w:szCs w:val="21"/>
                    </w:rPr>
                    <w:t>8.5</w:t>
                  </w:r>
                </w:p>
              </w:tc>
              <w:tc>
                <w:tcPr>
                  <w:tcW w:w="74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hint="eastAsia" w:ascii="Times New Roman" w:eastAsia="宋体" w:cs="Times New Roman"/>
                      <w:color w:val="auto"/>
                      <w:sz w:val="21"/>
                      <w:szCs w:val="21"/>
                    </w:rPr>
                    <w:t>0.2</w:t>
                  </w:r>
                </w:p>
              </w:tc>
              <w:tc>
                <w:tcPr>
                  <w:tcW w:w="833"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hint="eastAsia" w:ascii="Times New Roman" w:eastAsia="宋体" w:cs="Times New Roman"/>
                      <w:color w:val="auto"/>
                      <w:sz w:val="21"/>
                      <w:szCs w:val="21"/>
                    </w:rPr>
                    <w:t>450</w:t>
                  </w:r>
                </w:p>
              </w:tc>
              <w:tc>
                <w:tcPr>
                  <w:tcW w:w="97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hint="eastAsia" w:ascii="Times New Roman" w:eastAsia="宋体" w:cs="Times New Roman"/>
                      <w:color w:val="auto"/>
                      <w:sz w:val="21"/>
                      <w:szCs w:val="21"/>
                    </w:rPr>
                    <w:t>1000</w:t>
                  </w:r>
                </w:p>
              </w:tc>
              <w:tc>
                <w:tcPr>
                  <w:tcW w:w="87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hint="eastAsia" w:ascii="Times New Roman" w:eastAsia="宋体" w:cs="Times New Roman"/>
                      <w:color w:val="auto"/>
                      <w:sz w:val="21"/>
                      <w:szCs w:val="21"/>
                    </w:rPr>
                    <w:t>3.0</w:t>
                  </w:r>
                </w:p>
              </w:tc>
              <w:tc>
                <w:tcPr>
                  <w:tcW w:w="835"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hint="eastAsia" w:ascii="Times New Roman" w:eastAsia="宋体" w:cs="Times New Roman"/>
                      <w:color w:val="auto"/>
                      <w:sz w:val="21"/>
                      <w:szCs w:val="21"/>
                    </w:rPr>
                    <w:t>0.2</w:t>
                  </w:r>
                </w:p>
              </w:tc>
              <w:tc>
                <w:tcPr>
                  <w:tcW w:w="927"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ascii="Times New Roman" w:eastAsia="宋体" w:cs="Times New Roman"/>
                      <w:color w:val="auto"/>
                      <w:sz w:val="21"/>
                      <w:szCs w:val="21"/>
                    </w:rPr>
                    <w:t>0.05</w:t>
                  </w:r>
                </w:p>
              </w:tc>
              <w:tc>
                <w:tcPr>
                  <w:tcW w:w="927" w:type="dxa"/>
                  <w:tcBorders>
                    <w:tl2br w:val="nil"/>
                    <w:tr2bl w:val="nil"/>
                  </w:tcBorders>
                  <w:shd w:val="clear" w:color="auto" w:fill="auto"/>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1.0</w:t>
                  </w:r>
                </w:p>
              </w:tc>
              <w:tc>
                <w:tcPr>
                  <w:tcW w:w="922" w:type="dxa"/>
                  <w:tcBorders>
                    <w:tl2br w:val="nil"/>
                    <w:tr2bl w:val="nil"/>
                  </w:tcBorders>
                  <w:shd w:val="clear" w:color="auto" w:fill="auto"/>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3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Style w:val="118"/>
                      <w:rFonts w:hint="eastAsia" w:ascii="Times New Roman" w:eastAsia="宋体" w:cs="Times New Roman"/>
                      <w:color w:val="auto"/>
                      <w:sz w:val="21"/>
                      <w:szCs w:val="21"/>
                    </w:rPr>
                    <w:t>检测值</w:t>
                  </w:r>
                </w:p>
              </w:tc>
              <w:tc>
                <w:tcPr>
                  <w:tcW w:w="109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6.98</w:t>
                  </w:r>
                </w:p>
              </w:tc>
              <w:tc>
                <w:tcPr>
                  <w:tcW w:w="74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color w:val="auto"/>
                      <w:szCs w:val="21"/>
                    </w:rPr>
                    <w:t>ND</w:t>
                  </w:r>
                </w:p>
              </w:tc>
              <w:tc>
                <w:tcPr>
                  <w:tcW w:w="833"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360</w:t>
                  </w:r>
                </w:p>
              </w:tc>
              <w:tc>
                <w:tcPr>
                  <w:tcW w:w="97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470</w:t>
                  </w:r>
                </w:p>
              </w:tc>
              <w:tc>
                <w:tcPr>
                  <w:tcW w:w="87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1.0</w:t>
                  </w:r>
                </w:p>
              </w:tc>
              <w:tc>
                <w:tcPr>
                  <w:tcW w:w="835"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color w:val="auto"/>
                      <w:szCs w:val="21"/>
                    </w:rPr>
                    <w:t>ND</w:t>
                  </w:r>
                </w:p>
              </w:tc>
              <w:tc>
                <w:tcPr>
                  <w:tcW w:w="927"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Cs w:val="21"/>
                    </w:rPr>
                  </w:pPr>
                  <w:r>
                    <w:rPr>
                      <w:color w:val="auto"/>
                      <w:szCs w:val="21"/>
                    </w:rPr>
                    <w:t>ND</w:t>
                  </w:r>
                </w:p>
              </w:tc>
              <w:tc>
                <w:tcPr>
                  <w:tcW w:w="927" w:type="dxa"/>
                  <w:tcBorders>
                    <w:tl2br w:val="nil"/>
                    <w:tr2bl w:val="nil"/>
                  </w:tcBorders>
                  <w:shd w:val="clear" w:color="auto" w:fill="auto"/>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ascii="Times New Roman" w:eastAsia="宋体" w:cs="Times New Roman"/>
                      <w:color w:val="auto"/>
                      <w:sz w:val="21"/>
                      <w:szCs w:val="21"/>
                    </w:rPr>
                    <w:t>ND</w:t>
                  </w:r>
                </w:p>
              </w:tc>
              <w:tc>
                <w:tcPr>
                  <w:tcW w:w="922" w:type="dxa"/>
                  <w:tcBorders>
                    <w:tl2br w:val="nil"/>
                    <w:tr2bl w:val="nil"/>
                  </w:tcBorders>
                  <w:shd w:val="clear" w:color="auto" w:fill="auto"/>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ascii="Times New Roman" w:eastAsia="宋体" w:cs="Times New Roman"/>
                      <w:color w:val="auto"/>
                      <w:sz w:val="21"/>
                      <w:szCs w:val="21"/>
                    </w:rPr>
                    <w:t>ND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93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ascii="Times New Roman" w:eastAsia="宋体" w:cs="Times New Roman"/>
                      <w:color w:val="auto"/>
                      <w:sz w:val="21"/>
                      <w:szCs w:val="21"/>
                    </w:rPr>
                    <w:t>标准指数</w:t>
                  </w:r>
                </w:p>
              </w:tc>
              <w:tc>
                <w:tcPr>
                  <w:tcW w:w="109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0.04</w:t>
                  </w:r>
                </w:p>
              </w:tc>
              <w:tc>
                <w:tcPr>
                  <w:tcW w:w="74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Fonts w:hint="eastAsia"/>
                      <w:color w:val="auto"/>
                      <w:szCs w:val="21"/>
                    </w:rPr>
                    <w:t>--</w:t>
                  </w:r>
                </w:p>
              </w:tc>
              <w:tc>
                <w:tcPr>
                  <w:tcW w:w="833"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0.8</w:t>
                  </w:r>
                </w:p>
              </w:tc>
              <w:tc>
                <w:tcPr>
                  <w:tcW w:w="97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0.47</w:t>
                  </w:r>
                </w:p>
              </w:tc>
              <w:tc>
                <w:tcPr>
                  <w:tcW w:w="878"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0.33</w:t>
                  </w:r>
                </w:p>
              </w:tc>
              <w:tc>
                <w:tcPr>
                  <w:tcW w:w="835"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w:t>
                  </w:r>
                </w:p>
              </w:tc>
              <w:tc>
                <w:tcPr>
                  <w:tcW w:w="927"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w:t>
                  </w:r>
                </w:p>
              </w:tc>
              <w:tc>
                <w:tcPr>
                  <w:tcW w:w="927" w:type="dxa"/>
                  <w:tcBorders>
                    <w:tl2br w:val="nil"/>
                    <w:tr2bl w:val="nil"/>
                  </w:tcBorders>
                  <w:shd w:val="clear" w:color="auto" w:fill="auto"/>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w:t>
                  </w:r>
                </w:p>
              </w:tc>
              <w:tc>
                <w:tcPr>
                  <w:tcW w:w="922" w:type="dxa"/>
                  <w:tcBorders>
                    <w:tl2br w:val="nil"/>
                    <w:tr2bl w:val="nil"/>
                  </w:tcBorders>
                  <w:shd w:val="clear" w:color="auto" w:fill="auto"/>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8"/>
                      <w:rFonts w:ascii="Times New Roman" w:eastAsia="宋体" w:cs="Times New Roman"/>
                      <w:color w:val="auto"/>
                      <w:sz w:val="21"/>
                      <w:szCs w:val="21"/>
                    </w:rPr>
                  </w:pPr>
                  <w:r>
                    <w:rPr>
                      <w:rStyle w:val="118"/>
                      <w:rFonts w:hint="eastAsia" w:ascii="Times New Roman" w:eastAsia="宋体"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color w:val="auto"/>
                <w:sz w:val="24"/>
                <w:szCs w:val="24"/>
              </w:rPr>
              <w:t>由上表可以看出</w:t>
            </w:r>
            <w:r>
              <w:rPr>
                <w:rFonts w:hint="eastAsia" w:hAnsi="宋体"/>
                <w:color w:val="auto"/>
                <w:sz w:val="24"/>
                <w:szCs w:val="24"/>
              </w:rPr>
              <w:t>，各监测因标准指数均低于1.0，</w:t>
            </w:r>
            <w:r>
              <w:rPr>
                <w:rFonts w:hAnsi="宋体"/>
                <w:color w:val="auto"/>
                <w:sz w:val="24"/>
                <w:szCs w:val="24"/>
              </w:rPr>
              <w:t>均达到</w:t>
            </w:r>
            <w:r>
              <w:rPr>
                <w:rFonts w:hAnsi="宋体"/>
                <w:color w:val="auto"/>
                <w:sz w:val="24"/>
                <w:szCs w:val="24"/>
                <w:lang w:val="zh-TW"/>
              </w:rPr>
              <w:t>《地下水质量标准》</w:t>
            </w:r>
            <w:r>
              <w:rPr>
                <w:color w:val="auto"/>
                <w:sz w:val="24"/>
                <w:szCs w:val="24"/>
              </w:rPr>
              <w:t>(GB/T14848-93)</w:t>
            </w:r>
            <w:r>
              <w:rPr>
                <w:rFonts w:hAnsi="宋体"/>
                <w:color w:val="auto"/>
                <w:sz w:val="24"/>
                <w:szCs w:val="24"/>
                <w:lang w:val="zh-TW"/>
              </w:rPr>
              <w:t>中</w:t>
            </w:r>
            <w:r>
              <w:rPr>
                <w:rStyle w:val="117"/>
                <w:rFonts w:ascii="宋体" w:hAnsi="宋体" w:eastAsia="宋体" w:cs="Times New Roman"/>
                <w:color w:val="auto"/>
                <w:sz w:val="24"/>
                <w:szCs w:val="24"/>
              </w:rPr>
              <w:t>Ⅲ</w:t>
            </w:r>
            <w:r>
              <w:rPr>
                <w:rStyle w:val="117"/>
                <w:rFonts w:ascii="Times New Roman" w:hAnsi="宋体" w:eastAsia="宋体" w:cs="Times New Roman"/>
                <w:color w:val="auto"/>
                <w:sz w:val="24"/>
                <w:szCs w:val="24"/>
                <w:lang w:eastAsia="zh-CN"/>
              </w:rPr>
              <w:t>类标准要求</w:t>
            </w:r>
            <w:r>
              <w:rPr>
                <w:rFonts w:hint="eastAsia" w:hAnsi="宋体"/>
                <w:color w:val="auto"/>
                <w:sz w:val="24"/>
                <w:szCs w:val="24"/>
              </w:rPr>
              <w:t>，</w:t>
            </w:r>
            <w:r>
              <w:rPr>
                <w:rFonts w:hAnsi="宋体"/>
                <w:color w:val="auto"/>
                <w:sz w:val="24"/>
                <w:szCs w:val="24"/>
              </w:rPr>
              <w:t>区域地下水质量较好</w:t>
            </w:r>
            <w:r>
              <w:rPr>
                <w:rFonts w:hint="eastAsia"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四、声环境质量现状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szCs w:val="24"/>
              </w:rPr>
              <w:t>本项目厂界四侧及敏感点执行《声环境质量标准》</w:t>
            </w:r>
            <w:r>
              <w:rPr>
                <w:color w:val="auto"/>
                <w:sz w:val="24"/>
                <w:szCs w:val="24"/>
              </w:rPr>
              <w:t>(GB3096-2008)</w:t>
            </w:r>
            <w:r>
              <w:rPr>
                <w:rFonts w:hAnsi="宋体"/>
                <w:color w:val="auto"/>
                <w:sz w:val="24"/>
                <w:szCs w:val="24"/>
              </w:rPr>
              <w:t>中</w:t>
            </w:r>
            <w:r>
              <w:rPr>
                <w:color w:val="auto"/>
                <w:sz w:val="24"/>
                <w:szCs w:val="24"/>
              </w:rPr>
              <w:t>2</w:t>
            </w:r>
            <w:r>
              <w:rPr>
                <w:rFonts w:hAnsi="宋体"/>
                <w:color w:val="auto"/>
                <w:sz w:val="24"/>
                <w:szCs w:val="24"/>
              </w:rPr>
              <w:t>类标准。本次评价委托</w:t>
            </w:r>
            <w:r>
              <w:rPr>
                <w:rFonts w:hint="eastAsia" w:hAnsi="宋体"/>
                <w:color w:val="auto"/>
                <w:sz w:val="24"/>
                <w:szCs w:val="24"/>
              </w:rPr>
              <w:t>湖南安博检测有限公司</w:t>
            </w:r>
            <w:r>
              <w:rPr>
                <w:rFonts w:hAnsi="宋体"/>
                <w:color w:val="auto"/>
                <w:sz w:val="24"/>
                <w:szCs w:val="24"/>
              </w:rPr>
              <w:t>于</w:t>
            </w:r>
            <w:r>
              <w:rPr>
                <w:color w:val="auto"/>
                <w:sz w:val="24"/>
                <w:szCs w:val="24"/>
              </w:rPr>
              <w:t>2017</w:t>
            </w:r>
            <w:r>
              <w:rPr>
                <w:rFonts w:hAnsi="宋体"/>
                <w:color w:val="auto"/>
                <w:sz w:val="24"/>
                <w:szCs w:val="24"/>
              </w:rPr>
              <w:t>年</w:t>
            </w:r>
            <w:r>
              <w:rPr>
                <w:rFonts w:hint="eastAsia"/>
                <w:color w:val="auto"/>
                <w:sz w:val="24"/>
                <w:szCs w:val="24"/>
              </w:rPr>
              <w:t>10</w:t>
            </w:r>
            <w:r>
              <w:rPr>
                <w:rFonts w:hAnsi="宋体"/>
                <w:color w:val="auto"/>
                <w:sz w:val="24"/>
                <w:szCs w:val="24"/>
              </w:rPr>
              <w:t>月</w:t>
            </w:r>
            <w:r>
              <w:rPr>
                <w:rFonts w:hint="eastAsia"/>
                <w:color w:val="auto"/>
                <w:sz w:val="24"/>
                <w:szCs w:val="24"/>
              </w:rPr>
              <w:t>13</w:t>
            </w:r>
            <w:r>
              <w:rPr>
                <w:rFonts w:hAnsi="宋体"/>
                <w:color w:val="auto"/>
                <w:sz w:val="24"/>
                <w:szCs w:val="24"/>
              </w:rPr>
              <w:t>日、</w:t>
            </w:r>
            <w:r>
              <w:rPr>
                <w:rFonts w:hint="eastAsia"/>
                <w:color w:val="auto"/>
                <w:sz w:val="24"/>
                <w:szCs w:val="24"/>
              </w:rPr>
              <w:t>14</w:t>
            </w:r>
            <w:r>
              <w:rPr>
                <w:rFonts w:hAnsi="宋体"/>
                <w:color w:val="auto"/>
                <w:sz w:val="24"/>
                <w:szCs w:val="24"/>
              </w:rPr>
              <w:t>日对项目厂区四侧及周边敏感点的声环境质量进行现状监测。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表16  声环境质量监测数据一览表单位：dB(A)</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07"/>
              <w:gridCol w:w="2446"/>
              <w:gridCol w:w="1544"/>
              <w:gridCol w:w="1388"/>
              <w:gridCol w:w="1484"/>
              <w:gridCol w:w="14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序号</w:t>
                  </w:r>
                </w:p>
              </w:tc>
              <w:tc>
                <w:tcPr>
                  <w:tcW w:w="2446"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监测点位</w:t>
                  </w:r>
                </w:p>
              </w:tc>
              <w:tc>
                <w:tcPr>
                  <w:tcW w:w="2932" w:type="dxa"/>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color w:val="auto"/>
                      <w:szCs w:val="21"/>
                    </w:rPr>
                    <w:t>7</w:t>
                  </w:r>
                  <w:r>
                    <w:rPr>
                      <w:rFonts w:hAnsi="宋体"/>
                      <w:color w:val="auto"/>
                      <w:szCs w:val="21"/>
                    </w:rPr>
                    <w:t>月</w:t>
                  </w:r>
                  <w:r>
                    <w:rPr>
                      <w:rFonts w:hint="eastAsia"/>
                      <w:color w:val="auto"/>
                      <w:szCs w:val="21"/>
                    </w:rPr>
                    <w:t>13</w:t>
                  </w:r>
                  <w:r>
                    <w:rPr>
                      <w:rFonts w:hAnsi="宋体"/>
                      <w:color w:val="auto"/>
                      <w:szCs w:val="21"/>
                    </w:rPr>
                    <w:t>日</w:t>
                  </w:r>
                </w:p>
              </w:tc>
              <w:tc>
                <w:tcPr>
                  <w:tcW w:w="2885" w:type="dxa"/>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color w:val="auto"/>
                      <w:szCs w:val="21"/>
                    </w:rPr>
                    <w:t>7</w:t>
                  </w:r>
                  <w:r>
                    <w:rPr>
                      <w:rFonts w:hAnsi="宋体"/>
                      <w:color w:val="auto"/>
                      <w:szCs w:val="21"/>
                    </w:rPr>
                    <w:t>月</w:t>
                  </w:r>
                  <w:r>
                    <w:rPr>
                      <w:rFonts w:hint="eastAsia"/>
                      <w:color w:val="auto"/>
                      <w:szCs w:val="21"/>
                    </w:rPr>
                    <w:t>14</w:t>
                  </w:r>
                  <w:r>
                    <w:rPr>
                      <w:rFonts w:hAnsi="宋体"/>
                      <w:color w:val="auto"/>
                      <w:szCs w:val="21"/>
                    </w:rPr>
                    <w:t>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p>
              </w:tc>
              <w:tc>
                <w:tcPr>
                  <w:tcW w:w="2446"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昼间</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夜间</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昼间</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Ansi="宋体"/>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N1</w:t>
                  </w:r>
                </w:p>
              </w:tc>
              <w:tc>
                <w:tcPr>
                  <w:tcW w:w="24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rFonts w:hAnsi="宋体"/>
                      <w:color w:val="auto"/>
                      <w:szCs w:val="21"/>
                    </w:rPr>
                    <w:t>本项目厂</w:t>
                  </w:r>
                  <w:r>
                    <w:rPr>
                      <w:rFonts w:hAnsi="宋体"/>
                      <w:color w:val="auto"/>
                      <w:kern w:val="0"/>
                      <w:szCs w:val="21"/>
                    </w:rPr>
                    <w:t>界东侧</w:t>
                  </w:r>
                  <w:r>
                    <w:rPr>
                      <w:color w:val="auto"/>
                      <w:kern w:val="0"/>
                      <w:szCs w:val="21"/>
                    </w:rPr>
                    <w:t>1m</w:t>
                  </w:r>
                  <w:r>
                    <w:rPr>
                      <w:rFonts w:hAnsi="宋体"/>
                      <w:color w:val="auto"/>
                      <w:kern w:val="0"/>
                      <w:szCs w:val="21"/>
                    </w:rPr>
                    <w:t>处</w:t>
                  </w: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61</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50</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61</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N2</w:t>
                  </w:r>
                </w:p>
              </w:tc>
              <w:tc>
                <w:tcPr>
                  <w:tcW w:w="24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rFonts w:hAnsi="宋体"/>
                      <w:color w:val="auto"/>
                      <w:szCs w:val="21"/>
                    </w:rPr>
                    <w:t>本项目厂</w:t>
                  </w:r>
                  <w:r>
                    <w:rPr>
                      <w:rFonts w:hAnsi="宋体"/>
                      <w:color w:val="auto"/>
                      <w:kern w:val="0"/>
                      <w:szCs w:val="21"/>
                    </w:rPr>
                    <w:t>界南侧</w:t>
                  </w:r>
                  <w:r>
                    <w:rPr>
                      <w:color w:val="auto"/>
                      <w:kern w:val="0"/>
                      <w:szCs w:val="21"/>
                    </w:rPr>
                    <w:t>1m</w:t>
                  </w:r>
                  <w:r>
                    <w:rPr>
                      <w:rFonts w:hAnsi="宋体"/>
                      <w:color w:val="auto"/>
                      <w:kern w:val="0"/>
                      <w:szCs w:val="21"/>
                    </w:rPr>
                    <w:t>处</w:t>
                  </w: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59</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52</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61</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N3</w:t>
                  </w:r>
                </w:p>
              </w:tc>
              <w:tc>
                <w:tcPr>
                  <w:tcW w:w="24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rFonts w:hAnsi="宋体"/>
                      <w:color w:val="auto"/>
                      <w:szCs w:val="21"/>
                    </w:rPr>
                    <w:t>本项目厂</w:t>
                  </w:r>
                  <w:r>
                    <w:rPr>
                      <w:rFonts w:hAnsi="宋体"/>
                      <w:color w:val="auto"/>
                      <w:kern w:val="0"/>
                      <w:szCs w:val="21"/>
                    </w:rPr>
                    <w:t>界西侧</w:t>
                  </w:r>
                  <w:r>
                    <w:rPr>
                      <w:color w:val="auto"/>
                      <w:kern w:val="0"/>
                      <w:szCs w:val="21"/>
                    </w:rPr>
                    <w:t>1m</w:t>
                  </w:r>
                  <w:r>
                    <w:rPr>
                      <w:rFonts w:hAnsi="宋体"/>
                      <w:color w:val="auto"/>
                      <w:kern w:val="0"/>
                      <w:szCs w:val="21"/>
                    </w:rPr>
                    <w:t>处</w:t>
                  </w: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60</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51</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62</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trHeight w:val="397" w:hRule="atLeast"/>
                <w:jc w:val="center"/>
              </w:trPr>
              <w:tc>
                <w:tcPr>
                  <w:tcW w:w="8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N4</w:t>
                  </w:r>
                </w:p>
              </w:tc>
              <w:tc>
                <w:tcPr>
                  <w:tcW w:w="244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rFonts w:hAnsi="宋体"/>
                      <w:color w:val="auto"/>
                      <w:szCs w:val="21"/>
                    </w:rPr>
                    <w:t>本项目厂</w:t>
                  </w:r>
                  <w:r>
                    <w:rPr>
                      <w:rFonts w:hAnsi="宋体"/>
                      <w:color w:val="auto"/>
                      <w:kern w:val="0"/>
                      <w:szCs w:val="21"/>
                    </w:rPr>
                    <w:t>界北侧</w:t>
                  </w:r>
                  <w:r>
                    <w:rPr>
                      <w:color w:val="auto"/>
                      <w:kern w:val="0"/>
                      <w:szCs w:val="21"/>
                    </w:rPr>
                    <w:t>1m</w:t>
                  </w:r>
                  <w:r>
                    <w:rPr>
                      <w:rFonts w:hAnsi="宋体"/>
                      <w:color w:val="auto"/>
                      <w:kern w:val="0"/>
                      <w:szCs w:val="21"/>
                    </w:rPr>
                    <w:t>处</w:t>
                  </w: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58</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49</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60</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N5</w:t>
                  </w:r>
                </w:p>
              </w:tc>
              <w:tc>
                <w:tcPr>
                  <w:tcW w:w="244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北侧加油站</w:t>
                  </w:r>
                  <w:r>
                    <w:rPr>
                      <w:color w:val="auto"/>
                      <w:szCs w:val="21"/>
                    </w:rPr>
                    <w:t>N5</w:t>
                  </w: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52</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47</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51</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N6</w:t>
                  </w:r>
                </w:p>
              </w:tc>
              <w:tc>
                <w:tcPr>
                  <w:tcW w:w="244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南侧汽修厂N6</w:t>
                  </w: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54</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46</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53</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80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kern w:val="0"/>
                      <w:szCs w:val="21"/>
                    </w:rPr>
                  </w:pPr>
                  <w:r>
                    <w:rPr>
                      <w:color w:val="auto"/>
                      <w:kern w:val="0"/>
                      <w:szCs w:val="21"/>
                    </w:rPr>
                    <w:t>N</w:t>
                  </w:r>
                  <w:r>
                    <w:rPr>
                      <w:rFonts w:hint="eastAsia"/>
                      <w:color w:val="auto"/>
                      <w:kern w:val="0"/>
                      <w:szCs w:val="21"/>
                    </w:rPr>
                    <w:t>7</w:t>
                  </w:r>
                </w:p>
              </w:tc>
              <w:tc>
                <w:tcPr>
                  <w:tcW w:w="244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东南侧居民点</w:t>
                  </w:r>
                  <w:r>
                    <w:rPr>
                      <w:color w:val="auto"/>
                      <w:szCs w:val="21"/>
                    </w:rPr>
                    <w:t>N7</w:t>
                  </w:r>
                </w:p>
              </w:tc>
              <w:tc>
                <w:tcPr>
                  <w:tcW w:w="154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53</w:t>
                  </w:r>
                </w:p>
              </w:tc>
              <w:tc>
                <w:tcPr>
                  <w:tcW w:w="138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48</w:t>
                  </w:r>
                </w:p>
              </w:tc>
              <w:tc>
                <w:tcPr>
                  <w:tcW w:w="148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51</w:t>
                  </w:r>
                </w:p>
              </w:tc>
              <w:tc>
                <w:tcPr>
                  <w:tcW w:w="140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color w:val="auto"/>
                      <w:szCs w:val="21"/>
                    </w:rPr>
                  </w:pPr>
                  <w:r>
                    <w:rPr>
                      <w:rFonts w:hint="eastAsia"/>
                      <w:color w:val="auto"/>
                      <w:szCs w:val="21"/>
                    </w:rPr>
                    <w:t>44</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4"/>
              </w:rPr>
            </w:pPr>
            <w:r>
              <w:rPr>
                <w:rFonts w:hAnsi="宋体"/>
                <w:color w:val="auto"/>
                <w:sz w:val="24"/>
                <w:szCs w:val="24"/>
              </w:rPr>
              <w:t>通过分析可知，项目东、西厂界距离</w:t>
            </w:r>
            <w:r>
              <w:rPr>
                <w:rFonts w:hint="eastAsia" w:hAnsi="宋体"/>
                <w:color w:val="auto"/>
                <w:sz w:val="24"/>
                <w:szCs w:val="24"/>
              </w:rPr>
              <w:t>国道106的35m范围内执行</w:t>
            </w:r>
            <w:r>
              <w:rPr>
                <w:rFonts w:hAnsi="宋体"/>
                <w:color w:val="auto"/>
                <w:sz w:val="24"/>
                <w:szCs w:val="24"/>
              </w:rPr>
              <w:t>《声环境质量标准》（</w:t>
            </w:r>
            <w:r>
              <w:rPr>
                <w:color w:val="auto"/>
                <w:sz w:val="24"/>
                <w:szCs w:val="24"/>
              </w:rPr>
              <w:t>GB3096-2008</w:t>
            </w:r>
            <w:r>
              <w:rPr>
                <w:rFonts w:hAnsi="宋体"/>
                <w:color w:val="auto"/>
                <w:sz w:val="24"/>
                <w:szCs w:val="24"/>
              </w:rPr>
              <w:t>）</w:t>
            </w:r>
            <w:r>
              <w:rPr>
                <w:rFonts w:hint="eastAsia" w:hAnsi="宋体"/>
                <w:color w:val="auto"/>
                <w:sz w:val="24"/>
                <w:szCs w:val="24"/>
              </w:rPr>
              <w:t>4a类标准（监测点在35m范围内），其余边界执行2类标准。敏感点噪声能够满足2类标准，根据</w:t>
            </w:r>
            <w:r>
              <w:rPr>
                <w:rFonts w:hAnsi="宋体"/>
                <w:color w:val="auto"/>
                <w:sz w:val="24"/>
                <w:szCs w:val="24"/>
              </w:rPr>
              <w:t>检测结果可知</w:t>
            </w:r>
            <w:r>
              <w:rPr>
                <w:rFonts w:hint="eastAsia" w:hAnsi="宋体"/>
                <w:color w:val="auto"/>
                <w:sz w:val="24"/>
                <w:szCs w:val="24"/>
              </w:rPr>
              <w:t>厂界</w:t>
            </w:r>
            <w:r>
              <w:rPr>
                <w:rFonts w:hAnsi="宋体"/>
                <w:color w:val="auto"/>
                <w:sz w:val="24"/>
                <w:szCs w:val="24"/>
              </w:rPr>
              <w:t>噪声能够满足《声环境质量标准》（</w:t>
            </w:r>
            <w:r>
              <w:rPr>
                <w:color w:val="auto"/>
                <w:sz w:val="24"/>
                <w:szCs w:val="24"/>
              </w:rPr>
              <w:t>GB3096-2008</w:t>
            </w:r>
            <w:r>
              <w:rPr>
                <w:rFonts w:hAnsi="宋体"/>
                <w:color w:val="auto"/>
                <w:sz w:val="24"/>
                <w:szCs w:val="24"/>
              </w:rPr>
              <w:t>）相关标准要求。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outlineLvl w:val="9"/>
              <w:rPr>
                <w:b/>
                <w:color w:val="auto"/>
                <w:sz w:val="24"/>
                <w:szCs w:val="24"/>
              </w:rPr>
            </w:pPr>
            <w:r>
              <w:rPr>
                <w:rFonts w:hAnsi="宋体"/>
                <w:b/>
                <w:color w:val="auto"/>
                <w:sz w:val="24"/>
                <w:szCs w:val="24"/>
              </w:rPr>
              <w:t>五、土壤环境现状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Ansi="宋体"/>
                <w:color w:val="auto"/>
                <w:sz w:val="24"/>
              </w:rPr>
            </w:pPr>
            <w:r>
              <w:rPr>
                <w:rFonts w:hAnsi="宋体"/>
                <w:color w:val="auto"/>
                <w:sz w:val="24"/>
              </w:rPr>
              <w:t>为了解项目</w:t>
            </w:r>
            <w:r>
              <w:rPr>
                <w:rFonts w:hint="eastAsia" w:hAnsi="宋体"/>
                <w:color w:val="auto"/>
                <w:sz w:val="24"/>
              </w:rPr>
              <w:t>场地和</w:t>
            </w:r>
            <w:r>
              <w:rPr>
                <w:rFonts w:hAnsi="宋体"/>
                <w:color w:val="auto"/>
                <w:sz w:val="24"/>
              </w:rPr>
              <w:t>周边土壤及</w:t>
            </w:r>
            <w:r>
              <w:rPr>
                <w:rFonts w:hint="eastAsia" w:hAnsi="宋体"/>
                <w:color w:val="auto"/>
                <w:sz w:val="24"/>
              </w:rPr>
              <w:t>地下水</w:t>
            </w:r>
            <w:r>
              <w:rPr>
                <w:rFonts w:hAnsi="宋体"/>
                <w:color w:val="auto"/>
                <w:sz w:val="24"/>
              </w:rPr>
              <w:t>的环境质量现状情况，本评价采取引用数据方法。《</w:t>
            </w:r>
            <w:r>
              <w:rPr>
                <w:rFonts w:hint="eastAsia" w:hAnsi="宋体"/>
                <w:color w:val="auto"/>
                <w:sz w:val="24"/>
              </w:rPr>
              <w:t>平江县原三阳乡化学农药厂污染土壤治理项目场地调查报告</w:t>
            </w:r>
            <w:r>
              <w:rPr>
                <w:rFonts w:hAnsi="宋体"/>
                <w:color w:val="auto"/>
                <w:sz w:val="24"/>
              </w:rPr>
              <w:t>》</w:t>
            </w:r>
            <w:r>
              <w:rPr>
                <w:color w:val="auto"/>
                <w:sz w:val="24"/>
              </w:rPr>
              <w:t>(</w:t>
            </w:r>
            <w:r>
              <w:rPr>
                <w:rFonts w:hint="eastAsia" w:hAnsi="宋体"/>
                <w:color w:val="auto"/>
                <w:sz w:val="24"/>
              </w:rPr>
              <w:t>湖南华弘</w:t>
            </w:r>
            <w:r>
              <w:rPr>
                <w:rFonts w:hAnsi="宋体"/>
                <w:color w:val="auto"/>
                <w:sz w:val="24"/>
              </w:rPr>
              <w:t>检测有限公司，</w:t>
            </w:r>
            <w:r>
              <w:rPr>
                <w:color w:val="auto"/>
                <w:sz w:val="24"/>
              </w:rPr>
              <w:t>2017</w:t>
            </w:r>
            <w:r>
              <w:rPr>
                <w:rFonts w:hAnsi="宋体"/>
                <w:color w:val="auto"/>
                <w:sz w:val="24"/>
              </w:rPr>
              <w:t>年</w:t>
            </w:r>
            <w:r>
              <w:rPr>
                <w:rFonts w:hint="eastAsia"/>
                <w:color w:val="auto"/>
                <w:sz w:val="24"/>
              </w:rPr>
              <w:t>2</w:t>
            </w:r>
            <w:r>
              <w:rPr>
                <w:rFonts w:hAnsi="宋体"/>
                <w:color w:val="auto"/>
                <w:sz w:val="24"/>
              </w:rPr>
              <w:t>月</w:t>
            </w:r>
            <w:r>
              <w:rPr>
                <w:color w:val="auto"/>
                <w:sz w:val="24"/>
              </w:rPr>
              <w:t>)</w:t>
            </w:r>
            <w:r>
              <w:rPr>
                <w:rFonts w:hAnsi="宋体"/>
                <w:color w:val="auto"/>
                <w:sz w:val="24"/>
              </w:rPr>
              <w:t>中对项目区土壤及</w:t>
            </w:r>
            <w:r>
              <w:rPr>
                <w:rFonts w:hint="eastAsia" w:hAnsi="宋体"/>
                <w:color w:val="auto"/>
                <w:sz w:val="24"/>
              </w:rPr>
              <w:t>地下水</w:t>
            </w:r>
            <w:r>
              <w:rPr>
                <w:rFonts w:hAnsi="宋体"/>
                <w:color w:val="auto"/>
                <w:sz w:val="24"/>
              </w:rPr>
              <w:t>质量进行了现状监测，共设置了</w:t>
            </w:r>
            <w:r>
              <w:rPr>
                <w:rFonts w:hint="eastAsia"/>
                <w:color w:val="auto"/>
                <w:sz w:val="24"/>
              </w:rPr>
              <w:t>82</w:t>
            </w:r>
            <w:r>
              <w:rPr>
                <w:rFonts w:hAnsi="宋体"/>
                <w:color w:val="auto"/>
                <w:sz w:val="24"/>
              </w:rPr>
              <w:t>个采样点，</w:t>
            </w:r>
            <w:r>
              <w:rPr>
                <w:rFonts w:hint="eastAsia" w:hAnsi="宋体"/>
                <w:color w:val="auto"/>
                <w:sz w:val="24"/>
              </w:rPr>
              <w:t>分别为ZK1-ZK82。其中ZK1</w:t>
            </w:r>
            <w:r>
              <w:rPr>
                <w:rFonts w:hint="eastAsia" w:ascii="宋体" w:hAnsi="宋体"/>
                <w:color w:val="auto"/>
                <w:sz w:val="24"/>
              </w:rPr>
              <w:t>～</w:t>
            </w:r>
            <w:r>
              <w:rPr>
                <w:rFonts w:hint="eastAsia" w:hAnsi="宋体"/>
                <w:color w:val="auto"/>
                <w:sz w:val="24"/>
              </w:rPr>
              <w:t>ZK18位于厂区内、ZK19</w:t>
            </w:r>
            <w:r>
              <w:rPr>
                <w:rFonts w:hint="eastAsia" w:ascii="宋体" w:hAnsi="宋体"/>
                <w:color w:val="auto"/>
                <w:sz w:val="24"/>
              </w:rPr>
              <w:t>～</w:t>
            </w:r>
            <w:r>
              <w:rPr>
                <w:rFonts w:hint="eastAsia" w:hAnsi="宋体"/>
                <w:color w:val="auto"/>
                <w:sz w:val="24"/>
              </w:rPr>
              <w:t>ZK76位于厂界，ZK77</w:t>
            </w:r>
            <w:r>
              <w:rPr>
                <w:rFonts w:hint="eastAsia" w:ascii="宋体" w:hAnsi="宋体"/>
                <w:color w:val="auto"/>
                <w:sz w:val="24"/>
              </w:rPr>
              <w:t>～</w:t>
            </w:r>
            <w:r>
              <w:rPr>
                <w:rFonts w:hint="eastAsia" w:hAnsi="宋体"/>
                <w:color w:val="auto"/>
                <w:sz w:val="24"/>
              </w:rPr>
              <w:t>ZK82位于背景值采样点；在地下水下游方向设置三口地下水监测井DXS1- DXS3；地下水上游设置一口监测井DXS4；调查区设置两口地下水监测井ZK10、ZK6。另外在厂区北边与南边居民住宅附近，设置3个敏感点采样点。</w:t>
            </w:r>
            <w:r>
              <w:rPr>
                <w:rFonts w:hAnsi="宋体"/>
                <w:color w:val="auto"/>
                <w:sz w:val="24"/>
              </w:rPr>
              <w:t>监测项目为</w:t>
            </w:r>
            <w:r>
              <w:rPr>
                <w:color w:val="auto"/>
                <w:sz w:val="24"/>
              </w:rPr>
              <w:t>pH</w:t>
            </w:r>
            <w:r>
              <w:rPr>
                <w:rFonts w:hAnsi="宋体"/>
                <w:color w:val="auto"/>
                <w:sz w:val="24"/>
              </w:rPr>
              <w:t>、</w:t>
            </w:r>
            <w:r>
              <w:rPr>
                <w:rFonts w:hint="eastAsia" w:hAnsi="宋体"/>
                <w:color w:val="auto"/>
                <w:sz w:val="24"/>
                <w:lang w:val="zh-TW"/>
              </w:rPr>
              <w:t>六六六（γ-BHC）</w:t>
            </w:r>
            <w:r>
              <w:rPr>
                <w:rFonts w:hAnsi="宋体"/>
                <w:color w:val="auto"/>
                <w:sz w:val="24"/>
                <w:lang w:val="zh-TW"/>
              </w:rPr>
              <w:t>、</w:t>
            </w:r>
            <w:r>
              <w:rPr>
                <w:rFonts w:hint="eastAsia" w:hAnsi="宋体"/>
                <w:color w:val="auto"/>
                <w:sz w:val="24"/>
                <w:lang w:val="zh-TW"/>
              </w:rPr>
              <w:t>滴滴涕、对硫磷、速灭磷、甲苯、邻二甲苯、间二甲苯、对二甲苯。评价方法采用直接比较法，实测数据与评价标准直接对比，评述土壤、底泥环境现状情况</w:t>
            </w:r>
            <w:r>
              <w:rPr>
                <w:rFonts w:hAnsi="宋体"/>
                <w:color w:val="auto"/>
                <w:sz w:val="24"/>
                <w:lang w:val="zh-TW"/>
              </w:rPr>
              <w:t>。监测点位布置图见附图</w:t>
            </w:r>
            <w:r>
              <w:rPr>
                <w:rFonts w:hint="eastAsia"/>
                <w:color w:val="auto"/>
                <w:sz w:val="24"/>
                <w:lang w:val="zh-TW"/>
              </w:rPr>
              <w:t>3</w:t>
            </w:r>
            <w:r>
              <w:rPr>
                <w:rFonts w:hAnsi="宋体"/>
                <w:color w:val="auto"/>
                <w:sz w:val="24"/>
                <w:lang w:val="zh-TW"/>
              </w:rPr>
              <w:t>。</w:t>
            </w:r>
            <w:r>
              <w:rPr>
                <w:rFonts w:hAnsi="宋体"/>
                <w:color w:val="auto"/>
                <w:sz w:val="24"/>
                <w:szCs w:val="24"/>
              </w:rPr>
              <w:t>监测结果见附件。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Ansi="宋体"/>
                <w:color w:val="auto"/>
                <w:sz w:val="24"/>
              </w:rPr>
            </w:pPr>
            <w:r>
              <w:rPr>
                <w:rFonts w:hAnsi="宋体"/>
                <w:color w:val="auto"/>
                <w:sz w:val="24"/>
              </w:rPr>
              <w:t>根据各土壤监测结果，</w:t>
            </w:r>
            <w:r>
              <w:rPr>
                <w:rFonts w:hint="eastAsia" w:hAnsi="宋体"/>
                <w:color w:val="auto"/>
                <w:sz w:val="24"/>
              </w:rPr>
              <w:t>各样品中均未检测到对硫磷、速灭磷、甲苯、邻二甲苯、对二甲苯；除了背景样品外，不同点位及不同深度处土壤样品均检测到了六六六及滴滴涕。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hAnsi="宋体"/>
                <w:color w:val="auto"/>
                <w:sz w:val="24"/>
              </w:rPr>
            </w:pPr>
            <w:r>
              <w:rPr>
                <w:rFonts w:hint="eastAsia" w:hAnsi="宋体"/>
                <w:color w:val="auto"/>
                <w:sz w:val="24"/>
              </w:rPr>
              <w:t>在厂区北边与南边的居民点附近设3个敏感点土壤混合样品均未检测到六六六、滴滴涕、对硫磷、速灭磷、甲苯、邻二甲苯、对二甲苯。</w:t>
            </w:r>
            <w:r>
              <w:rPr>
                <w:rFonts w:hAnsi="宋体"/>
                <w:color w:val="auto"/>
                <w:sz w:val="24"/>
              </w:rPr>
              <w:t>采样深度</w:t>
            </w:r>
            <w:r>
              <w:rPr>
                <w:color w:val="auto"/>
                <w:sz w:val="24"/>
              </w:rPr>
              <w:t>0m</w:t>
            </w:r>
            <w:r>
              <w:rPr>
                <w:rFonts w:hAnsi="宋体"/>
                <w:color w:val="auto"/>
                <w:sz w:val="24"/>
              </w:rPr>
              <w:t>～</w:t>
            </w:r>
            <w:r>
              <w:rPr>
                <w:rFonts w:hint="eastAsia"/>
                <w:color w:val="auto"/>
                <w:sz w:val="24"/>
              </w:rPr>
              <w:t>0.2</w:t>
            </w:r>
            <w:r>
              <w:rPr>
                <w:color w:val="auto"/>
                <w:sz w:val="24"/>
              </w:rPr>
              <w:t>m</w:t>
            </w:r>
            <w:r>
              <w:rPr>
                <w:rFonts w:hAnsi="宋体"/>
                <w:color w:val="auto"/>
                <w:sz w:val="24"/>
              </w:rPr>
              <w:t>时，</w:t>
            </w:r>
            <w:r>
              <w:rPr>
                <w:rFonts w:hint="eastAsia" w:hAnsi="宋体"/>
                <w:color w:val="auto"/>
                <w:sz w:val="24"/>
              </w:rPr>
              <w:t>各采样点82个土壤均有检测到六六六及滴滴涕；</w:t>
            </w:r>
            <w:r>
              <w:rPr>
                <w:rFonts w:hAnsi="宋体"/>
                <w:color w:val="auto"/>
                <w:sz w:val="24"/>
              </w:rPr>
              <w:t>采样深度</w:t>
            </w:r>
            <w:r>
              <w:rPr>
                <w:rFonts w:hint="eastAsia"/>
                <w:color w:val="auto"/>
                <w:sz w:val="24"/>
              </w:rPr>
              <w:t>0.2</w:t>
            </w:r>
            <w:r>
              <w:rPr>
                <w:color w:val="auto"/>
                <w:sz w:val="24"/>
              </w:rPr>
              <w:t>m</w:t>
            </w:r>
            <w:r>
              <w:rPr>
                <w:rFonts w:hAnsi="宋体"/>
                <w:color w:val="auto"/>
                <w:sz w:val="24"/>
              </w:rPr>
              <w:t>～</w:t>
            </w:r>
            <w:r>
              <w:rPr>
                <w:rFonts w:hint="eastAsia"/>
                <w:color w:val="auto"/>
                <w:sz w:val="24"/>
              </w:rPr>
              <w:t>0.5</w:t>
            </w:r>
            <w:r>
              <w:rPr>
                <w:color w:val="auto"/>
                <w:sz w:val="24"/>
              </w:rPr>
              <w:t>m</w:t>
            </w:r>
            <w:r>
              <w:rPr>
                <w:rFonts w:hAnsi="宋体"/>
                <w:color w:val="auto"/>
                <w:sz w:val="24"/>
              </w:rPr>
              <w:t>时，</w:t>
            </w:r>
            <w:r>
              <w:rPr>
                <w:rFonts w:hint="eastAsia" w:hAnsi="宋体"/>
                <w:color w:val="auto"/>
                <w:sz w:val="24"/>
              </w:rPr>
              <w:t>各采样点82个土壤样品中均有检测到六六六及滴滴涕；</w:t>
            </w:r>
            <w:r>
              <w:rPr>
                <w:rFonts w:hAnsi="宋体"/>
                <w:color w:val="auto"/>
                <w:sz w:val="24"/>
              </w:rPr>
              <w:t>采样深度</w:t>
            </w:r>
            <w:r>
              <w:rPr>
                <w:rFonts w:hint="eastAsia"/>
                <w:color w:val="auto"/>
                <w:sz w:val="24"/>
              </w:rPr>
              <w:t>1.0</w:t>
            </w:r>
            <w:r>
              <w:rPr>
                <w:color w:val="auto"/>
                <w:sz w:val="24"/>
              </w:rPr>
              <w:t>m</w:t>
            </w:r>
            <w:r>
              <w:rPr>
                <w:rFonts w:hAnsi="宋体"/>
                <w:color w:val="auto"/>
                <w:sz w:val="24"/>
              </w:rPr>
              <w:t>～</w:t>
            </w:r>
            <w:r>
              <w:rPr>
                <w:rFonts w:hint="eastAsia"/>
                <w:color w:val="auto"/>
                <w:sz w:val="24"/>
              </w:rPr>
              <w:t>2.5</w:t>
            </w:r>
            <w:r>
              <w:rPr>
                <w:color w:val="auto"/>
                <w:sz w:val="24"/>
              </w:rPr>
              <w:t>m</w:t>
            </w:r>
            <w:r>
              <w:rPr>
                <w:rFonts w:hAnsi="宋体"/>
                <w:color w:val="auto"/>
                <w:sz w:val="24"/>
              </w:rPr>
              <w:t>时，</w:t>
            </w:r>
            <w:r>
              <w:rPr>
                <w:rFonts w:hint="eastAsia" w:hAnsi="宋体"/>
                <w:color w:val="auto"/>
                <w:sz w:val="24"/>
              </w:rPr>
              <w:t>各采样点82个土壤样品中均有检测到六六六及滴滴涕；</w:t>
            </w:r>
            <w:r>
              <w:rPr>
                <w:rFonts w:hAnsi="宋体"/>
                <w:color w:val="auto"/>
                <w:sz w:val="24"/>
              </w:rPr>
              <w:t>采样深度</w:t>
            </w:r>
            <w:r>
              <w:rPr>
                <w:rFonts w:hint="eastAsia"/>
                <w:color w:val="auto"/>
                <w:sz w:val="24"/>
              </w:rPr>
              <w:t>3.0</w:t>
            </w:r>
            <w:r>
              <w:rPr>
                <w:color w:val="auto"/>
                <w:sz w:val="24"/>
              </w:rPr>
              <w:t>m</w:t>
            </w:r>
            <w:r>
              <w:rPr>
                <w:rFonts w:hAnsi="宋体"/>
                <w:color w:val="auto"/>
                <w:sz w:val="24"/>
              </w:rPr>
              <w:t>～</w:t>
            </w:r>
            <w:r>
              <w:rPr>
                <w:rFonts w:hint="eastAsia"/>
                <w:color w:val="auto"/>
                <w:sz w:val="24"/>
              </w:rPr>
              <w:t>3.8</w:t>
            </w:r>
            <w:r>
              <w:rPr>
                <w:color w:val="auto"/>
                <w:sz w:val="24"/>
              </w:rPr>
              <w:t>m</w:t>
            </w:r>
            <w:r>
              <w:rPr>
                <w:rFonts w:hAnsi="宋体"/>
                <w:color w:val="auto"/>
                <w:sz w:val="24"/>
              </w:rPr>
              <w:t>时，</w:t>
            </w:r>
            <w:r>
              <w:rPr>
                <w:rFonts w:hint="eastAsia" w:hAnsi="宋体"/>
                <w:color w:val="auto"/>
                <w:sz w:val="24"/>
              </w:rPr>
              <w:t>各采样点土壤样品中有52个样品检测到六六六及滴滴涕，检出率为63.4%，且所有样品中检出浓度超过背景值；</w:t>
            </w:r>
            <w:r>
              <w:rPr>
                <w:rFonts w:hAnsi="宋体"/>
                <w:color w:val="auto"/>
                <w:sz w:val="24"/>
              </w:rPr>
              <w:t>采样深度</w:t>
            </w:r>
            <w:r>
              <w:rPr>
                <w:rFonts w:hint="eastAsia"/>
                <w:color w:val="auto"/>
                <w:sz w:val="24"/>
              </w:rPr>
              <w:t>4.0</w:t>
            </w:r>
            <w:r>
              <w:rPr>
                <w:color w:val="auto"/>
                <w:sz w:val="24"/>
              </w:rPr>
              <w:t>m</w:t>
            </w:r>
            <w:r>
              <w:rPr>
                <w:rFonts w:hAnsi="宋体"/>
                <w:color w:val="auto"/>
                <w:sz w:val="24"/>
              </w:rPr>
              <w:t>～</w:t>
            </w:r>
            <w:r>
              <w:rPr>
                <w:rFonts w:hint="eastAsia"/>
                <w:color w:val="auto"/>
                <w:sz w:val="24"/>
              </w:rPr>
              <w:t>5.0</w:t>
            </w:r>
            <w:r>
              <w:rPr>
                <w:color w:val="auto"/>
                <w:sz w:val="24"/>
              </w:rPr>
              <w:t>m</w:t>
            </w:r>
            <w:r>
              <w:rPr>
                <w:rFonts w:hAnsi="宋体"/>
                <w:color w:val="auto"/>
                <w:sz w:val="24"/>
              </w:rPr>
              <w:t>时，</w:t>
            </w:r>
            <w:r>
              <w:rPr>
                <w:rFonts w:hint="eastAsia" w:hAnsi="宋体"/>
                <w:color w:val="auto"/>
                <w:sz w:val="24"/>
              </w:rPr>
              <w:t>各采样点土壤样品中有25个样品检测到六六六及滴滴涕；且样品中检出浓度均超过背景值。厂区外（原厂区外的现有堆土）的堆填土壤样品均未检测到六六六、滴滴涕、对硫磷、速灭磷、甲苯、邻二甲苯、对二甲苯。所有监测点不同深度不同位置采样点采集的所有样品中均未检测到对硫磷、速灭磷、甲苯、邻二甲苯、对二甲苯。</w:t>
            </w:r>
          </w:p>
          <w:p>
            <w:pPr>
              <w:pStyle w:val="2"/>
              <w:rPr>
                <w:color w:val="auto"/>
              </w:rPr>
            </w:pPr>
          </w:p>
          <w:p>
            <w:pPr>
              <w:keepNext w:val="0"/>
              <w:keepLines w:val="0"/>
              <w:pageBreakBefore w:val="0"/>
              <w:widowControl w:val="0"/>
              <w:kinsoku/>
              <w:wordWrap/>
              <w:overflowPunct/>
              <w:topLinePunct w:val="0"/>
              <w:bidi w:val="0"/>
              <w:adjustRightInd/>
              <w:snapToGrid/>
              <w:spacing w:line="360" w:lineRule="auto"/>
              <w:ind w:left="0" w:leftChars="0" w:right="0" w:rightChars="0"/>
              <w:textAlignment w:val="auto"/>
              <w:outlineLvl w:val="9"/>
              <w:rPr>
                <w:b/>
                <w:bCs w:val="0"/>
                <w:color w:val="auto"/>
                <w:sz w:val="24"/>
                <w:szCs w:val="24"/>
              </w:rPr>
            </w:pPr>
            <w:r>
              <w:rPr>
                <w:rFonts w:hAnsi="宋体"/>
                <w:b/>
                <w:bCs w:val="0"/>
                <w:color w:val="auto"/>
                <w:sz w:val="24"/>
                <w:szCs w:val="24"/>
              </w:rPr>
              <w:t>主要环境保护目标（列出名单及保护级别）</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left"/>
              <w:textAlignment w:val="auto"/>
              <w:outlineLvl w:val="9"/>
              <w:rPr>
                <w:color w:val="auto"/>
                <w:sz w:val="24"/>
              </w:rPr>
            </w:pPr>
            <w:r>
              <w:rPr>
                <w:rFonts w:hAnsi="宋体"/>
                <w:color w:val="auto"/>
                <w:sz w:val="24"/>
              </w:rPr>
              <w:t>根据调查，本项目位于岳阳市</w:t>
            </w:r>
            <w:r>
              <w:rPr>
                <w:rFonts w:hint="eastAsia" w:hAnsi="宋体"/>
                <w:color w:val="auto"/>
                <w:sz w:val="24"/>
              </w:rPr>
              <w:t>平江县城关镇长冲路与106国道交汇夹角北侧</w:t>
            </w:r>
            <w:r>
              <w:rPr>
                <w:rFonts w:hAnsi="宋体"/>
                <w:color w:val="auto"/>
                <w:sz w:val="24"/>
              </w:rPr>
              <w:t>，相对位置见附图</w:t>
            </w:r>
            <w:r>
              <w:rPr>
                <w:color w:val="auto"/>
                <w:sz w:val="24"/>
              </w:rPr>
              <w:t>6</w:t>
            </w:r>
            <w:r>
              <w:rPr>
                <w:rFonts w:hAnsi="宋体"/>
                <w:color w:val="auto"/>
                <w:sz w:val="24"/>
              </w:rPr>
              <w:t>。根据对区域的现场踏勘调查，确定主要环境保护目标见表</w:t>
            </w:r>
            <w:r>
              <w:rPr>
                <w:rFonts w:hint="eastAsia" w:hAnsi="宋体"/>
                <w:color w:val="auto"/>
                <w:sz w:val="24"/>
                <w:lang w:val="en-US" w:eastAsia="zh-CN"/>
              </w:rPr>
              <w:t>17</w:t>
            </w:r>
            <w:r>
              <w:rPr>
                <w:rFonts w:hAnsi="宋体"/>
                <w:color w:val="auto"/>
                <w:sz w:val="24"/>
              </w:rPr>
              <w:t>，周边敏感点分布见附图</w:t>
            </w:r>
            <w:r>
              <w:rPr>
                <w:color w:val="auto"/>
                <w:sz w:val="24"/>
              </w:rPr>
              <w:t>2</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w:t>
            </w:r>
            <w:r>
              <w:rPr>
                <w:rFonts w:hint="eastAsia" w:hAnsi="宋体"/>
                <w:b/>
                <w:bCs/>
                <w:color w:val="auto"/>
                <w:u w:val="single"/>
                <w:lang w:val="en-US" w:eastAsia="zh-CN"/>
              </w:rPr>
              <w:t>17</w:t>
            </w:r>
            <w:r>
              <w:rPr>
                <w:rFonts w:hint="eastAsia" w:hAnsi="宋体"/>
                <w:b/>
                <w:bCs/>
                <w:color w:val="auto"/>
                <w:u w:val="single"/>
              </w:rPr>
              <w:t xml:space="preserve">   本项目环境保护目标一览表</w:t>
            </w:r>
          </w:p>
          <w:tbl>
            <w:tblPr>
              <w:tblStyle w:val="30"/>
              <w:tblW w:w="896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7"/>
              <w:gridCol w:w="1735"/>
              <w:gridCol w:w="1577"/>
              <w:gridCol w:w="1233"/>
              <w:gridCol w:w="1863"/>
              <w:gridCol w:w="2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序号</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保护目标</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方位、距离</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功能</w:t>
                  </w:r>
                </w:p>
              </w:tc>
              <w:tc>
                <w:tcPr>
                  <w:tcW w:w="186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规模</w:t>
                  </w:r>
                </w:p>
              </w:tc>
              <w:tc>
                <w:tcPr>
                  <w:tcW w:w="201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悦天城</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E</w:t>
                  </w:r>
                  <w:r>
                    <w:rPr>
                      <w:rFonts w:hAnsi="宋体"/>
                      <w:color w:val="auto"/>
                      <w:szCs w:val="21"/>
                    </w:rPr>
                    <w:t>，</w:t>
                  </w:r>
                  <w:r>
                    <w:rPr>
                      <w:rFonts w:hint="eastAsia"/>
                      <w:color w:val="auto"/>
                      <w:szCs w:val="21"/>
                    </w:rPr>
                    <w:t>290</w:t>
                  </w:r>
                  <w:r>
                    <w:rPr>
                      <w:color w:val="auto"/>
                      <w:szCs w:val="21"/>
                    </w:rPr>
                    <w:t>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居住</w:t>
                  </w:r>
                </w:p>
              </w:tc>
              <w:tc>
                <w:tcPr>
                  <w:tcW w:w="18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200</w:t>
                  </w:r>
                  <w:r>
                    <w:rPr>
                      <w:rFonts w:hAnsi="宋体"/>
                      <w:color w:val="auto"/>
                      <w:szCs w:val="21"/>
                    </w:rPr>
                    <w:t>户，约</w:t>
                  </w:r>
                  <w:r>
                    <w:rPr>
                      <w:rFonts w:hint="eastAsia"/>
                      <w:color w:val="auto"/>
                      <w:szCs w:val="21"/>
                    </w:rPr>
                    <w:t>600</w:t>
                  </w:r>
                  <w:r>
                    <w:rPr>
                      <w:rFonts w:hAnsi="宋体"/>
                      <w:color w:val="auto"/>
                      <w:szCs w:val="21"/>
                    </w:rPr>
                    <w:t>人</w:t>
                  </w:r>
                </w:p>
              </w:tc>
              <w:tc>
                <w:tcPr>
                  <w:tcW w:w="201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大气环境：二级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2</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东鑫雅苑</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N</w:t>
                  </w:r>
                  <w:r>
                    <w:rPr>
                      <w:rFonts w:hAnsi="宋体"/>
                      <w:color w:val="auto"/>
                      <w:szCs w:val="21"/>
                    </w:rPr>
                    <w:t>，</w:t>
                  </w:r>
                  <w:r>
                    <w:rPr>
                      <w:color w:val="auto"/>
                      <w:szCs w:val="21"/>
                    </w:rPr>
                    <w:t>300m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居住</w:t>
                  </w:r>
                </w:p>
              </w:tc>
              <w:tc>
                <w:tcPr>
                  <w:tcW w:w="18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100</w:t>
                  </w:r>
                  <w:r>
                    <w:rPr>
                      <w:rFonts w:hAnsi="宋体"/>
                      <w:color w:val="auto"/>
                      <w:szCs w:val="21"/>
                    </w:rPr>
                    <w:t>户，约</w:t>
                  </w:r>
                  <w:r>
                    <w:rPr>
                      <w:rFonts w:hint="eastAsia"/>
                      <w:color w:val="auto"/>
                      <w:szCs w:val="21"/>
                    </w:rPr>
                    <w:t>350</w:t>
                  </w:r>
                  <w:r>
                    <w:rPr>
                      <w:rFonts w:hAnsi="宋体"/>
                      <w:color w:val="auto"/>
                      <w:szCs w:val="21"/>
                    </w:rPr>
                    <w:t>人</w:t>
                  </w:r>
                </w:p>
              </w:tc>
              <w:tc>
                <w:tcPr>
                  <w:tcW w:w="20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3</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天岳公寓</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W</w:t>
                  </w:r>
                  <w:r>
                    <w:rPr>
                      <w:rFonts w:hAnsi="宋体"/>
                      <w:color w:val="auto"/>
                      <w:szCs w:val="21"/>
                    </w:rPr>
                    <w:t>，</w:t>
                  </w:r>
                  <w:r>
                    <w:rPr>
                      <w:rFonts w:hint="eastAsia"/>
                      <w:color w:val="auto"/>
                      <w:szCs w:val="21"/>
                    </w:rPr>
                    <w:t>240</w:t>
                  </w:r>
                  <w:r>
                    <w:rPr>
                      <w:color w:val="auto"/>
                      <w:szCs w:val="21"/>
                    </w:rPr>
                    <w:t>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居住</w:t>
                  </w:r>
                </w:p>
              </w:tc>
              <w:tc>
                <w:tcPr>
                  <w:tcW w:w="1863"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110</w:t>
                  </w:r>
                  <w:r>
                    <w:rPr>
                      <w:rFonts w:hAnsi="宋体"/>
                      <w:color w:val="auto"/>
                      <w:szCs w:val="21"/>
                    </w:rPr>
                    <w:t>户，约</w:t>
                  </w:r>
                  <w:r>
                    <w:rPr>
                      <w:rFonts w:hint="eastAsia"/>
                      <w:color w:val="auto"/>
                      <w:szCs w:val="21"/>
                    </w:rPr>
                    <w:t>420</w:t>
                  </w:r>
                  <w:r>
                    <w:rPr>
                      <w:rFonts w:hAnsi="宋体"/>
                      <w:color w:val="auto"/>
                      <w:szCs w:val="21"/>
                    </w:rPr>
                    <w:t>人</w:t>
                  </w:r>
                </w:p>
              </w:tc>
              <w:tc>
                <w:tcPr>
                  <w:tcW w:w="2010"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4</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平源村分散住户</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S</w:t>
                  </w:r>
                  <w:r>
                    <w:rPr>
                      <w:rFonts w:hint="eastAsia"/>
                      <w:color w:val="auto"/>
                      <w:szCs w:val="21"/>
                    </w:rPr>
                    <w:t>W</w:t>
                  </w:r>
                  <w:r>
                    <w:rPr>
                      <w:rFonts w:hAnsi="宋体"/>
                      <w:color w:val="auto"/>
                      <w:szCs w:val="21"/>
                    </w:rPr>
                    <w:t>，</w:t>
                  </w:r>
                  <w:r>
                    <w:rPr>
                      <w:rFonts w:hint="eastAsia"/>
                      <w:color w:val="auto"/>
                      <w:szCs w:val="21"/>
                    </w:rPr>
                    <w:t>40</w:t>
                  </w:r>
                  <w:r>
                    <w:rPr>
                      <w:color w:val="auto"/>
                      <w:szCs w:val="21"/>
                    </w:rPr>
                    <w:t>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居住</w:t>
                  </w:r>
                </w:p>
              </w:tc>
              <w:tc>
                <w:tcPr>
                  <w:tcW w:w="18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10</w:t>
                  </w:r>
                  <w:r>
                    <w:rPr>
                      <w:rFonts w:hAnsi="宋体"/>
                      <w:color w:val="auto"/>
                      <w:szCs w:val="21"/>
                    </w:rPr>
                    <w:t>户，约</w:t>
                  </w:r>
                  <w:r>
                    <w:rPr>
                      <w:rFonts w:hint="eastAsia"/>
                      <w:color w:val="auto"/>
                      <w:szCs w:val="21"/>
                    </w:rPr>
                    <w:t>35</w:t>
                  </w:r>
                  <w:r>
                    <w:rPr>
                      <w:rFonts w:hAnsi="宋体"/>
                      <w:color w:val="auto"/>
                      <w:szCs w:val="21"/>
                    </w:rPr>
                    <w:t>人</w:t>
                  </w:r>
                </w:p>
              </w:tc>
              <w:tc>
                <w:tcPr>
                  <w:tcW w:w="20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大气环境：二级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声环境：</w:t>
                  </w:r>
                  <w:r>
                    <w:rPr>
                      <w:color w:val="auto"/>
                      <w:szCs w:val="21"/>
                    </w:rPr>
                    <w:t>2</w:t>
                  </w:r>
                  <w:r>
                    <w:rPr>
                      <w:rFonts w:hAnsi="宋体"/>
                      <w:color w:val="auto"/>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5</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平源村</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S</w:t>
                  </w:r>
                  <w:r>
                    <w:rPr>
                      <w:rFonts w:hint="eastAsia"/>
                      <w:color w:val="auto"/>
                      <w:szCs w:val="21"/>
                    </w:rPr>
                    <w:t>W</w:t>
                  </w:r>
                  <w:r>
                    <w:rPr>
                      <w:rFonts w:hAnsi="宋体"/>
                      <w:color w:val="auto"/>
                      <w:szCs w:val="21"/>
                    </w:rPr>
                    <w:t>，</w:t>
                  </w:r>
                  <w:r>
                    <w:rPr>
                      <w:rFonts w:hint="eastAsia"/>
                      <w:color w:val="auto"/>
                      <w:szCs w:val="21"/>
                    </w:rPr>
                    <w:t>570</w:t>
                  </w:r>
                  <w:r>
                    <w:rPr>
                      <w:color w:val="auto"/>
                      <w:szCs w:val="21"/>
                    </w:rPr>
                    <w:t>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居住</w:t>
                  </w:r>
                </w:p>
              </w:tc>
              <w:tc>
                <w:tcPr>
                  <w:tcW w:w="18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260</w:t>
                  </w:r>
                  <w:r>
                    <w:rPr>
                      <w:rFonts w:hAnsi="宋体"/>
                      <w:color w:val="auto"/>
                      <w:szCs w:val="21"/>
                    </w:rPr>
                    <w:t>户，约</w:t>
                  </w:r>
                  <w:r>
                    <w:rPr>
                      <w:rFonts w:hint="eastAsia"/>
                      <w:color w:val="auto"/>
                      <w:szCs w:val="21"/>
                    </w:rPr>
                    <w:t>1000</w:t>
                  </w:r>
                  <w:r>
                    <w:rPr>
                      <w:rFonts w:hAnsi="宋体"/>
                      <w:color w:val="auto"/>
                      <w:szCs w:val="21"/>
                    </w:rPr>
                    <w:t>人</w:t>
                  </w:r>
                </w:p>
              </w:tc>
              <w:tc>
                <w:tcPr>
                  <w:tcW w:w="201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大气环境：二级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6</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长冲</w:t>
                  </w:r>
                  <w:r>
                    <w:rPr>
                      <w:rFonts w:hAnsi="宋体"/>
                      <w:color w:val="auto"/>
                      <w:szCs w:val="21"/>
                    </w:rPr>
                    <w:t>村</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SE</w:t>
                  </w:r>
                  <w:r>
                    <w:rPr>
                      <w:rFonts w:hAnsi="宋体"/>
                      <w:color w:val="auto"/>
                      <w:szCs w:val="21"/>
                    </w:rPr>
                    <w:t>，</w:t>
                  </w:r>
                  <w:r>
                    <w:rPr>
                      <w:rFonts w:hint="eastAsia"/>
                      <w:color w:val="auto"/>
                      <w:szCs w:val="21"/>
                    </w:rPr>
                    <w:t>800</w:t>
                  </w:r>
                  <w:r>
                    <w:rPr>
                      <w:color w:val="auto"/>
                      <w:szCs w:val="21"/>
                    </w:rPr>
                    <w:t>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居住</w:t>
                  </w:r>
                </w:p>
              </w:tc>
              <w:tc>
                <w:tcPr>
                  <w:tcW w:w="18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120</w:t>
                  </w:r>
                  <w:r>
                    <w:rPr>
                      <w:rFonts w:hAnsi="宋体"/>
                      <w:color w:val="auto"/>
                      <w:szCs w:val="21"/>
                    </w:rPr>
                    <w:t>户，约</w:t>
                  </w:r>
                  <w:r>
                    <w:rPr>
                      <w:rFonts w:hint="eastAsia"/>
                      <w:color w:val="auto"/>
                      <w:szCs w:val="21"/>
                    </w:rPr>
                    <w:t>600</w:t>
                  </w:r>
                  <w:r>
                    <w:rPr>
                      <w:rFonts w:hAnsi="宋体"/>
                      <w:color w:val="auto"/>
                      <w:szCs w:val="21"/>
                    </w:rPr>
                    <w:t>人</w:t>
                  </w:r>
                </w:p>
              </w:tc>
              <w:tc>
                <w:tcPr>
                  <w:tcW w:w="201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7</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color w:val="auto"/>
                      <w:szCs w:val="21"/>
                    </w:rPr>
                  </w:pPr>
                  <w:r>
                    <w:rPr>
                      <w:rFonts w:hint="eastAsia" w:hAnsi="宋体"/>
                      <w:color w:val="auto"/>
                      <w:szCs w:val="21"/>
                    </w:rPr>
                    <w:t>八斗小区</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SW</w:t>
                  </w:r>
                  <w:r>
                    <w:rPr>
                      <w:rFonts w:hAnsi="宋体"/>
                      <w:color w:val="auto"/>
                      <w:szCs w:val="21"/>
                    </w:rPr>
                    <w:t>，</w:t>
                  </w:r>
                  <w:r>
                    <w:rPr>
                      <w:rFonts w:hint="eastAsia"/>
                      <w:color w:val="auto"/>
                      <w:szCs w:val="21"/>
                    </w:rPr>
                    <w:t>600</w:t>
                  </w:r>
                  <w:r>
                    <w:rPr>
                      <w:color w:val="auto"/>
                      <w:szCs w:val="21"/>
                    </w:rPr>
                    <w:t>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color w:val="auto"/>
                      <w:szCs w:val="21"/>
                    </w:rPr>
                  </w:pPr>
                  <w:r>
                    <w:rPr>
                      <w:rFonts w:hAnsi="宋体"/>
                      <w:color w:val="auto"/>
                      <w:szCs w:val="21"/>
                    </w:rPr>
                    <w:t>居住</w:t>
                  </w:r>
                </w:p>
              </w:tc>
              <w:tc>
                <w:tcPr>
                  <w:tcW w:w="18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150</w:t>
                  </w:r>
                  <w:r>
                    <w:rPr>
                      <w:rFonts w:hAnsi="宋体"/>
                      <w:color w:val="auto"/>
                      <w:szCs w:val="21"/>
                    </w:rPr>
                    <w:t>户，约</w:t>
                  </w:r>
                  <w:r>
                    <w:rPr>
                      <w:rFonts w:hint="eastAsia"/>
                      <w:color w:val="auto"/>
                      <w:szCs w:val="21"/>
                    </w:rPr>
                    <w:t>620</w:t>
                  </w:r>
                  <w:r>
                    <w:rPr>
                      <w:rFonts w:hAnsi="宋体"/>
                      <w:color w:val="auto"/>
                      <w:szCs w:val="21"/>
                    </w:rPr>
                    <w:t>人</w:t>
                  </w:r>
                </w:p>
              </w:tc>
              <w:tc>
                <w:tcPr>
                  <w:tcW w:w="20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大气环境：二级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声环境：</w:t>
                  </w:r>
                  <w:r>
                    <w:rPr>
                      <w:color w:val="auto"/>
                      <w:szCs w:val="21"/>
                    </w:rPr>
                    <w:t>2</w:t>
                  </w:r>
                  <w:r>
                    <w:rPr>
                      <w:rFonts w:hAnsi="宋体"/>
                      <w:color w:val="auto"/>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olor w:val="auto"/>
                      <w:szCs w:val="21"/>
                      <w:lang w:val="en-US" w:eastAsia="zh-CN"/>
                    </w:rPr>
                  </w:pPr>
                  <w:r>
                    <w:rPr>
                      <w:rFonts w:hint="eastAsia"/>
                      <w:color w:val="auto"/>
                      <w:szCs w:val="21"/>
                      <w:lang w:val="en-US" w:eastAsia="zh-CN"/>
                    </w:rPr>
                    <w:t>8</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汨罗江及支流</w:t>
                  </w:r>
                </w:p>
              </w:tc>
              <w:tc>
                <w:tcPr>
                  <w:tcW w:w="157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W</w:t>
                  </w:r>
                  <w:r>
                    <w:rPr>
                      <w:rFonts w:hAnsi="宋体"/>
                      <w:color w:val="auto"/>
                      <w:szCs w:val="21"/>
                    </w:rPr>
                    <w:t>，</w:t>
                  </w:r>
                  <w:r>
                    <w:rPr>
                      <w:rFonts w:hint="eastAsia"/>
                      <w:color w:val="auto"/>
                      <w:szCs w:val="21"/>
                    </w:rPr>
                    <w:t>125</w:t>
                  </w:r>
                  <w:r>
                    <w:rPr>
                      <w:color w:val="auto"/>
                      <w:szCs w:val="21"/>
                    </w:rPr>
                    <w:t>m</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灌溉</w:t>
                  </w:r>
                  <w:r>
                    <w:rPr>
                      <w:rFonts w:hAnsi="宋体"/>
                      <w:color w:val="auto"/>
                      <w:szCs w:val="21"/>
                    </w:rPr>
                    <w:t>用水</w:t>
                  </w:r>
                </w:p>
              </w:tc>
              <w:tc>
                <w:tcPr>
                  <w:tcW w:w="18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w:t>
                  </w:r>
                </w:p>
              </w:tc>
              <w:tc>
                <w:tcPr>
                  <w:tcW w:w="20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地表水：</w:t>
                  </w:r>
                  <w:r>
                    <w:rPr>
                      <w:rFonts w:ascii="宋体" w:hAnsi="宋体"/>
                      <w:color w:val="auto"/>
                      <w:szCs w:val="21"/>
                    </w:rPr>
                    <w:t>Ⅲ</w:t>
                  </w:r>
                  <w:r>
                    <w:rPr>
                      <w:rFonts w:hAnsi="宋体"/>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5" w:hRule="atLeast"/>
                <w:jc w:val="center"/>
              </w:trPr>
              <w:tc>
                <w:tcPr>
                  <w:tcW w:w="54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eastAsia="宋体"/>
                      <w:color w:val="auto"/>
                      <w:szCs w:val="21"/>
                      <w:lang w:val="en-US" w:eastAsia="zh-CN"/>
                    </w:rPr>
                  </w:pPr>
                  <w:r>
                    <w:rPr>
                      <w:rFonts w:hint="eastAsia"/>
                      <w:color w:val="auto"/>
                      <w:szCs w:val="21"/>
                      <w:lang w:val="en-US" w:eastAsia="zh-CN"/>
                    </w:rPr>
                    <w:t>9</w:t>
                  </w:r>
                </w:p>
              </w:tc>
              <w:tc>
                <w:tcPr>
                  <w:tcW w:w="17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color w:val="auto"/>
                      <w:szCs w:val="21"/>
                    </w:rPr>
                  </w:pPr>
                  <w:r>
                    <w:rPr>
                      <w:rFonts w:hint="eastAsia" w:hAnsi="宋体"/>
                      <w:color w:val="auto"/>
                      <w:szCs w:val="21"/>
                    </w:rPr>
                    <w:t>地下水</w:t>
                  </w:r>
                </w:p>
              </w:tc>
              <w:tc>
                <w:tcPr>
                  <w:tcW w:w="467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hAnsi="宋体"/>
                      <w:color w:val="auto"/>
                      <w:szCs w:val="21"/>
                    </w:rPr>
                    <w:t>居民点水井、区域地下水水质</w:t>
                  </w:r>
                </w:p>
              </w:tc>
              <w:tc>
                <w:tcPr>
                  <w:tcW w:w="20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color w:val="auto"/>
                      <w:szCs w:val="21"/>
                    </w:rPr>
                  </w:pPr>
                  <w:r>
                    <w:rPr>
                      <w:rFonts w:hint="eastAsia" w:hAnsi="宋体"/>
                      <w:color w:val="auto"/>
                      <w:szCs w:val="21"/>
                    </w:rPr>
                    <w:t>地下水：</w:t>
                  </w:r>
                  <w:r>
                    <w:rPr>
                      <w:rFonts w:ascii="宋体" w:hAnsi="宋体"/>
                      <w:color w:val="auto"/>
                      <w:szCs w:val="21"/>
                    </w:rPr>
                    <w:t>Ⅲ</w:t>
                  </w:r>
                  <w:r>
                    <w:rPr>
                      <w:rFonts w:hAnsi="宋体"/>
                      <w:color w:val="auto"/>
                      <w:szCs w:val="21"/>
                    </w:rPr>
                    <w:t>类标准</w:t>
                  </w:r>
                </w:p>
              </w:tc>
            </w:tr>
          </w:tbl>
          <w:p>
            <w:pPr>
              <w:autoSpaceDE w:val="0"/>
              <w:autoSpaceDN w:val="0"/>
              <w:adjustRightInd w:val="0"/>
              <w:spacing w:line="240" w:lineRule="auto"/>
              <w:jc w:val="center"/>
              <w:rPr>
                <w:color w:val="auto"/>
                <w:sz w:val="24"/>
              </w:rPr>
            </w:pPr>
            <w:r>
              <w:drawing>
                <wp:inline distT="0" distB="0" distL="114300" distR="114300">
                  <wp:extent cx="5755640" cy="4076700"/>
                  <wp:effectExtent l="0" t="0" r="1651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5755640" cy="40767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auto"/>
                <w:sz w:val="18"/>
                <w:szCs w:val="18"/>
                <w:lang w:eastAsia="zh-CN"/>
              </w:rPr>
            </w:pPr>
            <w:r>
              <w:rPr>
                <w:rFonts w:hint="eastAsia"/>
                <w:b/>
                <w:bCs/>
                <w:color w:val="FF0000"/>
                <w:sz w:val="21"/>
                <w:szCs w:val="21"/>
                <w:u w:val="single"/>
                <w:lang w:eastAsia="zh-CN"/>
              </w:rPr>
              <w:t>图</w:t>
            </w:r>
            <w:r>
              <w:rPr>
                <w:rFonts w:hint="eastAsia"/>
                <w:b/>
                <w:bCs/>
                <w:color w:val="FF0000"/>
                <w:sz w:val="21"/>
                <w:szCs w:val="21"/>
                <w:u w:val="single"/>
                <w:lang w:val="en-US" w:eastAsia="zh-CN"/>
              </w:rPr>
              <w:t>4  环境保护目标分布图</w:t>
            </w:r>
          </w:p>
        </w:tc>
      </w:tr>
    </w:tbl>
    <w:p>
      <w:pPr>
        <w:pStyle w:val="3"/>
        <w:spacing w:before="0" w:after="0" w:line="240" w:lineRule="auto"/>
        <w:rPr>
          <w:color w:val="auto"/>
          <w:sz w:val="28"/>
          <w:szCs w:val="28"/>
        </w:rPr>
        <w:sectPr>
          <w:footerReference r:id="rId4"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6" w:name="_Toc485612239"/>
    </w:p>
    <w:p>
      <w:pPr>
        <w:pStyle w:val="3"/>
        <w:spacing w:before="0" w:after="0" w:line="240" w:lineRule="auto"/>
        <w:rPr>
          <w:color w:val="auto"/>
          <w:sz w:val="28"/>
          <w:szCs w:val="28"/>
        </w:rPr>
      </w:pPr>
      <w:r>
        <w:rPr>
          <w:rFonts w:hAnsi="宋体"/>
          <w:color w:val="auto"/>
          <w:sz w:val="28"/>
          <w:szCs w:val="28"/>
        </w:rPr>
        <w:t>评价适用标准</w:t>
      </w:r>
      <w:bookmarkEnd w:id="6"/>
    </w:p>
    <w:tbl>
      <w:tblPr>
        <w:tblStyle w:val="30"/>
        <w:tblW w:w="9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2"/>
        <w:gridCol w:w="8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612" w:hRule="atLeast"/>
          <w:jc w:val="center"/>
        </w:trPr>
        <w:tc>
          <w:tcPr>
            <w:tcW w:w="782" w:type="dxa"/>
            <w:vAlign w:val="center"/>
          </w:tcPr>
          <w:p>
            <w:pPr>
              <w:spacing w:line="264" w:lineRule="auto"/>
              <w:ind w:left="105" w:right="105" w:rightChars="50"/>
              <w:jc w:val="center"/>
              <w:rPr>
                <w:color w:val="auto"/>
                <w:sz w:val="24"/>
              </w:rPr>
            </w:pPr>
            <w:r>
              <w:rPr>
                <w:rFonts w:hAnsi="宋体"/>
                <w:color w:val="auto"/>
                <w:sz w:val="24"/>
              </w:rPr>
              <w:t>环境质量标准</w:t>
            </w:r>
          </w:p>
        </w:tc>
        <w:tc>
          <w:tcPr>
            <w:tcW w:w="8298" w:type="dxa"/>
          </w:tcPr>
          <w:p>
            <w:pPr>
              <w:pStyle w:val="241"/>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Ansi="宋体"/>
                <w:color w:val="auto"/>
                <w:sz w:val="24"/>
              </w:rPr>
            </w:pPr>
            <w:r>
              <w:rPr>
                <w:rFonts w:hAnsi="宋体"/>
                <w:b/>
                <w:color w:val="auto"/>
                <w:sz w:val="24"/>
              </w:rPr>
              <w:t>环境空气：</w:t>
            </w:r>
            <w:r>
              <w:rPr>
                <w:rFonts w:hAnsi="宋体"/>
                <w:color w:val="auto"/>
                <w:sz w:val="24"/>
              </w:rPr>
              <w:t>项目所在地</w:t>
            </w:r>
            <w:r>
              <w:rPr>
                <w:color w:val="auto"/>
                <w:sz w:val="24"/>
              </w:rPr>
              <w:t>SO</w:t>
            </w:r>
            <w:r>
              <w:rPr>
                <w:color w:val="auto"/>
                <w:sz w:val="24"/>
                <w:vertAlign w:val="subscript"/>
              </w:rPr>
              <w:t>2</w:t>
            </w:r>
            <w:r>
              <w:rPr>
                <w:rFonts w:hAnsi="宋体"/>
                <w:color w:val="auto"/>
                <w:sz w:val="24"/>
              </w:rPr>
              <w:t>、</w:t>
            </w:r>
            <w:r>
              <w:rPr>
                <w:color w:val="auto"/>
                <w:sz w:val="24"/>
              </w:rPr>
              <w:t>NO</w:t>
            </w:r>
            <w:r>
              <w:rPr>
                <w:color w:val="auto"/>
                <w:sz w:val="24"/>
                <w:vertAlign w:val="subscript"/>
              </w:rPr>
              <w:t>2</w:t>
            </w:r>
            <w:r>
              <w:rPr>
                <w:rFonts w:hAnsi="宋体"/>
                <w:color w:val="auto"/>
                <w:sz w:val="24"/>
              </w:rPr>
              <w:t>、</w:t>
            </w:r>
            <w:r>
              <w:rPr>
                <w:color w:val="auto"/>
                <w:sz w:val="24"/>
              </w:rPr>
              <w:t>PM</w:t>
            </w:r>
            <w:r>
              <w:rPr>
                <w:color w:val="auto"/>
                <w:sz w:val="24"/>
                <w:vertAlign w:val="subscript"/>
              </w:rPr>
              <w:t>10</w:t>
            </w:r>
            <w:r>
              <w:rPr>
                <w:rFonts w:hAnsi="宋体"/>
                <w:color w:val="auto"/>
                <w:sz w:val="24"/>
              </w:rPr>
              <w:t>、</w:t>
            </w:r>
            <w:r>
              <w:rPr>
                <w:color w:val="auto"/>
                <w:sz w:val="24"/>
              </w:rPr>
              <w:t>TSP</w:t>
            </w:r>
            <w:r>
              <w:rPr>
                <w:rFonts w:hAnsi="宋体"/>
                <w:color w:val="auto"/>
                <w:sz w:val="24"/>
              </w:rPr>
              <w:t>执行《环境空气质量标准》（</w:t>
            </w:r>
            <w:r>
              <w:rPr>
                <w:color w:val="auto"/>
                <w:sz w:val="24"/>
              </w:rPr>
              <w:t>GB3095-2012</w:t>
            </w:r>
            <w:r>
              <w:rPr>
                <w:rFonts w:hAnsi="宋体"/>
                <w:color w:val="auto"/>
                <w:sz w:val="24"/>
              </w:rPr>
              <w:t>）中二级标准，</w:t>
            </w:r>
            <w:r>
              <w:rPr>
                <w:rFonts w:hint="eastAsia" w:hAnsi="宋体"/>
                <w:snapToGrid w:val="0"/>
                <w:color w:val="auto"/>
                <w:kern w:val="0"/>
                <w:sz w:val="24"/>
              </w:rPr>
              <w:t>TVOC</w:t>
            </w:r>
            <w:r>
              <w:rPr>
                <w:rFonts w:hAnsi="宋体"/>
                <w:color w:val="auto"/>
                <w:sz w:val="24"/>
              </w:rPr>
              <w:t>执行</w:t>
            </w:r>
            <w:r>
              <w:rPr>
                <w:rFonts w:hint="eastAsia" w:hAnsi="宋体"/>
                <w:color w:val="auto"/>
                <w:sz w:val="24"/>
              </w:rPr>
              <w:t>《室内空气质量标</w:t>
            </w:r>
            <w:r>
              <w:rPr>
                <w:rFonts w:hAnsi="宋体"/>
                <w:color w:val="auto"/>
                <w:sz w:val="24"/>
              </w:rPr>
              <w:t>准</w:t>
            </w:r>
            <w:r>
              <w:rPr>
                <w:rFonts w:hint="eastAsia" w:hAnsi="宋体"/>
                <w:color w:val="auto"/>
                <w:sz w:val="24"/>
              </w:rPr>
              <w:t>》（GB/T18883-2002）</w:t>
            </w:r>
            <w:r>
              <w:rPr>
                <w:rFonts w:hAnsi="宋体"/>
                <w:color w:val="auto"/>
                <w:sz w:val="24"/>
              </w:rPr>
              <w:t>标准</w:t>
            </w:r>
            <w:r>
              <w:rPr>
                <w:rFonts w:hint="eastAsia" w:hAnsi="宋体"/>
                <w:color w:val="auto"/>
                <w:sz w:val="24"/>
              </w:rPr>
              <w:t>限值。</w:t>
            </w:r>
            <w:r>
              <w:rPr>
                <w:rFonts w:hAnsi="宋体"/>
                <w:color w:val="auto"/>
                <w:sz w:val="24"/>
              </w:rPr>
              <w:t>具体标准值见下表。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表1</w:t>
            </w:r>
            <w:r>
              <w:rPr>
                <w:rFonts w:hint="eastAsia" w:hAnsi="宋体"/>
                <w:b/>
                <w:bCs/>
                <w:color w:val="auto"/>
                <w:u w:val="single"/>
                <w:lang w:val="en-US" w:eastAsia="zh-CN"/>
              </w:rPr>
              <w:t xml:space="preserve">8 </w:t>
            </w:r>
            <w:r>
              <w:rPr>
                <w:rFonts w:hint="eastAsia" w:hAnsi="宋体"/>
                <w:b/>
                <w:bCs/>
                <w:color w:val="auto"/>
                <w:u w:val="single"/>
              </w:rPr>
              <w:t xml:space="preserve"> 环境空气质量标准(GB3095-2012)</w:t>
            </w:r>
          </w:p>
          <w:tbl>
            <w:tblPr>
              <w:tblStyle w:val="30"/>
              <w:tblW w:w="81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629"/>
              <w:gridCol w:w="1774"/>
              <w:gridCol w:w="3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04" w:type="dxa"/>
                  <w:vMerge w:val="restart"/>
                  <w:vAlign w:val="center"/>
                </w:tcPr>
                <w:p>
                  <w:pPr>
                    <w:autoSpaceDE w:val="0"/>
                    <w:autoSpaceDN w:val="0"/>
                    <w:adjustRightInd w:val="0"/>
                    <w:jc w:val="center"/>
                    <w:textAlignment w:val="baseline"/>
                    <w:rPr>
                      <w:color w:val="auto"/>
                      <w:kern w:val="0"/>
                      <w:szCs w:val="21"/>
                    </w:rPr>
                  </w:pPr>
                  <w:r>
                    <w:rPr>
                      <w:rFonts w:hAnsi="宋体"/>
                      <w:color w:val="auto"/>
                      <w:kern w:val="0"/>
                      <w:szCs w:val="21"/>
                    </w:rPr>
                    <w:t>污染物名称</w:t>
                  </w:r>
                </w:p>
              </w:tc>
              <w:tc>
                <w:tcPr>
                  <w:tcW w:w="3403" w:type="dxa"/>
                  <w:gridSpan w:val="2"/>
                  <w:vAlign w:val="center"/>
                </w:tcPr>
                <w:p>
                  <w:pPr>
                    <w:autoSpaceDE w:val="0"/>
                    <w:autoSpaceDN w:val="0"/>
                    <w:adjustRightInd w:val="0"/>
                    <w:jc w:val="center"/>
                    <w:textAlignment w:val="baseline"/>
                    <w:rPr>
                      <w:color w:val="auto"/>
                      <w:kern w:val="0"/>
                      <w:szCs w:val="21"/>
                    </w:rPr>
                  </w:pPr>
                  <w:r>
                    <w:rPr>
                      <w:rFonts w:hAnsi="宋体"/>
                      <w:color w:val="auto"/>
                      <w:kern w:val="0"/>
                      <w:szCs w:val="21"/>
                    </w:rPr>
                    <w:t>浓度限值</w:t>
                  </w:r>
                </w:p>
              </w:tc>
              <w:tc>
                <w:tcPr>
                  <w:tcW w:w="3364" w:type="dxa"/>
                  <w:vMerge w:val="restart"/>
                  <w:vAlign w:val="center"/>
                </w:tcPr>
                <w:p>
                  <w:pPr>
                    <w:autoSpaceDE w:val="0"/>
                    <w:autoSpaceDN w:val="0"/>
                    <w:adjustRightInd w:val="0"/>
                    <w:jc w:val="center"/>
                    <w:textAlignment w:val="baseline"/>
                    <w:rPr>
                      <w:color w:val="auto"/>
                      <w:kern w:val="0"/>
                      <w:szCs w:val="21"/>
                    </w:rPr>
                  </w:pPr>
                  <w:r>
                    <w:rPr>
                      <w:rFonts w:hAnsi="宋体"/>
                      <w:color w:val="auto"/>
                      <w:kern w:val="0"/>
                      <w:szCs w:val="21"/>
                    </w:rPr>
                    <w:t>选用标准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04" w:type="dxa"/>
                  <w:vMerge w:val="continue"/>
                  <w:vAlign w:val="center"/>
                </w:tcPr>
                <w:p>
                  <w:pPr>
                    <w:autoSpaceDE w:val="0"/>
                    <w:autoSpaceDN w:val="0"/>
                    <w:adjustRightInd w:val="0"/>
                    <w:jc w:val="center"/>
                    <w:textAlignment w:val="baseline"/>
                    <w:rPr>
                      <w:color w:val="auto"/>
                      <w:kern w:val="0"/>
                      <w:szCs w:val="21"/>
                    </w:rPr>
                  </w:pPr>
                </w:p>
              </w:tc>
              <w:tc>
                <w:tcPr>
                  <w:tcW w:w="1629" w:type="dxa"/>
                  <w:vAlign w:val="center"/>
                </w:tcPr>
                <w:p>
                  <w:pPr>
                    <w:autoSpaceDE w:val="0"/>
                    <w:autoSpaceDN w:val="0"/>
                    <w:adjustRightInd w:val="0"/>
                    <w:jc w:val="center"/>
                    <w:textAlignment w:val="baseline"/>
                    <w:rPr>
                      <w:color w:val="auto"/>
                      <w:kern w:val="0"/>
                      <w:szCs w:val="21"/>
                    </w:rPr>
                  </w:pPr>
                  <w:r>
                    <w:rPr>
                      <w:rFonts w:hAnsi="宋体"/>
                      <w:color w:val="auto"/>
                      <w:kern w:val="0"/>
                      <w:szCs w:val="21"/>
                    </w:rPr>
                    <w:t>日平均</w:t>
                  </w:r>
                </w:p>
              </w:tc>
              <w:tc>
                <w:tcPr>
                  <w:tcW w:w="1774" w:type="dxa"/>
                  <w:vAlign w:val="center"/>
                </w:tcPr>
                <w:p>
                  <w:pPr>
                    <w:autoSpaceDE w:val="0"/>
                    <w:autoSpaceDN w:val="0"/>
                    <w:adjustRightInd w:val="0"/>
                    <w:jc w:val="center"/>
                    <w:textAlignment w:val="baseline"/>
                    <w:rPr>
                      <w:color w:val="auto"/>
                      <w:kern w:val="0"/>
                      <w:szCs w:val="21"/>
                    </w:rPr>
                  </w:pPr>
                  <w:r>
                    <w:rPr>
                      <w:rFonts w:hAnsi="宋体"/>
                      <w:color w:val="auto"/>
                      <w:kern w:val="0"/>
                      <w:szCs w:val="21"/>
                    </w:rPr>
                    <w:t>小时平均</w:t>
                  </w:r>
                </w:p>
              </w:tc>
              <w:tc>
                <w:tcPr>
                  <w:tcW w:w="3364" w:type="dxa"/>
                  <w:vMerge w:val="continue"/>
                  <w:vAlign w:val="center"/>
                </w:tcPr>
                <w:p>
                  <w:pPr>
                    <w:autoSpaceDE w:val="0"/>
                    <w:autoSpaceDN w:val="0"/>
                    <w:adjustRightInd w:val="0"/>
                    <w:jc w:val="center"/>
                    <w:textAlignment w:val="baseline"/>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04" w:type="dxa"/>
                  <w:vAlign w:val="center"/>
                </w:tcPr>
                <w:p>
                  <w:pPr>
                    <w:autoSpaceDE w:val="0"/>
                    <w:autoSpaceDN w:val="0"/>
                    <w:adjustRightInd w:val="0"/>
                    <w:jc w:val="center"/>
                    <w:textAlignment w:val="baseline"/>
                    <w:rPr>
                      <w:color w:val="auto"/>
                      <w:kern w:val="0"/>
                      <w:szCs w:val="21"/>
                    </w:rPr>
                  </w:pPr>
                  <w:r>
                    <w:rPr>
                      <w:color w:val="auto"/>
                      <w:kern w:val="0"/>
                      <w:szCs w:val="21"/>
                    </w:rPr>
                    <w:t>SO</w:t>
                  </w:r>
                  <w:r>
                    <w:rPr>
                      <w:color w:val="auto"/>
                      <w:kern w:val="0"/>
                      <w:szCs w:val="21"/>
                      <w:vertAlign w:val="subscript"/>
                    </w:rPr>
                    <w:t>2</w:t>
                  </w:r>
                </w:p>
              </w:tc>
              <w:tc>
                <w:tcPr>
                  <w:tcW w:w="1629" w:type="dxa"/>
                  <w:vAlign w:val="center"/>
                </w:tcPr>
                <w:p>
                  <w:pPr>
                    <w:autoSpaceDE w:val="0"/>
                    <w:autoSpaceDN w:val="0"/>
                    <w:adjustRightInd w:val="0"/>
                    <w:jc w:val="center"/>
                    <w:textAlignment w:val="baseline"/>
                    <w:rPr>
                      <w:color w:val="auto"/>
                      <w:kern w:val="0"/>
                      <w:szCs w:val="21"/>
                    </w:rPr>
                  </w:pPr>
                  <w:r>
                    <w:rPr>
                      <w:color w:val="auto"/>
                      <w:kern w:val="0"/>
                      <w:szCs w:val="21"/>
                    </w:rPr>
                    <w:t>150</w:t>
                  </w:r>
                  <w:r>
                    <w:rPr>
                      <w:bCs/>
                      <w:color w:val="auto"/>
                      <w:kern w:val="0"/>
                      <w:szCs w:val="21"/>
                    </w:rPr>
                    <w:t>μg/m</w:t>
                  </w:r>
                  <w:r>
                    <w:rPr>
                      <w:bCs/>
                      <w:color w:val="auto"/>
                      <w:kern w:val="0"/>
                      <w:szCs w:val="21"/>
                      <w:vertAlign w:val="superscript"/>
                    </w:rPr>
                    <w:t>3</w:t>
                  </w:r>
                </w:p>
              </w:tc>
              <w:tc>
                <w:tcPr>
                  <w:tcW w:w="1774" w:type="dxa"/>
                  <w:vAlign w:val="center"/>
                </w:tcPr>
                <w:p>
                  <w:pPr>
                    <w:autoSpaceDE w:val="0"/>
                    <w:autoSpaceDN w:val="0"/>
                    <w:adjustRightInd w:val="0"/>
                    <w:jc w:val="center"/>
                    <w:textAlignment w:val="baseline"/>
                    <w:rPr>
                      <w:color w:val="auto"/>
                      <w:kern w:val="0"/>
                      <w:szCs w:val="21"/>
                    </w:rPr>
                  </w:pPr>
                  <w:r>
                    <w:rPr>
                      <w:color w:val="auto"/>
                      <w:kern w:val="0"/>
                      <w:szCs w:val="21"/>
                    </w:rPr>
                    <w:t>500</w:t>
                  </w:r>
                  <w:r>
                    <w:rPr>
                      <w:bCs/>
                      <w:color w:val="auto"/>
                      <w:kern w:val="0"/>
                      <w:szCs w:val="21"/>
                    </w:rPr>
                    <w:t>μg/m</w:t>
                  </w:r>
                  <w:r>
                    <w:rPr>
                      <w:bCs/>
                      <w:color w:val="auto"/>
                      <w:kern w:val="0"/>
                      <w:szCs w:val="21"/>
                      <w:vertAlign w:val="superscript"/>
                    </w:rPr>
                    <w:t>3</w:t>
                  </w:r>
                </w:p>
              </w:tc>
              <w:tc>
                <w:tcPr>
                  <w:tcW w:w="3364" w:type="dxa"/>
                  <w:vMerge w:val="restart"/>
                  <w:vAlign w:val="center"/>
                </w:tcPr>
                <w:p>
                  <w:pPr>
                    <w:autoSpaceDE w:val="0"/>
                    <w:autoSpaceDN w:val="0"/>
                    <w:adjustRightInd w:val="0"/>
                    <w:jc w:val="center"/>
                    <w:textAlignment w:val="baseline"/>
                    <w:rPr>
                      <w:color w:val="auto"/>
                      <w:kern w:val="0"/>
                      <w:szCs w:val="21"/>
                    </w:rPr>
                  </w:pPr>
                  <w:r>
                    <w:rPr>
                      <w:rFonts w:hAnsi="宋体"/>
                      <w:color w:val="auto"/>
                      <w:kern w:val="0"/>
                      <w:szCs w:val="21"/>
                    </w:rPr>
                    <w:t>《环境空气质量标准》（</w:t>
                  </w:r>
                  <w:r>
                    <w:rPr>
                      <w:color w:val="auto"/>
                      <w:kern w:val="0"/>
                      <w:szCs w:val="21"/>
                    </w:rPr>
                    <w:t>GB3095-2012</w:t>
                  </w:r>
                  <w:r>
                    <w:rPr>
                      <w:rFonts w:hAnsi="宋体"/>
                      <w:color w:val="auto"/>
                      <w:kern w:val="0"/>
                      <w:szCs w:val="21"/>
                    </w:rPr>
                    <w:t>）中二级标准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04" w:type="dxa"/>
                  <w:vAlign w:val="center"/>
                </w:tcPr>
                <w:p>
                  <w:pPr>
                    <w:autoSpaceDE w:val="0"/>
                    <w:autoSpaceDN w:val="0"/>
                    <w:adjustRightInd w:val="0"/>
                    <w:jc w:val="center"/>
                    <w:textAlignment w:val="baseline"/>
                    <w:rPr>
                      <w:color w:val="auto"/>
                      <w:kern w:val="0"/>
                      <w:szCs w:val="21"/>
                    </w:rPr>
                  </w:pPr>
                  <w:r>
                    <w:rPr>
                      <w:color w:val="auto"/>
                      <w:kern w:val="0"/>
                      <w:szCs w:val="21"/>
                    </w:rPr>
                    <w:t>NO</w:t>
                  </w:r>
                  <w:r>
                    <w:rPr>
                      <w:color w:val="auto"/>
                      <w:kern w:val="0"/>
                      <w:szCs w:val="21"/>
                      <w:vertAlign w:val="subscript"/>
                    </w:rPr>
                    <w:t>2</w:t>
                  </w:r>
                </w:p>
              </w:tc>
              <w:tc>
                <w:tcPr>
                  <w:tcW w:w="1629" w:type="dxa"/>
                  <w:vAlign w:val="center"/>
                </w:tcPr>
                <w:p>
                  <w:pPr>
                    <w:autoSpaceDE w:val="0"/>
                    <w:autoSpaceDN w:val="0"/>
                    <w:adjustRightInd w:val="0"/>
                    <w:jc w:val="center"/>
                    <w:textAlignment w:val="baseline"/>
                    <w:rPr>
                      <w:color w:val="auto"/>
                      <w:kern w:val="0"/>
                      <w:szCs w:val="21"/>
                    </w:rPr>
                  </w:pPr>
                  <w:r>
                    <w:rPr>
                      <w:color w:val="auto"/>
                      <w:kern w:val="0"/>
                      <w:szCs w:val="21"/>
                    </w:rPr>
                    <w:t>80</w:t>
                  </w:r>
                  <w:r>
                    <w:rPr>
                      <w:bCs/>
                      <w:color w:val="auto"/>
                      <w:kern w:val="0"/>
                      <w:szCs w:val="21"/>
                    </w:rPr>
                    <w:t>μg/m</w:t>
                  </w:r>
                  <w:r>
                    <w:rPr>
                      <w:bCs/>
                      <w:color w:val="auto"/>
                      <w:kern w:val="0"/>
                      <w:szCs w:val="21"/>
                      <w:vertAlign w:val="superscript"/>
                    </w:rPr>
                    <w:t>3</w:t>
                  </w:r>
                </w:p>
              </w:tc>
              <w:tc>
                <w:tcPr>
                  <w:tcW w:w="1774" w:type="dxa"/>
                  <w:vAlign w:val="center"/>
                </w:tcPr>
                <w:p>
                  <w:pPr>
                    <w:autoSpaceDE w:val="0"/>
                    <w:autoSpaceDN w:val="0"/>
                    <w:adjustRightInd w:val="0"/>
                    <w:jc w:val="center"/>
                    <w:textAlignment w:val="baseline"/>
                    <w:rPr>
                      <w:color w:val="auto"/>
                      <w:kern w:val="0"/>
                      <w:szCs w:val="21"/>
                    </w:rPr>
                  </w:pPr>
                  <w:r>
                    <w:rPr>
                      <w:color w:val="auto"/>
                      <w:kern w:val="0"/>
                      <w:szCs w:val="21"/>
                    </w:rPr>
                    <w:t>200</w:t>
                  </w:r>
                  <w:r>
                    <w:rPr>
                      <w:bCs/>
                      <w:color w:val="auto"/>
                      <w:kern w:val="0"/>
                      <w:szCs w:val="21"/>
                    </w:rPr>
                    <w:t>μg/m</w:t>
                  </w:r>
                  <w:r>
                    <w:rPr>
                      <w:bCs/>
                      <w:color w:val="auto"/>
                      <w:kern w:val="0"/>
                      <w:szCs w:val="21"/>
                      <w:vertAlign w:val="superscript"/>
                    </w:rPr>
                    <w:t>3</w:t>
                  </w:r>
                </w:p>
              </w:tc>
              <w:tc>
                <w:tcPr>
                  <w:tcW w:w="3364" w:type="dxa"/>
                  <w:vMerge w:val="continue"/>
                  <w:vAlign w:val="center"/>
                </w:tcPr>
                <w:p>
                  <w:pPr>
                    <w:autoSpaceDE w:val="0"/>
                    <w:autoSpaceDN w:val="0"/>
                    <w:adjustRightInd w:val="0"/>
                    <w:jc w:val="center"/>
                    <w:textAlignment w:val="baseline"/>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04" w:type="dxa"/>
                  <w:vAlign w:val="center"/>
                </w:tcPr>
                <w:p>
                  <w:pPr>
                    <w:autoSpaceDE w:val="0"/>
                    <w:autoSpaceDN w:val="0"/>
                    <w:adjustRightInd w:val="0"/>
                    <w:jc w:val="center"/>
                    <w:textAlignment w:val="baseline"/>
                    <w:rPr>
                      <w:color w:val="auto"/>
                      <w:kern w:val="0"/>
                      <w:szCs w:val="21"/>
                    </w:rPr>
                  </w:pPr>
                  <w:r>
                    <w:rPr>
                      <w:color w:val="auto"/>
                      <w:kern w:val="0"/>
                      <w:szCs w:val="21"/>
                    </w:rPr>
                    <w:t>PM</w:t>
                  </w:r>
                  <w:r>
                    <w:rPr>
                      <w:color w:val="auto"/>
                      <w:kern w:val="0"/>
                      <w:szCs w:val="21"/>
                      <w:vertAlign w:val="subscript"/>
                    </w:rPr>
                    <w:t>10</w:t>
                  </w:r>
                </w:p>
              </w:tc>
              <w:tc>
                <w:tcPr>
                  <w:tcW w:w="1629" w:type="dxa"/>
                  <w:vAlign w:val="center"/>
                </w:tcPr>
                <w:p>
                  <w:pPr>
                    <w:autoSpaceDE w:val="0"/>
                    <w:autoSpaceDN w:val="0"/>
                    <w:adjustRightInd w:val="0"/>
                    <w:jc w:val="center"/>
                    <w:textAlignment w:val="baseline"/>
                    <w:rPr>
                      <w:color w:val="auto"/>
                      <w:kern w:val="0"/>
                      <w:szCs w:val="21"/>
                    </w:rPr>
                  </w:pPr>
                  <w:r>
                    <w:rPr>
                      <w:color w:val="auto"/>
                      <w:kern w:val="0"/>
                      <w:szCs w:val="21"/>
                    </w:rPr>
                    <w:t>150</w:t>
                  </w:r>
                  <w:r>
                    <w:rPr>
                      <w:bCs/>
                      <w:color w:val="auto"/>
                      <w:kern w:val="0"/>
                      <w:szCs w:val="21"/>
                    </w:rPr>
                    <w:t>μg/m</w:t>
                  </w:r>
                  <w:r>
                    <w:rPr>
                      <w:bCs/>
                      <w:color w:val="auto"/>
                      <w:kern w:val="0"/>
                      <w:szCs w:val="21"/>
                      <w:vertAlign w:val="superscript"/>
                    </w:rPr>
                    <w:t>3</w:t>
                  </w:r>
                </w:p>
              </w:tc>
              <w:tc>
                <w:tcPr>
                  <w:tcW w:w="1774" w:type="dxa"/>
                  <w:vAlign w:val="center"/>
                </w:tcPr>
                <w:p>
                  <w:pPr>
                    <w:autoSpaceDE w:val="0"/>
                    <w:autoSpaceDN w:val="0"/>
                    <w:adjustRightInd w:val="0"/>
                    <w:jc w:val="center"/>
                    <w:textAlignment w:val="baseline"/>
                    <w:rPr>
                      <w:color w:val="auto"/>
                      <w:kern w:val="0"/>
                      <w:szCs w:val="21"/>
                    </w:rPr>
                  </w:pPr>
                  <w:r>
                    <w:rPr>
                      <w:color w:val="auto"/>
                      <w:kern w:val="0"/>
                      <w:szCs w:val="21"/>
                    </w:rPr>
                    <w:t>/</w:t>
                  </w:r>
                </w:p>
              </w:tc>
              <w:tc>
                <w:tcPr>
                  <w:tcW w:w="3364" w:type="dxa"/>
                  <w:vMerge w:val="continue"/>
                  <w:vAlign w:val="center"/>
                </w:tcPr>
                <w:p>
                  <w:pPr>
                    <w:autoSpaceDE w:val="0"/>
                    <w:autoSpaceDN w:val="0"/>
                    <w:adjustRightInd w:val="0"/>
                    <w:jc w:val="center"/>
                    <w:textAlignment w:val="baseline"/>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1404" w:type="dxa"/>
                  <w:vAlign w:val="center"/>
                </w:tcPr>
                <w:p>
                  <w:pPr>
                    <w:autoSpaceDE w:val="0"/>
                    <w:autoSpaceDN w:val="0"/>
                    <w:adjustRightInd w:val="0"/>
                    <w:jc w:val="center"/>
                    <w:textAlignment w:val="baseline"/>
                    <w:rPr>
                      <w:color w:val="auto"/>
                      <w:kern w:val="0"/>
                      <w:szCs w:val="21"/>
                    </w:rPr>
                  </w:pPr>
                  <w:r>
                    <w:rPr>
                      <w:color w:val="auto"/>
                      <w:kern w:val="0"/>
                      <w:szCs w:val="21"/>
                    </w:rPr>
                    <w:t>TSP</w:t>
                  </w:r>
                </w:p>
              </w:tc>
              <w:tc>
                <w:tcPr>
                  <w:tcW w:w="1629" w:type="dxa"/>
                  <w:vAlign w:val="center"/>
                </w:tcPr>
                <w:p>
                  <w:pPr>
                    <w:autoSpaceDE w:val="0"/>
                    <w:autoSpaceDN w:val="0"/>
                    <w:adjustRightInd w:val="0"/>
                    <w:jc w:val="center"/>
                    <w:textAlignment w:val="baseline"/>
                    <w:rPr>
                      <w:color w:val="auto"/>
                      <w:kern w:val="0"/>
                      <w:szCs w:val="21"/>
                    </w:rPr>
                  </w:pPr>
                  <w:r>
                    <w:rPr>
                      <w:color w:val="auto"/>
                      <w:kern w:val="0"/>
                      <w:szCs w:val="21"/>
                    </w:rPr>
                    <w:t>300</w:t>
                  </w:r>
                  <w:r>
                    <w:rPr>
                      <w:bCs/>
                      <w:color w:val="auto"/>
                      <w:kern w:val="0"/>
                      <w:szCs w:val="21"/>
                    </w:rPr>
                    <w:t>μg/m</w:t>
                  </w:r>
                  <w:r>
                    <w:rPr>
                      <w:bCs/>
                      <w:color w:val="auto"/>
                      <w:kern w:val="0"/>
                      <w:szCs w:val="21"/>
                      <w:vertAlign w:val="superscript"/>
                    </w:rPr>
                    <w:t>3</w:t>
                  </w:r>
                </w:p>
              </w:tc>
              <w:tc>
                <w:tcPr>
                  <w:tcW w:w="1774" w:type="dxa"/>
                  <w:vAlign w:val="center"/>
                </w:tcPr>
                <w:p>
                  <w:pPr>
                    <w:autoSpaceDE w:val="0"/>
                    <w:autoSpaceDN w:val="0"/>
                    <w:adjustRightInd w:val="0"/>
                    <w:jc w:val="center"/>
                    <w:textAlignment w:val="baseline"/>
                    <w:rPr>
                      <w:color w:val="auto"/>
                      <w:kern w:val="0"/>
                      <w:szCs w:val="21"/>
                    </w:rPr>
                  </w:pPr>
                  <w:r>
                    <w:rPr>
                      <w:color w:val="auto"/>
                      <w:kern w:val="0"/>
                      <w:szCs w:val="21"/>
                    </w:rPr>
                    <w:t>/</w:t>
                  </w:r>
                </w:p>
              </w:tc>
              <w:tc>
                <w:tcPr>
                  <w:tcW w:w="3364" w:type="dxa"/>
                  <w:vMerge w:val="continue"/>
                  <w:vAlign w:val="center"/>
                </w:tcPr>
                <w:p>
                  <w:pPr>
                    <w:autoSpaceDE w:val="0"/>
                    <w:autoSpaceDN w:val="0"/>
                    <w:adjustRightInd w:val="0"/>
                    <w:jc w:val="center"/>
                    <w:textAlignment w:val="baseline"/>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04" w:type="dxa"/>
                  <w:vAlign w:val="center"/>
                </w:tcPr>
                <w:p>
                  <w:pPr>
                    <w:autoSpaceDE w:val="0"/>
                    <w:autoSpaceDN w:val="0"/>
                    <w:adjustRightInd w:val="0"/>
                    <w:jc w:val="center"/>
                    <w:textAlignment w:val="baseline"/>
                    <w:rPr>
                      <w:color w:val="auto"/>
                      <w:kern w:val="0"/>
                      <w:szCs w:val="21"/>
                    </w:rPr>
                  </w:pPr>
                  <w:r>
                    <w:rPr>
                      <w:rFonts w:hint="eastAsia"/>
                      <w:color w:val="auto"/>
                      <w:kern w:val="0"/>
                      <w:szCs w:val="21"/>
                    </w:rPr>
                    <w:t>TVOC</w:t>
                  </w:r>
                </w:p>
              </w:tc>
              <w:tc>
                <w:tcPr>
                  <w:tcW w:w="3403" w:type="dxa"/>
                  <w:gridSpan w:val="2"/>
                  <w:vAlign w:val="center"/>
                </w:tcPr>
                <w:p>
                  <w:pPr>
                    <w:autoSpaceDE w:val="0"/>
                    <w:autoSpaceDN w:val="0"/>
                    <w:adjustRightInd w:val="0"/>
                    <w:jc w:val="center"/>
                    <w:textAlignment w:val="baseline"/>
                    <w:rPr>
                      <w:color w:val="auto"/>
                      <w:kern w:val="0"/>
                      <w:szCs w:val="21"/>
                    </w:rPr>
                  </w:pPr>
                  <w:r>
                    <w:rPr>
                      <w:rFonts w:hint="eastAsia" w:hAnsi="宋体"/>
                      <w:color w:val="auto"/>
                      <w:kern w:val="0"/>
                      <w:szCs w:val="21"/>
                    </w:rPr>
                    <w:t>8小时均值</w:t>
                  </w:r>
                  <w:r>
                    <w:rPr>
                      <w:rFonts w:hAnsi="宋体"/>
                      <w:color w:val="auto"/>
                      <w:kern w:val="0"/>
                      <w:szCs w:val="21"/>
                    </w:rPr>
                    <w:t>最高容许浓度</w:t>
                  </w:r>
                  <w:r>
                    <w:rPr>
                      <w:color w:val="auto"/>
                      <w:kern w:val="0"/>
                      <w:szCs w:val="21"/>
                    </w:rPr>
                    <w:t>0.</w:t>
                  </w:r>
                  <w:r>
                    <w:rPr>
                      <w:rFonts w:hint="eastAsia"/>
                      <w:color w:val="auto"/>
                      <w:kern w:val="0"/>
                      <w:szCs w:val="21"/>
                    </w:rPr>
                    <w:t>6</w:t>
                  </w:r>
                  <w:r>
                    <w:rPr>
                      <w:color w:val="auto"/>
                      <w:kern w:val="0"/>
                      <w:szCs w:val="21"/>
                    </w:rPr>
                    <w:t>mg/m</w:t>
                  </w:r>
                  <w:r>
                    <w:rPr>
                      <w:color w:val="auto"/>
                      <w:kern w:val="0"/>
                      <w:szCs w:val="21"/>
                      <w:vertAlign w:val="superscript"/>
                    </w:rPr>
                    <w:t>3</w:t>
                  </w:r>
                </w:p>
              </w:tc>
              <w:tc>
                <w:tcPr>
                  <w:tcW w:w="3364" w:type="dxa"/>
                  <w:vAlign w:val="center"/>
                </w:tcPr>
                <w:p>
                  <w:pPr>
                    <w:autoSpaceDE w:val="0"/>
                    <w:autoSpaceDN w:val="0"/>
                    <w:adjustRightInd w:val="0"/>
                    <w:jc w:val="center"/>
                    <w:textAlignment w:val="baseline"/>
                    <w:rPr>
                      <w:color w:val="auto"/>
                      <w:kern w:val="0"/>
                      <w:szCs w:val="21"/>
                    </w:rPr>
                  </w:pPr>
                  <w:r>
                    <w:rPr>
                      <w:rFonts w:hint="eastAsia" w:hAnsi="宋体"/>
                      <w:color w:val="auto"/>
                      <w:szCs w:val="21"/>
                    </w:rPr>
                    <w:t>《室内空气质量标</w:t>
                  </w:r>
                  <w:r>
                    <w:rPr>
                      <w:rFonts w:hAnsi="宋体"/>
                      <w:color w:val="auto"/>
                      <w:szCs w:val="21"/>
                    </w:rPr>
                    <w:t>准</w:t>
                  </w:r>
                  <w:r>
                    <w:rPr>
                      <w:rFonts w:hint="eastAsia" w:hAnsi="宋体"/>
                      <w:color w:val="auto"/>
                      <w:szCs w:val="21"/>
                    </w:rPr>
                    <w:t>》（GB/T18883-2002）</w:t>
                  </w:r>
                  <w:r>
                    <w:rPr>
                      <w:rFonts w:hAnsi="宋体"/>
                      <w:color w:val="auto"/>
                      <w:szCs w:val="21"/>
                    </w:rPr>
                    <w:t>标准</w:t>
                  </w:r>
                  <w:r>
                    <w:rPr>
                      <w:rFonts w:hint="eastAsia" w:hAnsi="宋体"/>
                      <w:color w:val="auto"/>
                      <w:szCs w:val="21"/>
                    </w:rPr>
                    <w:t>限值</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color w:val="auto"/>
                <w:sz w:val="24"/>
              </w:rPr>
            </w:pPr>
            <w:r>
              <w:rPr>
                <w:b/>
                <w:color w:val="auto"/>
                <w:sz w:val="24"/>
              </w:rPr>
              <w:t>2</w:t>
            </w:r>
            <w:r>
              <w:rPr>
                <w:rFonts w:hAnsi="宋体"/>
                <w:b/>
                <w:color w:val="auto"/>
                <w:sz w:val="24"/>
              </w:rPr>
              <w:t>、地表水：</w:t>
            </w:r>
            <w:r>
              <w:rPr>
                <w:rFonts w:hAnsi="宋体"/>
                <w:color w:val="auto"/>
                <w:sz w:val="24"/>
              </w:rPr>
              <w:t>本项目周边地表水</w:t>
            </w:r>
            <w:r>
              <w:rPr>
                <w:rFonts w:hint="eastAsia" w:hAnsi="宋体"/>
                <w:color w:val="auto"/>
                <w:sz w:val="24"/>
              </w:rPr>
              <w:t>农干渠</w:t>
            </w:r>
            <w:r>
              <w:rPr>
                <w:rFonts w:hAnsi="宋体"/>
                <w:color w:val="auto"/>
                <w:sz w:val="24"/>
              </w:rPr>
              <w:t>，其水质应执行《地表水环境质量标准》（GB3838-2002）</w:t>
            </w:r>
            <w:r>
              <w:rPr>
                <w:rFonts w:hint="eastAsia" w:hAnsi="宋体"/>
                <w:color w:val="auto"/>
                <w:sz w:val="24"/>
              </w:rPr>
              <w:t>Ⅳ</w:t>
            </w:r>
            <w:r>
              <w:rPr>
                <w:rFonts w:hAnsi="宋体"/>
                <w:color w:val="auto"/>
                <w:sz w:val="24"/>
              </w:rPr>
              <w:t>类标准。具体标准值见下表。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bookmarkStart w:id="7" w:name="_Toc129853355"/>
            <w:r>
              <w:rPr>
                <w:rFonts w:hint="eastAsia" w:hAnsi="宋体"/>
                <w:b/>
                <w:bCs/>
                <w:color w:val="auto"/>
                <w:u w:val="single"/>
              </w:rPr>
              <w:t>表1</w:t>
            </w:r>
            <w:r>
              <w:rPr>
                <w:rFonts w:hint="eastAsia" w:hAnsi="宋体"/>
                <w:b/>
                <w:bCs/>
                <w:color w:val="auto"/>
                <w:u w:val="single"/>
                <w:lang w:val="en-US" w:eastAsia="zh-CN"/>
              </w:rPr>
              <w:t xml:space="preserve">9  </w:t>
            </w:r>
            <w:r>
              <w:rPr>
                <w:rFonts w:hint="eastAsia" w:hAnsi="宋体"/>
                <w:b/>
                <w:bCs/>
                <w:color w:val="auto"/>
                <w:u w:val="single"/>
              </w:rPr>
              <w:t>地表水环境质量标准(GB3838-2002)  单位：mg/L</w:t>
            </w:r>
            <w:bookmarkEnd w:id="7"/>
          </w:p>
          <w:tbl>
            <w:tblPr>
              <w:tblStyle w:val="30"/>
              <w:tblW w:w="8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22"/>
              <w:gridCol w:w="1706"/>
              <w:gridCol w:w="2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b/>
                      <w:color w:val="auto"/>
                      <w:kern w:val="0"/>
                      <w:szCs w:val="21"/>
                    </w:rPr>
                    <w:t>检测</w:t>
                  </w:r>
                  <w:r>
                    <w:rPr>
                      <w:b/>
                      <w:color w:val="auto"/>
                      <w:kern w:val="0"/>
                      <w:szCs w:val="21"/>
                    </w:rPr>
                    <w:t>项目</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b/>
                      <w:color w:val="auto"/>
                      <w:kern w:val="0"/>
                      <w:szCs w:val="21"/>
                    </w:rPr>
                    <w:t>单位</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color w:val="auto"/>
                      <w:kern w:val="0"/>
                      <w:szCs w:val="21"/>
                    </w:rPr>
                  </w:pPr>
                  <w:r>
                    <w:rPr>
                      <w:rFonts w:hint="eastAsia"/>
                      <w:b/>
                      <w:color w:val="auto"/>
                      <w:kern w:val="0"/>
                      <w:szCs w:val="21"/>
                    </w:rPr>
                    <w:t>标准值（Ⅳ类标准）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color w:val="auto"/>
                      <w:kern w:val="0"/>
                      <w:szCs w:val="21"/>
                    </w:rPr>
                    <w:t>pH</w:t>
                  </w:r>
                  <w:r>
                    <w:rPr>
                      <w:rFonts w:hint="eastAsia"/>
                      <w:color w:val="auto"/>
                      <w:kern w:val="0"/>
                      <w:szCs w:val="21"/>
                    </w:rPr>
                    <w:t>值</w:t>
                  </w:r>
                </w:p>
              </w:tc>
              <w:tc>
                <w:tcPr>
                  <w:tcW w:w="170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kern w:val="0"/>
                      <w:szCs w:val="21"/>
                    </w:rPr>
                    <w:t>无量纲</w:t>
                  </w:r>
                </w:p>
              </w:tc>
              <w:tc>
                <w:tcPr>
                  <w:tcW w:w="276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化学需氧量</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五日生化需氧量</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氨氮</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石油类</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阴离子表面活性剂</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六价铬</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r>
                    <w:rPr>
                      <w:rFonts w:hint="eastAsia"/>
                      <w:color w:val="auto"/>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kern w:val="0"/>
                      <w:szCs w:val="21"/>
                    </w:rPr>
                  </w:pPr>
                  <w:r>
                    <w:rPr>
                      <w:rFonts w:hint="eastAsia"/>
                      <w:color w:val="auto"/>
                      <w:kern w:val="0"/>
                      <w:szCs w:val="21"/>
                    </w:rPr>
                    <w:t>铜</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w:t>
                  </w:r>
                  <w:r>
                    <w:rPr>
                      <w:rFonts w:hint="eastAsia"/>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镉</w:t>
                  </w:r>
                </w:p>
              </w:tc>
              <w:tc>
                <w:tcPr>
                  <w:tcW w:w="1706"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rPr>
                  </w:pPr>
                  <w:r>
                    <w:rPr>
                      <w:color w:val="auto"/>
                      <w:szCs w:val="21"/>
                    </w:rPr>
                    <w:t>mg/L</w:t>
                  </w:r>
                </w:p>
              </w:tc>
              <w:tc>
                <w:tcPr>
                  <w:tcW w:w="2760"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r>
                    <w:rPr>
                      <w:rFonts w:hint="eastAsia"/>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822"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粪大肠菌群</w:t>
                  </w:r>
                </w:p>
              </w:tc>
              <w:tc>
                <w:tcPr>
                  <w:tcW w:w="170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个</w:t>
                  </w:r>
                  <w:r>
                    <w:rPr>
                      <w:color w:val="auto"/>
                      <w:szCs w:val="21"/>
                    </w:rPr>
                    <w:t>/L</w:t>
                  </w:r>
                </w:p>
              </w:tc>
              <w:tc>
                <w:tcPr>
                  <w:tcW w:w="276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≤20000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color w:val="auto"/>
                <w:sz w:val="24"/>
              </w:rPr>
            </w:pPr>
            <w:r>
              <w:rPr>
                <w:b/>
                <w:color w:val="auto"/>
                <w:sz w:val="24"/>
              </w:rPr>
              <w:t>3</w:t>
            </w:r>
            <w:r>
              <w:rPr>
                <w:rFonts w:hAnsi="宋体"/>
                <w:b/>
                <w:color w:val="auto"/>
                <w:sz w:val="24"/>
              </w:rPr>
              <w:t>、地下水：</w:t>
            </w:r>
            <w:r>
              <w:rPr>
                <w:rFonts w:hAnsi="宋体"/>
                <w:color w:val="auto"/>
                <w:sz w:val="24"/>
              </w:rPr>
              <w:t>本项目区域地下水执行《地下水质量标准》（</w:t>
            </w:r>
            <w:r>
              <w:rPr>
                <w:color w:val="auto"/>
                <w:sz w:val="24"/>
              </w:rPr>
              <w:t>GB/T14848-93)</w:t>
            </w:r>
            <w:r>
              <w:rPr>
                <w:rFonts w:hAnsi="宋体"/>
                <w:color w:val="auto"/>
                <w:sz w:val="24"/>
              </w:rPr>
              <w:t>中</w:t>
            </w:r>
            <w:r>
              <w:rPr>
                <w:rFonts w:ascii="宋体" w:hAnsi="宋体"/>
                <w:color w:val="auto"/>
                <w:sz w:val="24"/>
              </w:rPr>
              <w:t>Ⅲ</w:t>
            </w:r>
            <w:r>
              <w:rPr>
                <w:rFonts w:hAnsi="宋体"/>
                <w:color w:val="auto"/>
                <w:sz w:val="24"/>
              </w:rPr>
              <w:t>类水质标准。具体标准值见下表。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w:t>
            </w:r>
            <w:r>
              <w:rPr>
                <w:rFonts w:hint="eastAsia" w:hAnsi="宋体"/>
                <w:b/>
                <w:bCs/>
                <w:color w:val="auto"/>
                <w:u w:val="single"/>
                <w:lang w:val="en-US" w:eastAsia="zh-CN"/>
              </w:rPr>
              <w:t xml:space="preserve">20  </w:t>
            </w:r>
            <w:r>
              <w:rPr>
                <w:rFonts w:hint="eastAsia" w:hAnsi="宋体"/>
                <w:b/>
                <w:bCs/>
                <w:color w:val="auto"/>
                <w:u w:val="single"/>
              </w:rPr>
              <w:t>地下水质量III类标准（单位：mg/L，pH为无量纲)</w:t>
            </w:r>
          </w:p>
          <w:tbl>
            <w:tblPr>
              <w:tblStyle w:val="30"/>
              <w:tblW w:w="8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962"/>
              <w:gridCol w:w="2996"/>
              <w:gridCol w:w="33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lang w:val="zh-TW" w:eastAsia="zh-TW"/>
                    </w:rPr>
                    <w:t>序号</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lang w:val="zh-TW" w:eastAsia="zh-TW"/>
                    </w:rPr>
                    <w:t>污染物</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lang w:val="zh-TW" w:eastAsia="zh-TW"/>
                    </w:rPr>
                    <w:t>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ascii="Times New Roman" w:eastAsia="宋体" w:cs="Times New Roman"/>
                      <w:color w:val="auto"/>
                      <w:sz w:val="21"/>
                      <w:szCs w:val="21"/>
                      <w:lang w:val="zh-TW" w:eastAsia="zh-TW"/>
                    </w:rPr>
                    <w:t>1</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ascii="Times New Roman" w:eastAsia="宋体" w:cs="Times New Roman"/>
                      <w:color w:val="auto"/>
                      <w:sz w:val="21"/>
                      <w:szCs w:val="21"/>
                    </w:rPr>
                    <w:t>pH</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ascii="Times New Roman" w:eastAsia="宋体" w:cs="Times New Roman"/>
                      <w:color w:val="auto"/>
                      <w:sz w:val="21"/>
                      <w:szCs w:val="21"/>
                    </w:rPr>
                    <w:t>6.5</w:t>
                  </w:r>
                  <w:r>
                    <w:rPr>
                      <w:rStyle w:val="110"/>
                      <w:rFonts w:ascii="Times New Roman" w:hAnsi="宋体" w:cs="Times New Roman"/>
                      <w:color w:val="auto"/>
                      <w:sz w:val="21"/>
                      <w:szCs w:val="21"/>
                    </w:rPr>
                    <w:t>〜</w:t>
                  </w:r>
                  <w:r>
                    <w:rPr>
                      <w:rStyle w:val="111"/>
                      <w:rFonts w:ascii="Times New Roman" w:eastAsia="宋体" w:cs="Times New Roman"/>
                      <w:color w:val="auto"/>
                      <w:sz w:val="21"/>
                      <w:szCs w:val="21"/>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ascii="Times New Roman" w:eastAsia="宋体" w:cs="Times New Roman"/>
                      <w:color w:val="auto"/>
                      <w:sz w:val="21"/>
                      <w:szCs w:val="21"/>
                      <w:lang w:val="zh-TW" w:eastAsia="zh-TW"/>
                    </w:rPr>
                    <w:t>2</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rPr>
                    <w:t>氨氮</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8"/>
                      <w:rFonts w:hint="eastAsia" w:ascii="Times New Roman" w:eastAsia="宋体" w:cs="Times New Roman"/>
                      <w:color w:val="auto"/>
                      <w:sz w:val="2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ascii="Times New Roman" w:eastAsia="宋体" w:cs="Times New Roman"/>
                      <w:color w:val="auto"/>
                      <w:sz w:val="21"/>
                      <w:szCs w:val="21"/>
                      <w:lang w:val="zh-TW" w:eastAsia="zh-TW"/>
                    </w:rPr>
                    <w:t>3</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rPr>
                    <w:t>总硬度</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hint="eastAsia" w:ascii="Times New Roman" w:eastAsia="宋体" w:cs="Times New Roman"/>
                      <w:color w:val="auto"/>
                      <w:sz w:val="21"/>
                      <w:szCs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ascii="Times New Roman" w:eastAsia="宋体" w:cs="Times New Roman"/>
                      <w:color w:val="auto"/>
                      <w:sz w:val="21"/>
                      <w:szCs w:val="21"/>
                      <w:lang w:val="zh-TW" w:eastAsia="zh-TW"/>
                    </w:rPr>
                    <w:t>4</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rPr>
                    <w:t>溶解性总固体</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hint="eastAsia" w:ascii="Times New Roman" w:eastAsia="宋体" w:cs="Times New Roman"/>
                      <w:color w:val="auto"/>
                      <w:sz w:val="21"/>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Style w:val="111"/>
                      <w:rFonts w:ascii="Times New Roman" w:eastAsia="宋体" w:cs="Times New Roman"/>
                      <w:color w:val="auto"/>
                      <w:sz w:val="21"/>
                      <w:szCs w:val="21"/>
                      <w:lang w:val="zh-TW" w:eastAsia="zh-TW"/>
                    </w:rPr>
                  </w:pPr>
                  <w:r>
                    <w:rPr>
                      <w:rStyle w:val="111"/>
                      <w:rFonts w:ascii="Times New Roman" w:eastAsia="宋体" w:cs="Times New Roman"/>
                      <w:color w:val="auto"/>
                      <w:sz w:val="21"/>
                      <w:szCs w:val="21"/>
                      <w:lang w:val="zh-TW" w:eastAsia="zh-TW"/>
                    </w:rPr>
                    <w:t>5</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Ansi="宋体"/>
                      <w:color w:val="auto"/>
                      <w:szCs w:val="21"/>
                    </w:rPr>
                  </w:pPr>
                  <w:r>
                    <w:rPr>
                      <w:rFonts w:hAnsi="宋体"/>
                      <w:color w:val="auto"/>
                      <w:szCs w:val="21"/>
                    </w:rPr>
                    <w:t>高锰酸盐指数</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Style w:val="111"/>
                      <w:rFonts w:ascii="Times New Roman" w:eastAsia="宋体" w:cs="Times New Roman"/>
                      <w:color w:val="auto"/>
                      <w:sz w:val="21"/>
                      <w:szCs w:val="21"/>
                    </w:rPr>
                  </w:pPr>
                  <w:r>
                    <w:rPr>
                      <w:rStyle w:val="111"/>
                      <w:rFonts w:hint="eastAsia" w:ascii="Times New Roman" w:eastAsia="宋体" w:cs="Times New Roman"/>
                      <w:color w:val="auto"/>
                      <w:sz w:val="21"/>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Style w:val="111"/>
                      <w:rFonts w:ascii="Times New Roman" w:eastAsia="宋体" w:cs="Times New Roman"/>
                      <w:color w:val="auto"/>
                      <w:sz w:val="21"/>
                      <w:szCs w:val="21"/>
                      <w:lang w:val="zh-TW" w:eastAsia="zh-TW"/>
                    </w:rPr>
                  </w:pPr>
                  <w:r>
                    <w:rPr>
                      <w:rStyle w:val="111"/>
                      <w:rFonts w:ascii="Times New Roman" w:eastAsia="宋体" w:cs="Times New Roman"/>
                      <w:color w:val="auto"/>
                      <w:sz w:val="21"/>
                      <w:szCs w:val="21"/>
                      <w:lang w:val="zh-TW" w:eastAsia="zh-TW"/>
                    </w:rPr>
                    <w:t>6</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Ansi="宋体"/>
                      <w:color w:val="auto"/>
                      <w:szCs w:val="21"/>
                    </w:rPr>
                  </w:pPr>
                  <w:r>
                    <w:rPr>
                      <w:rFonts w:hAnsi="宋体"/>
                      <w:color w:val="auto"/>
                      <w:szCs w:val="21"/>
                    </w:rPr>
                    <w:t>总磷</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Style w:val="111"/>
                      <w:rFonts w:ascii="Times New Roman" w:eastAsia="宋体" w:cs="Times New Roman"/>
                      <w:color w:val="auto"/>
                      <w:sz w:val="21"/>
                      <w:szCs w:val="21"/>
                    </w:rPr>
                  </w:pPr>
                  <w:r>
                    <w:rPr>
                      <w:rStyle w:val="111"/>
                      <w:rFonts w:hint="eastAsia" w:ascii="Times New Roman" w:eastAsia="宋体" w:cs="Times New Roman"/>
                      <w:color w:val="auto"/>
                      <w:sz w:val="21"/>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ascii="Times New Roman" w:eastAsia="宋体" w:cs="Times New Roman"/>
                      <w:color w:val="auto"/>
                      <w:sz w:val="21"/>
                      <w:szCs w:val="21"/>
                      <w:lang w:val="zh-TW" w:eastAsia="zh-TW"/>
                    </w:rPr>
                    <w:t>7</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lang w:val="zh-TW" w:eastAsia="zh-TW"/>
                    </w:rPr>
                    <w:t>总铜</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hint="eastAsia" w:ascii="Times New Roman" w:eastAsia="宋体" w:cs="Times New Roman"/>
                      <w:color w:val="auto"/>
                      <w:sz w:val="21"/>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eastAsia="宋体"/>
                      <w:color w:val="auto"/>
                      <w:szCs w:val="21"/>
                      <w:lang w:val="en-US" w:eastAsia="zh-CN"/>
                    </w:rPr>
                  </w:pPr>
                  <w:r>
                    <w:rPr>
                      <w:rFonts w:hint="eastAsia"/>
                      <w:color w:val="auto"/>
                      <w:szCs w:val="21"/>
                      <w:lang w:val="en-US" w:eastAsia="zh-CN"/>
                    </w:rPr>
                    <w:t>8</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lang w:val="zh-TW" w:eastAsia="zh-TW"/>
                    </w:rPr>
                    <w:t>总镉</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hint="eastAsia" w:ascii="Times New Roman" w:eastAsia="宋体" w:cs="Times New Roman"/>
                      <w:color w:val="auto"/>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962"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eastAsia="宋体"/>
                      <w:color w:val="auto"/>
                      <w:szCs w:val="21"/>
                      <w:lang w:val="en-US" w:eastAsia="zh-CN"/>
                    </w:rPr>
                  </w:pPr>
                  <w:r>
                    <w:rPr>
                      <w:rFonts w:hint="eastAsia"/>
                      <w:color w:val="auto"/>
                      <w:szCs w:val="21"/>
                      <w:lang w:val="en-US" w:eastAsia="zh-CN"/>
                    </w:rPr>
                    <w:t>9</w:t>
                  </w:r>
                </w:p>
              </w:tc>
              <w:tc>
                <w:tcPr>
                  <w:tcW w:w="2996"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Fonts w:hAnsi="宋体"/>
                      <w:color w:val="auto"/>
                      <w:szCs w:val="21"/>
                      <w:lang w:val="zh-TW" w:eastAsia="zh-TW"/>
                    </w:rPr>
                    <w:t>六价铬</w:t>
                  </w:r>
                </w:p>
              </w:tc>
              <w:tc>
                <w:tcPr>
                  <w:tcW w:w="333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color w:val="auto"/>
                      <w:szCs w:val="21"/>
                    </w:rPr>
                  </w:pPr>
                  <w:r>
                    <w:rPr>
                      <w:rStyle w:val="111"/>
                      <w:rFonts w:hint="eastAsia" w:ascii="Times New Roman" w:eastAsia="宋体" w:cs="Times New Roman"/>
                      <w:color w:val="auto"/>
                      <w:sz w:val="21"/>
                      <w:szCs w:val="21"/>
                    </w:rPr>
                    <w:t>0.01</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snapToGrid w:val="0"/>
                <w:color w:val="auto"/>
                <w:kern w:val="0"/>
                <w:sz w:val="24"/>
                <w:szCs w:val="24"/>
              </w:rPr>
            </w:pPr>
            <w:r>
              <w:rPr>
                <w:b/>
                <w:color w:val="auto"/>
                <w:sz w:val="24"/>
              </w:rPr>
              <w:t>4</w:t>
            </w:r>
            <w:r>
              <w:rPr>
                <w:rFonts w:hAnsi="宋体"/>
                <w:b/>
                <w:color w:val="auto"/>
                <w:sz w:val="24"/>
              </w:rPr>
              <w:t>、声环境：</w:t>
            </w:r>
            <w:r>
              <w:rPr>
                <w:rFonts w:hAnsi="宋体"/>
                <w:color w:val="auto"/>
                <w:sz w:val="24"/>
              </w:rPr>
              <w:t>本</w:t>
            </w:r>
            <w:r>
              <w:rPr>
                <w:rFonts w:hAnsi="宋体"/>
                <w:color w:val="auto"/>
                <w:sz w:val="24"/>
                <w:szCs w:val="24"/>
              </w:rPr>
              <w:t>项目东、西厂界距离</w:t>
            </w:r>
            <w:r>
              <w:rPr>
                <w:rFonts w:hint="eastAsia" w:hAnsi="宋体"/>
                <w:color w:val="auto"/>
                <w:sz w:val="24"/>
                <w:szCs w:val="24"/>
              </w:rPr>
              <w:t>国道106的35m范围内执行</w:t>
            </w:r>
            <w:r>
              <w:rPr>
                <w:rFonts w:hAnsi="宋体"/>
                <w:color w:val="auto"/>
                <w:sz w:val="24"/>
              </w:rPr>
              <w:t>《声环境质量标准》</w:t>
            </w:r>
            <w:r>
              <w:rPr>
                <w:color w:val="auto"/>
                <w:sz w:val="24"/>
              </w:rPr>
              <w:t>(GB3096-2008)</w:t>
            </w:r>
            <w:r>
              <w:rPr>
                <w:rFonts w:hint="eastAsia" w:hAnsi="宋体"/>
                <w:color w:val="auto"/>
                <w:sz w:val="24"/>
                <w:szCs w:val="24"/>
              </w:rPr>
              <w:t>4a 类标准，其余边界执行2类标准</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表2</w:t>
            </w:r>
            <w:r>
              <w:rPr>
                <w:rFonts w:hint="eastAsia" w:hAnsi="宋体"/>
                <w:b/>
                <w:bCs/>
                <w:color w:val="auto"/>
                <w:u w:val="single"/>
                <w:lang w:val="en-US" w:eastAsia="zh-CN"/>
              </w:rPr>
              <w:t xml:space="preserve">1 </w:t>
            </w:r>
            <w:r>
              <w:rPr>
                <w:rFonts w:hint="eastAsia" w:hAnsi="宋体"/>
                <w:b/>
                <w:bCs/>
                <w:color w:val="auto"/>
                <w:u w:val="single"/>
              </w:rPr>
              <w:t xml:space="preserve"> 声环境质量标准(GB3096-2008)  单位dB(A)</w:t>
            </w:r>
          </w:p>
          <w:tbl>
            <w:tblPr>
              <w:tblStyle w:val="30"/>
              <w:tblW w:w="8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4"/>
              <w:gridCol w:w="2763"/>
              <w:gridCol w:w="2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7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类别</w:t>
                  </w:r>
                </w:p>
              </w:tc>
              <w:tc>
                <w:tcPr>
                  <w:tcW w:w="2763" w:type="dxa"/>
                  <w:vAlign w:val="center"/>
                </w:tcPr>
                <w:p>
                  <w:pPr>
                    <w:pStyle w:val="15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昼间</w:t>
                  </w:r>
                </w:p>
              </w:tc>
              <w:tc>
                <w:tcPr>
                  <w:tcW w:w="276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7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2</w:t>
                  </w:r>
                  <w:r>
                    <w:rPr>
                      <w:rFonts w:hAnsi="宋体"/>
                      <w:color w:val="auto"/>
                      <w:szCs w:val="21"/>
                    </w:rPr>
                    <w:t>类</w:t>
                  </w:r>
                </w:p>
              </w:tc>
              <w:tc>
                <w:tcPr>
                  <w:tcW w:w="27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60</w:t>
                  </w:r>
                </w:p>
              </w:tc>
              <w:tc>
                <w:tcPr>
                  <w:tcW w:w="2761" w:type="dxa"/>
                  <w:vAlign w:val="center"/>
                </w:tcPr>
                <w:p>
                  <w:pPr>
                    <w:pStyle w:val="15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76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4a类</w:t>
                  </w:r>
                </w:p>
              </w:tc>
              <w:tc>
                <w:tcPr>
                  <w:tcW w:w="276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70</w:t>
                  </w:r>
                </w:p>
              </w:tc>
              <w:tc>
                <w:tcPr>
                  <w:tcW w:w="2761" w:type="dxa"/>
                  <w:vAlign w:val="center"/>
                </w:tcPr>
                <w:p>
                  <w:pPr>
                    <w:pStyle w:val="15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int="eastAsia"/>
                      <w:color w:val="auto"/>
                      <w:szCs w:val="21"/>
                    </w:rPr>
                    <w:t>55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105" w:rightChars="50" w:firstLine="0" w:firstLineChars="0"/>
              <w:textAlignment w:val="auto"/>
              <w:outlineLvl w:val="9"/>
              <w:rPr>
                <w:rFonts w:hAnsi="宋体"/>
                <w:b/>
                <w:color w:val="auto"/>
                <w:sz w:val="24"/>
                <w:szCs w:val="24"/>
              </w:rPr>
            </w:pPr>
            <w:r>
              <w:rPr>
                <w:b/>
                <w:color w:val="auto"/>
                <w:sz w:val="24"/>
                <w:szCs w:val="24"/>
              </w:rPr>
              <w:t>5</w:t>
            </w:r>
            <w:r>
              <w:rPr>
                <w:rFonts w:hAnsi="宋体"/>
                <w:b/>
                <w:color w:val="auto"/>
                <w:sz w:val="24"/>
                <w:szCs w:val="24"/>
              </w:rPr>
              <w:t>、土壤：</w:t>
            </w:r>
            <w:r>
              <w:rPr>
                <w:rFonts w:hint="eastAsia" w:hAnsi="宋体"/>
                <w:color w:val="auto"/>
                <w:sz w:val="24"/>
                <w:szCs w:val="24"/>
              </w:rPr>
              <w:t>六六六及滴滴涕参照美国EPA、展览会标准、国家土壤质量标准综合确定为（均为1mg/kg）</w:t>
            </w:r>
            <w:r>
              <w:rPr>
                <w:rFonts w:hint="eastAsia" w:hAnsi="宋体"/>
                <w:color w:val="auto"/>
                <w:sz w:val="24"/>
              </w:rPr>
              <w:t>，作为标准值进行筛选。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83" w:hRule="atLeast"/>
          <w:jc w:val="center"/>
        </w:trPr>
        <w:tc>
          <w:tcPr>
            <w:tcW w:w="782" w:type="dxa"/>
            <w:vAlign w:val="center"/>
          </w:tcPr>
          <w:p>
            <w:pPr>
              <w:spacing w:line="264" w:lineRule="auto"/>
              <w:ind w:right="105" w:rightChars="50"/>
              <w:jc w:val="center"/>
              <w:rPr>
                <w:color w:val="auto"/>
                <w:sz w:val="24"/>
              </w:rPr>
            </w:pPr>
            <w:r>
              <w:rPr>
                <w:rFonts w:hAnsi="宋体"/>
                <w:color w:val="auto"/>
                <w:sz w:val="24"/>
              </w:rPr>
              <w:t>污染物排放标准</w:t>
            </w:r>
          </w:p>
        </w:tc>
        <w:tc>
          <w:tcPr>
            <w:tcW w:w="8298" w:type="dxa"/>
          </w:tcPr>
          <w:p>
            <w:pPr>
              <w:pStyle w:val="5"/>
              <w:pageBreakBefore w:val="0"/>
              <w:widowControl w:val="0"/>
              <w:numPr>
                <w:ilvl w:val="0"/>
                <w:numId w:val="5"/>
              </w:numPr>
              <w:shd w:val="clear" w:color="auto"/>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hAnsi="宋体"/>
                <w:color w:val="auto"/>
                <w:sz w:val="24"/>
              </w:rPr>
            </w:pPr>
            <w:r>
              <w:rPr>
                <w:rFonts w:hAnsi="宋体"/>
                <w:b/>
                <w:snapToGrid w:val="0"/>
                <w:color w:val="auto"/>
                <w:kern w:val="0"/>
                <w:sz w:val="24"/>
              </w:rPr>
              <w:t>废水</w:t>
            </w:r>
            <w:r>
              <w:rPr>
                <w:rFonts w:hAnsi="宋体"/>
                <w:snapToGrid w:val="0"/>
                <w:color w:val="auto"/>
                <w:kern w:val="0"/>
                <w:sz w:val="24"/>
              </w:rPr>
              <w:t>：</w:t>
            </w:r>
            <w:r>
              <w:rPr>
                <w:rFonts w:hAnsi="宋体"/>
                <w:b w:val="0"/>
                <w:bCs w:val="0"/>
                <w:snapToGrid w:val="0"/>
                <w:color w:val="auto"/>
                <w:kern w:val="0"/>
                <w:sz w:val="24"/>
                <w:u w:val="single"/>
              </w:rPr>
              <w:t>项目</w:t>
            </w:r>
            <w:r>
              <w:rPr>
                <w:rFonts w:hAnsi="宋体"/>
                <w:b w:val="0"/>
                <w:bCs w:val="0"/>
                <w:color w:val="auto"/>
                <w:sz w:val="24"/>
                <w:u w:val="single"/>
              </w:rPr>
              <w:t>生活污水经隔油隔渣</w:t>
            </w:r>
            <w:r>
              <w:rPr>
                <w:b w:val="0"/>
                <w:bCs w:val="0"/>
                <w:color w:val="auto"/>
                <w:sz w:val="24"/>
                <w:u w:val="single"/>
              </w:rPr>
              <w:t>+</w:t>
            </w:r>
            <w:r>
              <w:rPr>
                <w:rFonts w:hAnsi="宋体"/>
                <w:b w:val="0"/>
                <w:bCs w:val="0"/>
                <w:color w:val="auto"/>
                <w:sz w:val="24"/>
                <w:u w:val="single"/>
              </w:rPr>
              <w:t>化粪池处理后由周围农户外运作农肥，不外排。项目施工废水</w:t>
            </w:r>
            <w:r>
              <w:rPr>
                <w:rFonts w:hint="eastAsia" w:hAnsi="宋体"/>
                <w:b w:val="0"/>
                <w:bCs w:val="0"/>
                <w:color w:val="auto"/>
                <w:sz w:val="24"/>
                <w:u w:val="single"/>
                <w:lang w:eastAsia="zh-CN"/>
              </w:rPr>
              <w:t>经收集后采用槽罐车运输至有处理能力的污水处理厂或企业污水处理装置处理，不排入外环境。</w:t>
            </w:r>
          </w:p>
          <w:p>
            <w:pPr>
              <w:pStyle w:val="5"/>
              <w:pageBreakBefore w:val="0"/>
              <w:widowControl w:val="0"/>
              <w:numPr>
                <w:ilvl w:val="0"/>
                <w:numId w:val="0"/>
              </w:numPr>
              <w:shd w:val="clear" w:color="auto"/>
              <w:kinsoku/>
              <w:wordWrap/>
              <w:overflowPunct/>
              <w:topLinePunct w:val="0"/>
              <w:autoSpaceDE/>
              <w:autoSpaceDN/>
              <w:bidi w:val="0"/>
              <w:adjustRightInd/>
              <w:snapToGrid/>
              <w:spacing w:before="0" w:after="0" w:line="360" w:lineRule="auto"/>
              <w:ind w:leftChars="0" w:right="0" w:rightChars="0"/>
              <w:jc w:val="both"/>
              <w:textAlignment w:val="auto"/>
              <w:rPr>
                <w:rFonts w:ascii="Arial" w:hAnsi="Arial" w:cs="Arial"/>
                <w:b w:val="0"/>
                <w:bCs w:val="0"/>
                <w:color w:val="auto"/>
                <w:kern w:val="0"/>
                <w:sz w:val="27"/>
                <w:szCs w:val="27"/>
              </w:rPr>
            </w:pPr>
            <w:r>
              <w:rPr>
                <w:snapToGrid w:val="0"/>
                <w:color w:val="auto"/>
                <w:kern w:val="0"/>
                <w:sz w:val="24"/>
              </w:rPr>
              <w:t>2</w:t>
            </w:r>
            <w:r>
              <w:rPr>
                <w:rFonts w:hAnsi="宋体"/>
                <w:snapToGrid w:val="0"/>
                <w:color w:val="auto"/>
                <w:kern w:val="0"/>
                <w:sz w:val="24"/>
              </w:rPr>
              <w:t>、废气：</w:t>
            </w:r>
            <w:r>
              <w:rPr>
                <w:rFonts w:hAnsi="宋体"/>
                <w:b w:val="0"/>
                <w:bCs w:val="0"/>
                <w:snapToGrid w:val="0"/>
                <w:color w:val="auto"/>
                <w:kern w:val="0"/>
                <w:sz w:val="24"/>
                <w:szCs w:val="20"/>
              </w:rPr>
              <w:t>施工扬尘执行《大气污染物综合排放标准》(GB16297-1996)表2</w:t>
            </w:r>
            <w:r>
              <w:rPr>
                <w:rFonts w:hint="eastAsia" w:hAnsi="宋体"/>
                <w:b w:val="0"/>
                <w:bCs w:val="0"/>
                <w:snapToGrid w:val="0"/>
                <w:color w:val="auto"/>
                <w:kern w:val="0"/>
                <w:sz w:val="24"/>
                <w:szCs w:val="20"/>
              </w:rPr>
              <w:t>有组织和</w:t>
            </w:r>
            <w:r>
              <w:rPr>
                <w:rFonts w:hAnsi="宋体"/>
                <w:b w:val="0"/>
                <w:bCs w:val="0"/>
                <w:snapToGrid w:val="0"/>
                <w:color w:val="auto"/>
                <w:kern w:val="0"/>
                <w:sz w:val="24"/>
                <w:szCs w:val="20"/>
              </w:rPr>
              <w:t>无组织标准</w:t>
            </w:r>
            <w:r>
              <w:rPr>
                <w:rFonts w:hint="eastAsia" w:hAnsi="宋体"/>
                <w:b w:val="0"/>
                <w:bCs w:val="0"/>
                <w:snapToGrid w:val="0"/>
                <w:color w:val="auto"/>
                <w:kern w:val="0"/>
                <w:sz w:val="24"/>
                <w:szCs w:val="20"/>
              </w:rPr>
              <w:t>限</w:t>
            </w:r>
            <w:r>
              <w:rPr>
                <w:rFonts w:hAnsi="宋体"/>
                <w:b w:val="0"/>
                <w:bCs w:val="0"/>
                <w:snapToGrid w:val="0"/>
                <w:color w:val="auto"/>
                <w:kern w:val="0"/>
                <w:sz w:val="24"/>
                <w:szCs w:val="20"/>
              </w:rPr>
              <w:t>值；</w:t>
            </w:r>
            <w:r>
              <w:rPr>
                <w:color w:val="auto"/>
              </w:rPr>
              <w:fldChar w:fldCharType="begin"/>
            </w:r>
            <w:r>
              <w:rPr>
                <w:color w:val="auto"/>
              </w:rPr>
              <w:instrText xml:space="preserve"> HYPERLINK "https://www.baidu.com/link?url=fqyCLL6en6lZGXqY8VyGy0pfQN88VjPnhx-yCGQwWnDsrGnTVbTZsVSutPZUEitw5wCWLfxFYMZXrkg1f9V1Z7aF5rYSxVIR8-5Y6ZmWTwi&amp;wd=&amp;eqid=ed54434d0000cb8a0000000259ef525f" \t "_blank" </w:instrText>
            </w:r>
            <w:r>
              <w:rPr>
                <w:color w:val="auto"/>
              </w:rPr>
              <w:fldChar w:fldCharType="separate"/>
            </w:r>
            <w:r>
              <w:rPr>
                <w:rFonts w:hint="eastAsia" w:hAnsi="宋体"/>
                <w:b w:val="0"/>
                <w:bCs w:val="0"/>
                <w:snapToGrid w:val="0"/>
                <w:color w:val="auto"/>
                <w:kern w:val="0"/>
                <w:sz w:val="24"/>
                <w:szCs w:val="20"/>
              </w:rPr>
              <w:t>TVOC参照执行天津市《</w:t>
            </w:r>
            <w:r>
              <w:rPr>
                <w:rFonts w:hAnsi="宋体"/>
                <w:b w:val="0"/>
                <w:bCs w:val="0"/>
                <w:snapToGrid w:val="0"/>
                <w:color w:val="auto"/>
                <w:kern w:val="0"/>
                <w:sz w:val="24"/>
                <w:szCs w:val="20"/>
              </w:rPr>
              <w:t>工业企业挥发性有机物排放控制标准</w:t>
            </w:r>
            <w:r>
              <w:rPr>
                <w:rFonts w:hint="eastAsia" w:hAnsi="宋体"/>
                <w:b w:val="0"/>
                <w:bCs w:val="0"/>
                <w:snapToGrid w:val="0"/>
                <w:color w:val="auto"/>
                <w:kern w:val="0"/>
                <w:sz w:val="24"/>
                <w:szCs w:val="20"/>
              </w:rPr>
              <w:t>》</w:t>
            </w:r>
            <w:r>
              <w:rPr>
                <w:rFonts w:hint="eastAsia" w:hAnsi="宋体"/>
                <w:b w:val="0"/>
                <w:bCs w:val="0"/>
                <w:snapToGrid w:val="0"/>
                <w:color w:val="auto"/>
                <w:kern w:val="0"/>
                <w:sz w:val="24"/>
                <w:szCs w:val="20"/>
              </w:rPr>
              <w:fldChar w:fldCharType="end"/>
            </w:r>
            <w:r>
              <w:rPr>
                <w:rFonts w:hint="eastAsia" w:hAnsi="宋体"/>
                <w:b w:val="0"/>
                <w:bCs w:val="0"/>
                <w:snapToGrid w:val="0"/>
                <w:color w:val="auto"/>
                <w:kern w:val="0"/>
                <w:sz w:val="24"/>
                <w:szCs w:val="20"/>
              </w:rPr>
              <w:t>（</w:t>
            </w:r>
            <w:r>
              <w:rPr>
                <w:rFonts w:hAnsi="宋体"/>
                <w:b w:val="0"/>
                <w:bCs w:val="0"/>
                <w:snapToGrid w:val="0"/>
                <w:color w:val="auto"/>
                <w:kern w:val="0"/>
                <w:sz w:val="24"/>
                <w:szCs w:val="20"/>
              </w:rPr>
              <w:t>DB12/524-2014</w:t>
            </w:r>
            <w:r>
              <w:rPr>
                <w:rFonts w:hint="eastAsia" w:hAnsi="宋体"/>
                <w:b w:val="0"/>
                <w:bCs w:val="0"/>
                <w:snapToGrid w:val="0"/>
                <w:color w:val="auto"/>
                <w:kern w:val="0"/>
                <w:sz w:val="24"/>
                <w:szCs w:val="20"/>
              </w:rPr>
              <w:t>）</w:t>
            </w:r>
            <w:r>
              <w:rPr>
                <w:rFonts w:hint="eastAsia" w:hAnsi="宋体"/>
                <w:b w:val="0"/>
                <w:bCs w:val="0"/>
                <w:snapToGrid w:val="0"/>
                <w:color w:val="auto"/>
                <w:kern w:val="0"/>
                <w:sz w:val="24"/>
                <w:szCs w:val="20"/>
                <w:lang w:eastAsia="zh-CN"/>
              </w:rPr>
              <w:t>。</w:t>
            </w:r>
            <w:r>
              <w:rPr>
                <w:rFonts w:hint="eastAsia" w:hAnsi="宋体"/>
                <w:b w:val="0"/>
                <w:bCs w:val="0"/>
                <w:snapToGrid w:val="0"/>
                <w:color w:val="0000FF"/>
                <w:kern w:val="0"/>
                <w:sz w:val="24"/>
                <w:szCs w:val="20"/>
                <w:u w:val="single"/>
                <w:lang w:eastAsia="zh-CN"/>
              </w:rPr>
              <w:t>根据</w:t>
            </w:r>
            <w:r>
              <w:rPr>
                <w:rFonts w:hAnsi="宋体"/>
                <w:b w:val="0"/>
                <w:bCs w:val="0"/>
                <w:snapToGrid w:val="0"/>
                <w:color w:val="0000FF"/>
                <w:kern w:val="0"/>
                <w:sz w:val="24"/>
                <w:szCs w:val="20"/>
                <w:u w:val="single"/>
              </w:rPr>
              <w:t>《大气污染物综合排放标准》(GB16297-1996)</w:t>
            </w:r>
            <w:r>
              <w:rPr>
                <w:rFonts w:hint="eastAsia" w:hAnsi="宋体"/>
                <w:b w:val="0"/>
                <w:bCs w:val="0"/>
                <w:snapToGrid w:val="0"/>
                <w:color w:val="0000FF"/>
                <w:kern w:val="0"/>
                <w:sz w:val="24"/>
                <w:szCs w:val="20"/>
                <w:u w:val="single"/>
                <w:lang w:eastAsia="zh-CN"/>
              </w:rPr>
              <w:t>和</w:t>
            </w:r>
            <w:r>
              <w:rPr>
                <w:color w:val="0000FF"/>
                <w:u w:val="single"/>
              </w:rPr>
              <w:fldChar w:fldCharType="begin"/>
            </w:r>
            <w:r>
              <w:rPr>
                <w:color w:val="0000FF"/>
                <w:u w:val="single"/>
              </w:rPr>
              <w:instrText xml:space="preserve"> HYPERLINK "https://www.baidu.com/link?url=fqyCLL6en6lZGXqY8VyGy0pfQN88VjPnhx-yCGQwWnDsrGnTVbTZsVSutPZUEitw5wCWLfxFYMZXrkg1f9V1Z7aF5rYSxVIR8-5Y6ZmWTwi&amp;wd=&amp;eqid=ed54434d0000cb8a0000000259ef525f" \t "_blank" </w:instrText>
            </w:r>
            <w:r>
              <w:rPr>
                <w:color w:val="0000FF"/>
                <w:u w:val="single"/>
              </w:rPr>
              <w:fldChar w:fldCharType="separate"/>
            </w:r>
            <w:r>
              <w:rPr>
                <w:rFonts w:hint="eastAsia" w:hAnsi="宋体"/>
                <w:b w:val="0"/>
                <w:bCs w:val="0"/>
                <w:snapToGrid w:val="0"/>
                <w:color w:val="0000FF"/>
                <w:kern w:val="0"/>
                <w:sz w:val="24"/>
                <w:szCs w:val="20"/>
                <w:u w:val="single"/>
              </w:rPr>
              <w:t>《</w:t>
            </w:r>
            <w:r>
              <w:rPr>
                <w:rFonts w:hAnsi="宋体"/>
                <w:b w:val="0"/>
                <w:bCs w:val="0"/>
                <w:snapToGrid w:val="0"/>
                <w:color w:val="0000FF"/>
                <w:kern w:val="0"/>
                <w:sz w:val="24"/>
                <w:szCs w:val="20"/>
                <w:u w:val="single"/>
              </w:rPr>
              <w:t>工业企业挥发性有机物排放控制标准</w:t>
            </w:r>
            <w:r>
              <w:rPr>
                <w:rFonts w:hint="eastAsia" w:hAnsi="宋体"/>
                <w:b w:val="0"/>
                <w:bCs w:val="0"/>
                <w:snapToGrid w:val="0"/>
                <w:color w:val="0000FF"/>
                <w:kern w:val="0"/>
                <w:sz w:val="24"/>
                <w:szCs w:val="20"/>
                <w:u w:val="single"/>
              </w:rPr>
              <w:t>》</w:t>
            </w:r>
            <w:r>
              <w:rPr>
                <w:rFonts w:hint="eastAsia" w:hAnsi="宋体"/>
                <w:b w:val="0"/>
                <w:bCs w:val="0"/>
                <w:snapToGrid w:val="0"/>
                <w:color w:val="0000FF"/>
                <w:kern w:val="0"/>
                <w:sz w:val="24"/>
                <w:szCs w:val="20"/>
                <w:u w:val="single"/>
              </w:rPr>
              <w:fldChar w:fldCharType="end"/>
            </w:r>
            <w:r>
              <w:rPr>
                <w:rFonts w:hint="eastAsia" w:hAnsi="宋体"/>
                <w:b w:val="0"/>
                <w:bCs w:val="0"/>
                <w:snapToGrid w:val="0"/>
                <w:color w:val="0000FF"/>
                <w:kern w:val="0"/>
                <w:sz w:val="24"/>
                <w:szCs w:val="20"/>
                <w:u w:val="single"/>
              </w:rPr>
              <w:t>（</w:t>
            </w:r>
            <w:r>
              <w:rPr>
                <w:rFonts w:hAnsi="宋体"/>
                <w:b w:val="0"/>
                <w:bCs w:val="0"/>
                <w:snapToGrid w:val="0"/>
                <w:color w:val="0000FF"/>
                <w:kern w:val="0"/>
                <w:sz w:val="24"/>
                <w:szCs w:val="20"/>
                <w:u w:val="single"/>
              </w:rPr>
              <w:t>DB12/524-2014</w:t>
            </w:r>
            <w:r>
              <w:rPr>
                <w:rFonts w:hint="eastAsia" w:hAnsi="宋体"/>
                <w:b w:val="0"/>
                <w:bCs w:val="0"/>
                <w:snapToGrid w:val="0"/>
                <w:color w:val="0000FF"/>
                <w:kern w:val="0"/>
                <w:sz w:val="24"/>
                <w:szCs w:val="20"/>
                <w:u w:val="single"/>
              </w:rPr>
              <w:t>）</w:t>
            </w:r>
            <w:r>
              <w:rPr>
                <w:rFonts w:hint="eastAsia" w:hAnsi="宋体"/>
                <w:b w:val="0"/>
                <w:bCs w:val="0"/>
                <w:snapToGrid w:val="0"/>
                <w:color w:val="0000FF"/>
                <w:kern w:val="0"/>
                <w:sz w:val="24"/>
                <w:szCs w:val="20"/>
                <w:u w:val="single"/>
                <w:lang w:eastAsia="zh-CN"/>
              </w:rPr>
              <w:t>可知，排气筒应高出</w:t>
            </w:r>
            <w:r>
              <w:rPr>
                <w:rFonts w:hint="eastAsia" w:hAnsi="宋体"/>
                <w:b w:val="0"/>
                <w:bCs w:val="0"/>
                <w:snapToGrid w:val="0"/>
                <w:color w:val="0000FF"/>
                <w:kern w:val="0"/>
                <w:sz w:val="24"/>
                <w:szCs w:val="20"/>
                <w:u w:val="single"/>
                <w:lang w:val="en-US" w:eastAsia="zh-CN"/>
              </w:rPr>
              <w:t>200m半径范围内建筑5m以上，不能达到则排放速率标准值严格50%执行，则本项目废气排放标准</w:t>
            </w:r>
            <w:r>
              <w:rPr>
                <w:rFonts w:hAnsi="宋体"/>
                <w:b w:val="0"/>
                <w:bCs w:val="0"/>
                <w:snapToGrid w:val="0"/>
                <w:color w:val="0000FF"/>
                <w:kern w:val="0"/>
                <w:sz w:val="24"/>
                <w:szCs w:val="20"/>
                <w:u w:val="single"/>
              </w:rPr>
              <w:t>详见下表：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表22  大气污染物综合排放标准限值</w:t>
            </w:r>
          </w:p>
          <w:tbl>
            <w:tblPr>
              <w:tblStyle w:val="30"/>
              <w:tblW w:w="8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593"/>
              <w:gridCol w:w="3474"/>
              <w:gridCol w:w="32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593" w:type="dxa"/>
                  <w:vMerge w:val="restart"/>
                  <w:vAlign w:val="center"/>
                </w:tcPr>
                <w:p>
                  <w:pPr>
                    <w:pStyle w:val="16"/>
                    <w:jc w:val="center"/>
                    <w:rPr>
                      <w:rStyle w:val="26"/>
                      <w:rFonts w:ascii="Times New Roman" w:hAnsi="Times New Roman"/>
                      <w:b w:val="0"/>
                      <w:color w:val="auto"/>
                      <w:szCs w:val="21"/>
                    </w:rPr>
                  </w:pPr>
                  <w:r>
                    <w:rPr>
                      <w:rStyle w:val="26"/>
                      <w:rFonts w:ascii="Times New Roman" w:hAnsi="宋体"/>
                      <w:b w:val="0"/>
                      <w:color w:val="auto"/>
                      <w:szCs w:val="21"/>
                    </w:rPr>
                    <w:t>污染物</w:t>
                  </w:r>
                </w:p>
              </w:tc>
              <w:tc>
                <w:tcPr>
                  <w:tcW w:w="6695" w:type="dxa"/>
                  <w:gridSpan w:val="2"/>
                  <w:vAlign w:val="center"/>
                </w:tcPr>
                <w:p>
                  <w:pPr>
                    <w:pStyle w:val="16"/>
                    <w:jc w:val="center"/>
                    <w:rPr>
                      <w:rStyle w:val="26"/>
                      <w:rFonts w:ascii="Times New Roman" w:hAnsi="Times New Roman"/>
                      <w:b w:val="0"/>
                      <w:color w:val="auto"/>
                      <w:szCs w:val="21"/>
                    </w:rPr>
                  </w:pPr>
                  <w:r>
                    <w:rPr>
                      <w:rStyle w:val="26"/>
                      <w:rFonts w:ascii="Times New Roman" w:hAnsi="宋体"/>
                      <w:b w:val="0"/>
                      <w:color w:val="auto"/>
                      <w:szCs w:val="21"/>
                    </w:rPr>
                    <w:t>无组织排放监控浓度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593" w:type="dxa"/>
                  <w:vMerge w:val="continue"/>
                  <w:vAlign w:val="center"/>
                </w:tcPr>
                <w:p>
                  <w:pPr>
                    <w:pStyle w:val="16"/>
                    <w:jc w:val="center"/>
                    <w:rPr>
                      <w:rStyle w:val="26"/>
                      <w:rFonts w:ascii="Times New Roman" w:hAnsi="Times New Roman"/>
                      <w:b w:val="0"/>
                      <w:color w:val="auto"/>
                      <w:szCs w:val="21"/>
                    </w:rPr>
                  </w:pPr>
                </w:p>
              </w:tc>
              <w:tc>
                <w:tcPr>
                  <w:tcW w:w="3474" w:type="dxa"/>
                  <w:vAlign w:val="center"/>
                </w:tcPr>
                <w:p>
                  <w:pPr>
                    <w:pStyle w:val="16"/>
                    <w:jc w:val="center"/>
                    <w:rPr>
                      <w:rStyle w:val="26"/>
                      <w:rFonts w:ascii="Times New Roman" w:hAnsi="Times New Roman"/>
                      <w:b w:val="0"/>
                      <w:color w:val="auto"/>
                      <w:szCs w:val="21"/>
                    </w:rPr>
                  </w:pPr>
                  <w:r>
                    <w:rPr>
                      <w:rStyle w:val="26"/>
                      <w:rFonts w:ascii="Times New Roman" w:hAnsi="宋体"/>
                      <w:b w:val="0"/>
                      <w:color w:val="auto"/>
                      <w:szCs w:val="21"/>
                    </w:rPr>
                    <w:t>监控点</w:t>
                  </w:r>
                </w:p>
              </w:tc>
              <w:tc>
                <w:tcPr>
                  <w:tcW w:w="3221" w:type="dxa"/>
                  <w:vAlign w:val="center"/>
                </w:tcPr>
                <w:p>
                  <w:pPr>
                    <w:pStyle w:val="16"/>
                    <w:jc w:val="center"/>
                    <w:rPr>
                      <w:rStyle w:val="26"/>
                      <w:rFonts w:ascii="Times New Roman" w:hAnsi="Times New Roman"/>
                      <w:b w:val="0"/>
                      <w:color w:val="auto"/>
                      <w:szCs w:val="21"/>
                    </w:rPr>
                  </w:pPr>
                  <w:r>
                    <w:rPr>
                      <w:rStyle w:val="26"/>
                      <w:rFonts w:ascii="Times New Roman" w:hAnsi="宋体"/>
                      <w:b w:val="0"/>
                      <w:color w:val="auto"/>
                      <w:szCs w:val="21"/>
                    </w:rPr>
                    <w:t>标准值</w:t>
                  </w:r>
                  <w:r>
                    <w:rPr>
                      <w:rStyle w:val="26"/>
                      <w:rFonts w:ascii="Times New Roman" w:hAnsi="Times New Roman"/>
                      <w:b w:val="0"/>
                      <w:color w:val="auto"/>
                      <w:szCs w:val="21"/>
                    </w:rPr>
                    <w:t>(mg/m</w:t>
                  </w:r>
                  <w:r>
                    <w:rPr>
                      <w:rStyle w:val="26"/>
                      <w:rFonts w:ascii="Times New Roman" w:hAnsi="Times New Roman"/>
                      <w:b w:val="0"/>
                      <w:color w:val="auto"/>
                      <w:szCs w:val="21"/>
                      <w:vertAlign w:val="superscript"/>
                    </w:rPr>
                    <w:t>3</w:t>
                  </w:r>
                  <w:r>
                    <w:rPr>
                      <w:rStyle w:val="26"/>
                      <w:rFonts w:ascii="Times New Roman" w:hAnsi="Times New Roman"/>
                      <w:b w:val="0"/>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593" w:type="dxa"/>
                  <w:vAlign w:val="center"/>
                </w:tcPr>
                <w:p>
                  <w:pPr>
                    <w:pStyle w:val="16"/>
                    <w:jc w:val="center"/>
                    <w:rPr>
                      <w:rStyle w:val="26"/>
                      <w:rFonts w:ascii="Times New Roman" w:hAnsi="Times New Roman"/>
                      <w:b w:val="0"/>
                      <w:color w:val="auto"/>
                      <w:szCs w:val="21"/>
                    </w:rPr>
                  </w:pPr>
                  <w:r>
                    <w:rPr>
                      <w:rStyle w:val="26"/>
                      <w:rFonts w:ascii="Times New Roman" w:hAnsi="宋体"/>
                      <w:b w:val="0"/>
                      <w:color w:val="auto"/>
                      <w:szCs w:val="21"/>
                    </w:rPr>
                    <w:t>颗粒物</w:t>
                  </w:r>
                </w:p>
              </w:tc>
              <w:tc>
                <w:tcPr>
                  <w:tcW w:w="3474" w:type="dxa"/>
                  <w:vAlign w:val="center"/>
                </w:tcPr>
                <w:p>
                  <w:pPr>
                    <w:pStyle w:val="16"/>
                    <w:jc w:val="center"/>
                    <w:rPr>
                      <w:rStyle w:val="26"/>
                      <w:rFonts w:ascii="Times New Roman" w:hAnsi="Times New Roman"/>
                      <w:b w:val="0"/>
                      <w:color w:val="auto"/>
                      <w:szCs w:val="21"/>
                    </w:rPr>
                  </w:pPr>
                  <w:r>
                    <w:rPr>
                      <w:rStyle w:val="26"/>
                      <w:rFonts w:ascii="Times New Roman" w:hAnsi="宋体"/>
                      <w:b w:val="0"/>
                      <w:color w:val="auto"/>
                      <w:szCs w:val="21"/>
                    </w:rPr>
                    <w:t>周界外浓度最高点</w:t>
                  </w:r>
                </w:p>
              </w:tc>
              <w:tc>
                <w:tcPr>
                  <w:tcW w:w="3221" w:type="dxa"/>
                  <w:vAlign w:val="center"/>
                </w:tcPr>
                <w:p>
                  <w:pPr>
                    <w:pStyle w:val="16"/>
                    <w:jc w:val="center"/>
                    <w:rPr>
                      <w:rStyle w:val="26"/>
                      <w:rFonts w:ascii="Times New Roman" w:hAnsi="Times New Roman"/>
                      <w:b w:val="0"/>
                      <w:color w:val="auto"/>
                      <w:szCs w:val="21"/>
                    </w:rPr>
                  </w:pPr>
                  <w:r>
                    <w:rPr>
                      <w:rStyle w:val="26"/>
                      <w:rFonts w:ascii="Times New Roman" w:hAnsi="Times New Roman"/>
                      <w:b w:val="0"/>
                      <w:color w:val="auto"/>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593" w:type="dxa"/>
                  <w:vAlign w:val="center"/>
                </w:tcPr>
                <w:p>
                  <w:pPr>
                    <w:pStyle w:val="16"/>
                    <w:jc w:val="center"/>
                    <w:rPr>
                      <w:rStyle w:val="26"/>
                      <w:rFonts w:ascii="Times New Roman" w:hAnsi="宋体"/>
                      <w:b w:val="0"/>
                      <w:color w:val="auto"/>
                      <w:szCs w:val="21"/>
                    </w:rPr>
                  </w:pPr>
                  <w:r>
                    <w:rPr>
                      <w:rStyle w:val="26"/>
                      <w:rFonts w:hint="eastAsia" w:ascii="Times New Roman" w:hAnsi="宋体"/>
                      <w:b w:val="0"/>
                      <w:color w:val="auto"/>
                      <w:szCs w:val="21"/>
                    </w:rPr>
                    <w:t>VOCs</w:t>
                  </w:r>
                </w:p>
              </w:tc>
              <w:tc>
                <w:tcPr>
                  <w:tcW w:w="3474" w:type="dxa"/>
                  <w:vAlign w:val="center"/>
                </w:tcPr>
                <w:p>
                  <w:pPr>
                    <w:pStyle w:val="16"/>
                    <w:jc w:val="center"/>
                    <w:rPr>
                      <w:rStyle w:val="26"/>
                      <w:rFonts w:ascii="Times New Roman" w:hAnsi="宋体"/>
                      <w:b w:val="0"/>
                      <w:color w:val="auto"/>
                      <w:szCs w:val="21"/>
                    </w:rPr>
                  </w:pPr>
                  <w:r>
                    <w:rPr>
                      <w:rStyle w:val="26"/>
                      <w:rFonts w:hint="eastAsia" w:ascii="Times New Roman" w:hAnsi="宋体"/>
                      <w:b w:val="0"/>
                      <w:color w:val="auto"/>
                      <w:szCs w:val="21"/>
                    </w:rPr>
                    <w:t>厂界控制点</w:t>
                  </w:r>
                </w:p>
              </w:tc>
              <w:tc>
                <w:tcPr>
                  <w:tcW w:w="3221" w:type="dxa"/>
                  <w:vAlign w:val="center"/>
                </w:tcPr>
                <w:p>
                  <w:pPr>
                    <w:pStyle w:val="16"/>
                    <w:jc w:val="center"/>
                    <w:rPr>
                      <w:rStyle w:val="26"/>
                      <w:rFonts w:ascii="Times New Roman" w:hAnsi="Times New Roman"/>
                      <w:b w:val="0"/>
                      <w:color w:val="auto"/>
                      <w:szCs w:val="21"/>
                    </w:rPr>
                  </w:pPr>
                  <w:r>
                    <w:rPr>
                      <w:rStyle w:val="26"/>
                      <w:rFonts w:hint="eastAsia" w:ascii="Times New Roman" w:hAnsi="Times New Roman"/>
                      <w:b w:val="0"/>
                      <w:color w:val="auto"/>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593" w:type="dxa"/>
                  <w:vMerge w:val="restart"/>
                  <w:vAlign w:val="center"/>
                </w:tcPr>
                <w:p>
                  <w:pPr>
                    <w:pStyle w:val="16"/>
                    <w:jc w:val="center"/>
                    <w:rPr>
                      <w:rStyle w:val="26"/>
                      <w:rFonts w:ascii="Times New Roman" w:hAnsi="宋体"/>
                      <w:b w:val="0"/>
                      <w:color w:val="auto"/>
                      <w:szCs w:val="21"/>
                    </w:rPr>
                  </w:pPr>
                  <w:r>
                    <w:rPr>
                      <w:rStyle w:val="26"/>
                      <w:rFonts w:ascii="Times New Roman" w:hAnsi="宋体"/>
                      <w:b w:val="0"/>
                      <w:color w:val="auto"/>
                      <w:szCs w:val="21"/>
                    </w:rPr>
                    <w:t>污染物</w:t>
                  </w:r>
                </w:p>
              </w:tc>
              <w:tc>
                <w:tcPr>
                  <w:tcW w:w="6695" w:type="dxa"/>
                  <w:gridSpan w:val="2"/>
                  <w:vAlign w:val="center"/>
                </w:tcPr>
                <w:p>
                  <w:pPr>
                    <w:pStyle w:val="16"/>
                    <w:jc w:val="center"/>
                    <w:rPr>
                      <w:rStyle w:val="26"/>
                      <w:rFonts w:ascii="Times New Roman" w:hAnsi="Times New Roman"/>
                      <w:b w:val="0"/>
                      <w:color w:val="auto"/>
                      <w:szCs w:val="21"/>
                    </w:rPr>
                  </w:pPr>
                  <w:r>
                    <w:rPr>
                      <w:rStyle w:val="26"/>
                      <w:rFonts w:hint="eastAsia" w:ascii="Times New Roman" w:hAnsi="Times New Roman"/>
                      <w:b w:val="0"/>
                      <w:color w:val="auto"/>
                      <w:szCs w:val="21"/>
                    </w:rPr>
                    <w:t>有组织排放监控浓度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trHeight w:val="23" w:hRule="atLeast"/>
                <w:jc w:val="center"/>
              </w:trPr>
              <w:tc>
                <w:tcPr>
                  <w:tcW w:w="1593" w:type="dxa"/>
                  <w:vMerge w:val="continue"/>
                  <w:vAlign w:val="center"/>
                </w:tcPr>
                <w:p>
                  <w:pPr>
                    <w:pStyle w:val="16"/>
                    <w:jc w:val="center"/>
                    <w:rPr>
                      <w:rStyle w:val="26"/>
                      <w:rFonts w:ascii="Times New Roman" w:hAnsi="Times New Roman"/>
                      <w:b w:val="0"/>
                      <w:color w:val="auto"/>
                      <w:szCs w:val="21"/>
                    </w:rPr>
                  </w:pPr>
                </w:p>
              </w:tc>
              <w:tc>
                <w:tcPr>
                  <w:tcW w:w="3474" w:type="dxa"/>
                  <w:vAlign w:val="center"/>
                </w:tcPr>
                <w:p>
                  <w:pPr>
                    <w:pStyle w:val="16"/>
                    <w:jc w:val="center"/>
                    <w:rPr>
                      <w:rStyle w:val="26"/>
                      <w:rFonts w:ascii="Times New Roman" w:hAnsi="宋体"/>
                      <w:b w:val="0"/>
                      <w:color w:val="auto"/>
                      <w:szCs w:val="21"/>
                    </w:rPr>
                  </w:pPr>
                  <w:r>
                    <w:rPr>
                      <w:rStyle w:val="26"/>
                      <w:rFonts w:hint="eastAsia" w:ascii="Times New Roman" w:hAnsi="宋体"/>
                      <w:b w:val="0"/>
                      <w:color w:val="auto"/>
                      <w:szCs w:val="21"/>
                    </w:rPr>
                    <w:t>速率（kg/h）</w:t>
                  </w:r>
                </w:p>
              </w:tc>
              <w:tc>
                <w:tcPr>
                  <w:tcW w:w="3221" w:type="dxa"/>
                  <w:vAlign w:val="center"/>
                </w:tcPr>
                <w:p>
                  <w:pPr>
                    <w:pStyle w:val="16"/>
                    <w:jc w:val="center"/>
                    <w:rPr>
                      <w:rStyle w:val="26"/>
                      <w:rFonts w:ascii="Times New Roman" w:hAnsi="Times New Roman"/>
                      <w:b w:val="0"/>
                      <w:color w:val="auto"/>
                      <w:szCs w:val="21"/>
                    </w:rPr>
                  </w:pPr>
                  <w:r>
                    <w:rPr>
                      <w:rStyle w:val="26"/>
                      <w:rFonts w:ascii="Times New Roman" w:hAnsi="宋体"/>
                      <w:b w:val="0"/>
                      <w:color w:val="auto"/>
                      <w:szCs w:val="21"/>
                    </w:rPr>
                    <w:t>标准值</w:t>
                  </w:r>
                  <w:r>
                    <w:rPr>
                      <w:rStyle w:val="26"/>
                      <w:rFonts w:ascii="Times New Roman" w:hAnsi="Times New Roman"/>
                      <w:b w:val="0"/>
                      <w:color w:val="auto"/>
                      <w:szCs w:val="21"/>
                    </w:rPr>
                    <w:t>(mg/m</w:t>
                  </w:r>
                  <w:r>
                    <w:rPr>
                      <w:rStyle w:val="26"/>
                      <w:rFonts w:ascii="Times New Roman" w:hAnsi="Times New Roman"/>
                      <w:b w:val="0"/>
                      <w:color w:val="auto"/>
                      <w:szCs w:val="21"/>
                      <w:vertAlign w:val="superscript"/>
                    </w:rPr>
                    <w:t>3</w:t>
                  </w:r>
                  <w:r>
                    <w:rPr>
                      <w:rStyle w:val="26"/>
                      <w:rFonts w:ascii="Times New Roman" w:hAnsi="Times New Roman"/>
                      <w:b w:val="0"/>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80" w:hRule="atLeast"/>
                <w:jc w:val="center"/>
              </w:trPr>
              <w:tc>
                <w:tcPr>
                  <w:tcW w:w="1593" w:type="dxa"/>
                  <w:vAlign w:val="center"/>
                </w:tcPr>
                <w:p>
                  <w:pPr>
                    <w:pStyle w:val="16"/>
                    <w:jc w:val="center"/>
                    <w:rPr>
                      <w:rStyle w:val="26"/>
                      <w:rFonts w:ascii="Times New Roman" w:hAnsi="宋体"/>
                      <w:b w:val="0"/>
                      <w:color w:val="auto"/>
                      <w:szCs w:val="21"/>
                    </w:rPr>
                  </w:pPr>
                  <w:r>
                    <w:rPr>
                      <w:rStyle w:val="26"/>
                      <w:rFonts w:ascii="Times New Roman" w:hAnsi="宋体"/>
                      <w:b w:val="0"/>
                      <w:color w:val="auto"/>
                      <w:szCs w:val="21"/>
                    </w:rPr>
                    <w:t>颗粒物</w:t>
                  </w:r>
                </w:p>
              </w:tc>
              <w:tc>
                <w:tcPr>
                  <w:tcW w:w="3474" w:type="dxa"/>
                  <w:vAlign w:val="center"/>
                </w:tcPr>
                <w:p>
                  <w:pPr>
                    <w:pStyle w:val="16"/>
                    <w:jc w:val="center"/>
                    <w:rPr>
                      <w:rStyle w:val="26"/>
                      <w:rFonts w:hint="eastAsia" w:ascii="Times New Roman" w:hAnsi="宋体" w:eastAsia="宋体"/>
                      <w:b w:val="0"/>
                      <w:color w:val="0000FF"/>
                      <w:szCs w:val="21"/>
                      <w:u w:val="single"/>
                      <w:lang w:eastAsia="zh-CN"/>
                    </w:rPr>
                  </w:pPr>
                  <w:r>
                    <w:rPr>
                      <w:rStyle w:val="26"/>
                      <w:rFonts w:hint="eastAsia" w:ascii="Times New Roman" w:hAnsi="宋体"/>
                      <w:b w:val="0"/>
                      <w:color w:val="0000FF"/>
                      <w:szCs w:val="21"/>
                      <w:u w:val="single"/>
                      <w:lang w:val="en-US" w:eastAsia="zh-CN"/>
                    </w:rPr>
                    <w:t>1.75</w:t>
                  </w:r>
                </w:p>
              </w:tc>
              <w:tc>
                <w:tcPr>
                  <w:tcW w:w="3221" w:type="dxa"/>
                  <w:vAlign w:val="center"/>
                </w:tcPr>
                <w:p>
                  <w:pPr>
                    <w:pStyle w:val="16"/>
                    <w:jc w:val="center"/>
                    <w:rPr>
                      <w:rStyle w:val="26"/>
                      <w:rFonts w:ascii="Times New Roman" w:hAnsi="宋体"/>
                      <w:b w:val="0"/>
                      <w:color w:val="auto"/>
                      <w:szCs w:val="21"/>
                    </w:rPr>
                  </w:pPr>
                  <w:r>
                    <w:rPr>
                      <w:rStyle w:val="26"/>
                      <w:rFonts w:hint="eastAsia" w:ascii="Times New Roman" w:hAnsi="宋体"/>
                      <w:b w:val="0"/>
                      <w:color w:val="auto"/>
                      <w:szCs w:val="21"/>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593" w:type="dxa"/>
                  <w:vAlign w:val="center"/>
                </w:tcPr>
                <w:p>
                  <w:pPr>
                    <w:pStyle w:val="16"/>
                    <w:jc w:val="center"/>
                    <w:rPr>
                      <w:rStyle w:val="26"/>
                      <w:rFonts w:ascii="Times New Roman" w:hAnsi="宋体"/>
                      <w:b w:val="0"/>
                      <w:color w:val="auto"/>
                      <w:szCs w:val="21"/>
                    </w:rPr>
                  </w:pPr>
                  <w:r>
                    <w:rPr>
                      <w:rStyle w:val="26"/>
                      <w:rFonts w:hint="eastAsia" w:ascii="Times New Roman" w:hAnsi="宋体"/>
                      <w:b w:val="0"/>
                      <w:color w:val="auto"/>
                      <w:szCs w:val="21"/>
                    </w:rPr>
                    <w:t>VOCs</w:t>
                  </w:r>
                </w:p>
              </w:tc>
              <w:tc>
                <w:tcPr>
                  <w:tcW w:w="3474" w:type="dxa"/>
                  <w:vAlign w:val="center"/>
                </w:tcPr>
                <w:p>
                  <w:pPr>
                    <w:pStyle w:val="16"/>
                    <w:jc w:val="center"/>
                    <w:rPr>
                      <w:rStyle w:val="26"/>
                      <w:rFonts w:hint="eastAsia" w:ascii="Times New Roman" w:hAnsi="宋体" w:eastAsia="宋体"/>
                      <w:b w:val="0"/>
                      <w:color w:val="0000FF"/>
                      <w:szCs w:val="21"/>
                      <w:u w:val="single"/>
                      <w:lang w:eastAsia="zh-CN"/>
                    </w:rPr>
                  </w:pPr>
                  <w:r>
                    <w:rPr>
                      <w:rStyle w:val="26"/>
                      <w:rFonts w:hint="eastAsia" w:ascii="Times New Roman" w:hAnsi="宋体"/>
                      <w:b w:val="0"/>
                      <w:color w:val="0000FF"/>
                      <w:szCs w:val="21"/>
                      <w:u w:val="single"/>
                      <w:lang w:val="en-US" w:eastAsia="zh-CN"/>
                    </w:rPr>
                    <w:t>1.0</w:t>
                  </w:r>
                </w:p>
              </w:tc>
              <w:tc>
                <w:tcPr>
                  <w:tcW w:w="3221" w:type="dxa"/>
                  <w:vAlign w:val="center"/>
                </w:tcPr>
                <w:p>
                  <w:pPr>
                    <w:pStyle w:val="16"/>
                    <w:jc w:val="center"/>
                    <w:rPr>
                      <w:rStyle w:val="26"/>
                      <w:rFonts w:ascii="Times New Roman" w:hAnsi="Times New Roman"/>
                      <w:b w:val="0"/>
                      <w:color w:val="auto"/>
                      <w:szCs w:val="21"/>
                    </w:rPr>
                  </w:pPr>
                  <w:r>
                    <w:rPr>
                      <w:rStyle w:val="26"/>
                      <w:rFonts w:hint="eastAsia" w:ascii="Times New Roman" w:hAnsi="Times New Roman"/>
                      <w:b w:val="0"/>
                      <w:color w:val="auto"/>
                      <w:szCs w:val="21"/>
                    </w:rPr>
                    <w:t>80</w:t>
                  </w:r>
                </w:p>
              </w:tc>
            </w:tr>
          </w:tbl>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color w:val="auto"/>
                <w:kern w:val="0"/>
                <w:sz w:val="24"/>
              </w:rPr>
            </w:pPr>
            <w:r>
              <w:rPr>
                <w:b/>
                <w:snapToGrid w:val="0"/>
                <w:color w:val="auto"/>
                <w:kern w:val="0"/>
                <w:sz w:val="24"/>
              </w:rPr>
              <w:t>3</w:t>
            </w:r>
            <w:r>
              <w:rPr>
                <w:rFonts w:hAnsi="宋体"/>
                <w:b/>
                <w:snapToGrid w:val="0"/>
                <w:color w:val="auto"/>
                <w:kern w:val="0"/>
                <w:sz w:val="24"/>
              </w:rPr>
              <w:t>、噪声：</w:t>
            </w:r>
            <w:r>
              <w:rPr>
                <w:rFonts w:hAnsi="宋体"/>
                <w:color w:val="auto"/>
                <w:kern w:val="0"/>
                <w:sz w:val="24"/>
              </w:rPr>
              <w:t>施工期噪声执行《建筑施工场界环境噪声排放标准》（</w:t>
            </w:r>
            <w:r>
              <w:rPr>
                <w:color w:val="auto"/>
                <w:kern w:val="0"/>
                <w:sz w:val="24"/>
              </w:rPr>
              <w:t>GB12523-2011</w:t>
            </w:r>
            <w:r>
              <w:rPr>
                <w:rFonts w:hAnsi="宋体"/>
                <w:color w:val="auto"/>
                <w:kern w:val="0"/>
                <w:sz w:val="24"/>
              </w:rPr>
              <w:t>）。</w:t>
            </w:r>
            <w:r>
              <w:rPr>
                <w:rFonts w:hint="eastAsia" w:hAnsi="宋体"/>
                <w:color w:val="auto"/>
                <w:kern w:val="0"/>
                <w:sz w:val="24"/>
              </w:rPr>
              <w:t>运营期噪声</w:t>
            </w:r>
            <w:r>
              <w:rPr>
                <w:rFonts w:hAnsi="宋体"/>
                <w:color w:val="auto"/>
                <w:sz w:val="24"/>
                <w:szCs w:val="24"/>
              </w:rPr>
              <w:t>项目东、西厂界距离</w:t>
            </w:r>
            <w:r>
              <w:rPr>
                <w:rFonts w:hint="eastAsia" w:hAnsi="宋体"/>
                <w:color w:val="auto"/>
                <w:sz w:val="24"/>
                <w:szCs w:val="24"/>
              </w:rPr>
              <w:t>国道106的35m范围内执行</w:t>
            </w:r>
            <w:r>
              <w:rPr>
                <w:rFonts w:hint="eastAsia" w:hAnsi="宋体"/>
                <w:color w:val="auto"/>
                <w:kern w:val="0"/>
                <w:sz w:val="24"/>
              </w:rPr>
              <w:t>《工业企业厂界噪声排放标准》（GB12348-2008）</w:t>
            </w:r>
            <w:r>
              <w:rPr>
                <w:rFonts w:hint="eastAsia" w:hAnsi="宋体"/>
                <w:color w:val="auto"/>
                <w:sz w:val="24"/>
                <w:szCs w:val="24"/>
              </w:rPr>
              <w:t>4类标准，其余边界执行2类标准。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表23  场界环境噪声排放标准限值等效声级：dB(A)</w:t>
            </w:r>
          </w:p>
          <w:tbl>
            <w:tblPr>
              <w:tblStyle w:val="30"/>
              <w:tblW w:w="8288"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289"/>
              <w:gridCol w:w="1333"/>
              <w:gridCol w:w="1333"/>
              <w:gridCol w:w="133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 w:hRule="atLeast"/>
                <w:jc w:val="center"/>
              </w:trPr>
              <w:tc>
                <w:tcPr>
                  <w:tcW w:w="4289" w:type="dxa"/>
                  <w:vAlign w:val="center"/>
                </w:tcPr>
                <w:p>
                  <w:pPr>
                    <w:jc w:val="center"/>
                    <w:rPr>
                      <w:rFonts w:hint="eastAsia" w:ascii="Times New Roman" w:hAnsi="Times New Roman" w:cs="Times New Roman"/>
                      <w:color w:val="auto"/>
                      <w:sz w:val="21"/>
                      <w:szCs w:val="21"/>
                      <w:u w:val="none"/>
                      <w:lang w:eastAsia="zh-CN"/>
                    </w:rPr>
                  </w:pPr>
                  <w:r>
                    <w:rPr>
                      <w:rFonts w:hint="eastAsia" w:ascii="Times New Roman" w:hAnsi="Times New Roman" w:cs="Times New Roman"/>
                      <w:color w:val="auto"/>
                      <w:sz w:val="21"/>
                      <w:szCs w:val="21"/>
                      <w:u w:val="none"/>
                      <w:lang w:eastAsia="zh-CN"/>
                    </w:rPr>
                    <w:t>项目</w:t>
                  </w: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标准类别</w:t>
                  </w:r>
                </w:p>
              </w:tc>
              <w:tc>
                <w:tcPr>
                  <w:tcW w:w="1333" w:type="dxa"/>
                  <w:vAlign w:val="center"/>
                </w:tcPr>
                <w:p>
                  <w:pPr>
                    <w:jc w:val="center"/>
                    <w:rPr>
                      <w:rFonts w:hint="default" w:ascii="Times New Roman" w:hAnsi="Times New Roman" w:cs="Times New Roman"/>
                      <w:color w:val="auto"/>
                      <w:sz w:val="21"/>
                      <w:szCs w:val="21"/>
                      <w:u w:val="none"/>
                    </w:rPr>
                  </w:pPr>
                  <w:bookmarkStart w:id="8" w:name="OLE_LINK16"/>
                  <w:r>
                    <w:rPr>
                      <w:rFonts w:hint="default" w:ascii="Times New Roman" w:hAnsi="Times New Roman" w:cs="Times New Roman"/>
                      <w:color w:val="auto"/>
                      <w:sz w:val="21"/>
                      <w:szCs w:val="21"/>
                      <w:u w:val="none"/>
                    </w:rPr>
                    <w:t>昼间</w:t>
                  </w:r>
                  <w:bookmarkEnd w:id="8"/>
                </w:p>
              </w:tc>
              <w:tc>
                <w:tcPr>
                  <w:tcW w:w="1333" w:type="dxa"/>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夜间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 w:hRule="atLeast"/>
                <w:jc w:val="center"/>
              </w:trPr>
              <w:tc>
                <w:tcPr>
                  <w:tcW w:w="4289"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施工期</w:t>
                  </w: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w:t>
                  </w:r>
                </w:p>
              </w:tc>
              <w:tc>
                <w:tcPr>
                  <w:tcW w:w="1333" w:type="dxa"/>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70</w:t>
                  </w:r>
                </w:p>
              </w:tc>
              <w:tc>
                <w:tcPr>
                  <w:tcW w:w="1333" w:type="dxa"/>
                  <w:vAlign w:val="center"/>
                </w:tcPr>
                <w:p>
                  <w:pPr>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 w:hRule="atLeast"/>
                <w:jc w:val="center"/>
              </w:trPr>
              <w:tc>
                <w:tcPr>
                  <w:tcW w:w="4289" w:type="dxa"/>
                  <w:vMerge w:val="restart"/>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运营期</w:t>
                  </w: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2类</w:t>
                  </w: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60</w:t>
                  </w: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 w:hRule="atLeast"/>
                <w:jc w:val="center"/>
              </w:trPr>
              <w:tc>
                <w:tcPr>
                  <w:tcW w:w="4289" w:type="dxa"/>
                  <w:vMerge w:val="continue"/>
                  <w:vAlign w:val="center"/>
                </w:tcPr>
                <w:p>
                  <w:pPr>
                    <w:jc w:val="center"/>
                    <w:rPr>
                      <w:rFonts w:hint="default" w:ascii="Times New Roman" w:hAnsi="Times New Roman" w:cs="Times New Roman"/>
                      <w:color w:val="auto"/>
                      <w:sz w:val="21"/>
                      <w:szCs w:val="21"/>
                      <w:u w:val="none"/>
                    </w:rPr>
                  </w:pP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4类</w:t>
                  </w: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70</w:t>
                  </w:r>
                </w:p>
              </w:tc>
              <w:tc>
                <w:tcPr>
                  <w:tcW w:w="1333" w:type="dxa"/>
                  <w:vAlign w:val="center"/>
                </w:tcPr>
                <w:p>
                  <w:pPr>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rPr>
                    <w:t>55</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color w:val="auto"/>
                <w:sz w:val="24"/>
                <w:szCs w:val="24"/>
                <w:u w:val="single"/>
              </w:rPr>
            </w:pPr>
            <w:r>
              <w:rPr>
                <w:b/>
                <w:snapToGrid w:val="0"/>
                <w:color w:val="auto"/>
                <w:kern w:val="0"/>
                <w:sz w:val="24"/>
                <w:u w:val="single"/>
              </w:rPr>
              <w:t>4</w:t>
            </w:r>
            <w:r>
              <w:rPr>
                <w:rFonts w:hAnsi="宋体"/>
                <w:b/>
                <w:snapToGrid w:val="0"/>
                <w:color w:val="auto"/>
                <w:kern w:val="0"/>
                <w:sz w:val="24"/>
                <w:u w:val="single"/>
              </w:rPr>
              <w:t>、固体废物：</w:t>
            </w:r>
            <w:r>
              <w:rPr>
                <w:rFonts w:hAnsi="宋体"/>
                <w:color w:val="auto"/>
                <w:kern w:val="0"/>
                <w:sz w:val="24"/>
                <w:u w:val="single"/>
              </w:rPr>
              <w:t>一般固体废物执行《一般工业固体废物贮存、处置场污染控制标准》（</w:t>
            </w:r>
            <w:r>
              <w:rPr>
                <w:color w:val="auto"/>
                <w:kern w:val="0"/>
                <w:sz w:val="24"/>
                <w:u w:val="single"/>
              </w:rPr>
              <w:t>GB18599-2001</w:t>
            </w:r>
            <w:r>
              <w:rPr>
                <w:rFonts w:hAnsi="宋体"/>
                <w:color w:val="auto"/>
                <w:kern w:val="0"/>
                <w:sz w:val="24"/>
                <w:u w:val="single"/>
              </w:rPr>
              <w:t>）及</w:t>
            </w:r>
            <w:r>
              <w:rPr>
                <w:color w:val="auto"/>
                <w:kern w:val="0"/>
                <w:sz w:val="24"/>
                <w:u w:val="single"/>
              </w:rPr>
              <w:t>2013</w:t>
            </w:r>
            <w:r>
              <w:rPr>
                <w:rFonts w:hAnsi="宋体"/>
                <w:color w:val="auto"/>
                <w:kern w:val="0"/>
                <w:sz w:val="24"/>
                <w:u w:val="single"/>
              </w:rPr>
              <w:t>年修改单；生活垃圾执行《生活垃圾填埋污染控制标准》</w:t>
            </w:r>
            <w:r>
              <w:rPr>
                <w:color w:val="auto"/>
                <w:kern w:val="0"/>
                <w:sz w:val="24"/>
                <w:u w:val="single"/>
              </w:rPr>
              <w:t>(GB16889-2008)</w:t>
            </w:r>
            <w:r>
              <w:rPr>
                <w:rFonts w:hint="eastAsia"/>
                <w:color w:val="auto"/>
                <w:sz w:val="24"/>
                <w:szCs w:val="24"/>
                <w:u w:val="single"/>
              </w:rPr>
              <w:t>。标准值如下：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auto"/>
                <w:u w:val="single"/>
              </w:rPr>
            </w:pPr>
            <w:r>
              <w:rPr>
                <w:rFonts w:hint="eastAsia" w:hAnsi="宋体"/>
                <w:b/>
                <w:bCs/>
                <w:color w:val="auto"/>
                <w:u w:val="single"/>
              </w:rPr>
              <w:t>表24  污染场地土壤修复标准单位mg/kg</w:t>
            </w:r>
          </w:p>
          <w:tbl>
            <w:tblPr>
              <w:tblStyle w:val="30"/>
              <w:tblW w:w="8288"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763"/>
              <w:gridCol w:w="2762"/>
              <w:gridCol w:w="276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 w:hRule="atLeast"/>
                <w:jc w:val="center"/>
              </w:trPr>
              <w:tc>
                <w:tcPr>
                  <w:tcW w:w="2763" w:type="dxa"/>
                  <w:tcBorders>
                    <w:right w:val="single" w:color="auto" w:sz="4" w:space="0"/>
                  </w:tcBorders>
                  <w:vAlign w:val="center"/>
                </w:tcPr>
                <w:p>
                  <w:pPr>
                    <w:widowControl/>
                    <w:jc w:val="center"/>
                    <w:rPr>
                      <w:color w:val="auto"/>
                      <w:kern w:val="0"/>
                      <w:sz w:val="21"/>
                      <w:szCs w:val="21"/>
                      <w:u w:val="single"/>
                    </w:rPr>
                  </w:pPr>
                  <w:r>
                    <w:rPr>
                      <w:rFonts w:hint="eastAsia"/>
                      <w:color w:val="auto"/>
                      <w:kern w:val="0"/>
                      <w:sz w:val="21"/>
                      <w:szCs w:val="21"/>
                      <w:u w:val="single"/>
                    </w:rPr>
                    <w:t>序号</w:t>
                  </w:r>
                </w:p>
              </w:tc>
              <w:tc>
                <w:tcPr>
                  <w:tcW w:w="2762" w:type="dxa"/>
                  <w:tcBorders>
                    <w:left w:val="single" w:color="auto" w:sz="4" w:space="0"/>
                  </w:tcBorders>
                  <w:vAlign w:val="center"/>
                </w:tcPr>
                <w:p>
                  <w:pPr>
                    <w:widowControl/>
                    <w:jc w:val="center"/>
                    <w:rPr>
                      <w:color w:val="auto"/>
                      <w:kern w:val="0"/>
                      <w:sz w:val="21"/>
                      <w:szCs w:val="21"/>
                      <w:u w:val="single"/>
                    </w:rPr>
                  </w:pPr>
                  <w:r>
                    <w:rPr>
                      <w:rFonts w:hint="eastAsia"/>
                      <w:color w:val="auto"/>
                      <w:kern w:val="0"/>
                      <w:sz w:val="21"/>
                      <w:szCs w:val="21"/>
                      <w:u w:val="single"/>
                    </w:rPr>
                    <w:t>污染物</w:t>
                  </w:r>
                </w:p>
              </w:tc>
              <w:tc>
                <w:tcPr>
                  <w:tcW w:w="2763" w:type="dxa"/>
                  <w:vAlign w:val="center"/>
                </w:tcPr>
                <w:p>
                  <w:pPr>
                    <w:widowControl/>
                    <w:jc w:val="center"/>
                    <w:rPr>
                      <w:color w:val="auto"/>
                      <w:kern w:val="0"/>
                      <w:sz w:val="21"/>
                      <w:szCs w:val="21"/>
                      <w:u w:val="single"/>
                    </w:rPr>
                  </w:pPr>
                  <w:r>
                    <w:rPr>
                      <w:rFonts w:hint="eastAsia"/>
                      <w:color w:val="auto"/>
                      <w:kern w:val="0"/>
                      <w:sz w:val="21"/>
                      <w:szCs w:val="21"/>
                      <w:u w:val="single"/>
                    </w:rPr>
                    <w:t>修复目标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 w:hRule="atLeast"/>
                <w:jc w:val="center"/>
              </w:trPr>
              <w:tc>
                <w:tcPr>
                  <w:tcW w:w="2763" w:type="dxa"/>
                  <w:tcBorders>
                    <w:right w:val="single" w:color="auto" w:sz="4" w:space="0"/>
                  </w:tcBorders>
                  <w:vAlign w:val="center"/>
                </w:tcPr>
                <w:p>
                  <w:pPr>
                    <w:widowControl/>
                    <w:jc w:val="center"/>
                    <w:rPr>
                      <w:color w:val="auto"/>
                      <w:kern w:val="0"/>
                      <w:sz w:val="21"/>
                      <w:szCs w:val="21"/>
                      <w:u w:val="single"/>
                    </w:rPr>
                  </w:pPr>
                  <w:r>
                    <w:rPr>
                      <w:rFonts w:hint="eastAsia"/>
                      <w:color w:val="auto"/>
                      <w:kern w:val="0"/>
                      <w:sz w:val="21"/>
                      <w:szCs w:val="21"/>
                      <w:u w:val="single"/>
                    </w:rPr>
                    <w:t>1</w:t>
                  </w:r>
                </w:p>
              </w:tc>
              <w:tc>
                <w:tcPr>
                  <w:tcW w:w="2762" w:type="dxa"/>
                  <w:tcBorders>
                    <w:left w:val="single" w:color="auto" w:sz="4" w:space="0"/>
                  </w:tcBorders>
                  <w:vAlign w:val="center"/>
                </w:tcPr>
                <w:p>
                  <w:pPr>
                    <w:widowControl/>
                    <w:jc w:val="center"/>
                    <w:rPr>
                      <w:color w:val="auto"/>
                      <w:kern w:val="0"/>
                      <w:sz w:val="21"/>
                      <w:szCs w:val="21"/>
                      <w:u w:val="single"/>
                    </w:rPr>
                  </w:pPr>
                  <w:r>
                    <w:rPr>
                      <w:rFonts w:hint="eastAsia" w:hAnsi="宋体"/>
                      <w:color w:val="auto"/>
                      <w:sz w:val="21"/>
                      <w:szCs w:val="21"/>
                    </w:rPr>
                    <w:t>六六六</w:t>
                  </w:r>
                </w:p>
              </w:tc>
              <w:tc>
                <w:tcPr>
                  <w:tcW w:w="2763" w:type="dxa"/>
                  <w:vAlign w:val="center"/>
                </w:tcPr>
                <w:p>
                  <w:pPr>
                    <w:widowControl/>
                    <w:jc w:val="center"/>
                    <w:rPr>
                      <w:color w:val="auto"/>
                      <w:kern w:val="0"/>
                      <w:sz w:val="21"/>
                      <w:szCs w:val="21"/>
                      <w:u w:val="single"/>
                    </w:rPr>
                  </w:pPr>
                  <w:r>
                    <w:rPr>
                      <w:rFonts w:hint="eastAsia"/>
                      <w:color w:val="auto"/>
                      <w:kern w:val="0"/>
                      <w:sz w:val="21"/>
                      <w:szCs w:val="21"/>
                      <w:u w:val="single"/>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3" w:hRule="atLeast"/>
                <w:jc w:val="center"/>
              </w:trPr>
              <w:tc>
                <w:tcPr>
                  <w:tcW w:w="2763" w:type="dxa"/>
                  <w:tcBorders>
                    <w:right w:val="single" w:color="auto" w:sz="4" w:space="0"/>
                  </w:tcBorders>
                  <w:vAlign w:val="center"/>
                </w:tcPr>
                <w:p>
                  <w:pPr>
                    <w:widowControl/>
                    <w:jc w:val="center"/>
                    <w:rPr>
                      <w:color w:val="auto"/>
                      <w:kern w:val="0"/>
                      <w:sz w:val="21"/>
                      <w:szCs w:val="21"/>
                      <w:u w:val="single"/>
                    </w:rPr>
                  </w:pPr>
                  <w:r>
                    <w:rPr>
                      <w:rFonts w:hint="eastAsia"/>
                      <w:color w:val="auto"/>
                      <w:kern w:val="0"/>
                      <w:sz w:val="21"/>
                      <w:szCs w:val="21"/>
                      <w:u w:val="single"/>
                    </w:rPr>
                    <w:t>2</w:t>
                  </w:r>
                </w:p>
              </w:tc>
              <w:tc>
                <w:tcPr>
                  <w:tcW w:w="2762" w:type="dxa"/>
                  <w:tcBorders>
                    <w:left w:val="single" w:color="auto" w:sz="4" w:space="0"/>
                  </w:tcBorders>
                  <w:vAlign w:val="center"/>
                </w:tcPr>
                <w:p>
                  <w:pPr>
                    <w:widowControl/>
                    <w:jc w:val="center"/>
                    <w:rPr>
                      <w:color w:val="auto"/>
                      <w:kern w:val="0"/>
                      <w:sz w:val="21"/>
                      <w:szCs w:val="21"/>
                      <w:u w:val="single"/>
                    </w:rPr>
                  </w:pPr>
                  <w:r>
                    <w:rPr>
                      <w:rFonts w:hint="eastAsia" w:hAnsi="宋体"/>
                      <w:color w:val="auto"/>
                      <w:sz w:val="21"/>
                      <w:szCs w:val="21"/>
                    </w:rPr>
                    <w:t>滴滴涕</w:t>
                  </w:r>
                </w:p>
              </w:tc>
              <w:tc>
                <w:tcPr>
                  <w:tcW w:w="2763" w:type="dxa"/>
                  <w:vAlign w:val="center"/>
                </w:tcPr>
                <w:p>
                  <w:pPr>
                    <w:widowControl/>
                    <w:jc w:val="center"/>
                    <w:rPr>
                      <w:color w:val="auto"/>
                      <w:kern w:val="0"/>
                      <w:sz w:val="21"/>
                      <w:szCs w:val="21"/>
                      <w:u w:val="single"/>
                    </w:rPr>
                  </w:pPr>
                  <w:r>
                    <w:rPr>
                      <w:rFonts w:hint="eastAsia"/>
                      <w:color w:val="auto"/>
                      <w:kern w:val="0"/>
                      <w:sz w:val="21"/>
                      <w:szCs w:val="21"/>
                      <w:u w:val="single"/>
                    </w:rPr>
                    <w:t>1</w:t>
                  </w:r>
                </w:p>
              </w:tc>
            </w:tr>
          </w:tbl>
          <w:p>
            <w:pPr>
              <w:spacing w:line="360" w:lineRule="auto"/>
              <w:rPr>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274" w:hRule="atLeast"/>
          <w:jc w:val="center"/>
        </w:trPr>
        <w:tc>
          <w:tcPr>
            <w:tcW w:w="782" w:type="dxa"/>
            <w:vAlign w:val="center"/>
          </w:tcPr>
          <w:p>
            <w:pPr>
              <w:spacing w:line="360" w:lineRule="auto"/>
              <w:ind w:left="105" w:right="105" w:rightChars="50"/>
              <w:jc w:val="center"/>
              <w:rPr>
                <w:color w:val="auto"/>
                <w:sz w:val="24"/>
                <w:szCs w:val="24"/>
              </w:rPr>
            </w:pPr>
            <w:r>
              <w:rPr>
                <w:rFonts w:hAnsi="宋体"/>
                <w:color w:val="auto"/>
                <w:sz w:val="24"/>
                <w:szCs w:val="24"/>
              </w:rPr>
              <w:t>总量控制指标</w:t>
            </w:r>
          </w:p>
        </w:tc>
        <w:tc>
          <w:tcPr>
            <w:tcW w:w="8298" w:type="dxa"/>
            <w:vAlign w:val="center"/>
          </w:tcPr>
          <w:p>
            <w:pPr>
              <w:spacing w:line="360" w:lineRule="auto"/>
              <w:ind w:firstLine="480" w:firstLineChars="200"/>
              <w:jc w:val="both"/>
              <w:rPr>
                <w:color w:val="auto"/>
                <w:sz w:val="24"/>
              </w:rPr>
            </w:pPr>
            <w:r>
              <w:rPr>
                <w:rFonts w:hAnsi="宋体"/>
                <w:color w:val="auto"/>
                <w:sz w:val="24"/>
                <w:u w:val="single"/>
              </w:rPr>
              <w:t>本项目为土壤修复工程，施工废水</w:t>
            </w:r>
            <w:r>
              <w:rPr>
                <w:rFonts w:hint="eastAsia" w:hAnsi="宋体"/>
                <w:color w:val="auto"/>
                <w:sz w:val="24"/>
                <w:u w:val="single"/>
                <w:lang w:eastAsia="zh-CN"/>
              </w:rPr>
              <w:t>经两级沉淀后，除部分回用泼洒抑尘外，其余经槽罐车</w:t>
            </w:r>
            <w:r>
              <w:rPr>
                <w:rFonts w:hint="eastAsia" w:hAnsi="宋体"/>
                <w:color w:val="auto"/>
                <w:sz w:val="24"/>
                <w:u w:val="single"/>
              </w:rPr>
              <w:t>运输至有处理能力的污水处理厂或企业污水处理装置处理，</w:t>
            </w:r>
            <w:r>
              <w:rPr>
                <w:rFonts w:hAnsi="宋体"/>
                <w:color w:val="auto"/>
                <w:sz w:val="24"/>
                <w:u w:val="single"/>
              </w:rPr>
              <w:t>处理</w:t>
            </w:r>
            <w:r>
              <w:rPr>
                <w:rFonts w:hint="eastAsia" w:hAnsi="宋体"/>
                <w:color w:val="auto"/>
                <w:sz w:val="24"/>
                <w:u w:val="single"/>
              </w:rPr>
              <w:t>达标后排放</w:t>
            </w:r>
            <w:r>
              <w:rPr>
                <w:rFonts w:hAnsi="宋体"/>
                <w:color w:val="auto"/>
                <w:sz w:val="24"/>
                <w:u w:val="single"/>
              </w:rPr>
              <w:t>，</w:t>
            </w:r>
            <w:r>
              <w:rPr>
                <w:rFonts w:hint="eastAsia" w:hAnsi="宋体"/>
                <w:color w:val="auto"/>
                <w:sz w:val="24"/>
                <w:u w:val="single"/>
              </w:rPr>
              <w:t>总量在污水处理厂</w:t>
            </w:r>
            <w:r>
              <w:rPr>
                <w:rFonts w:hint="eastAsia" w:hAnsi="宋体"/>
                <w:color w:val="auto"/>
                <w:sz w:val="24"/>
                <w:u w:val="single"/>
                <w:lang w:eastAsia="zh-CN"/>
              </w:rPr>
              <w:t>或有处理装置的企业</w:t>
            </w:r>
            <w:r>
              <w:rPr>
                <w:rFonts w:hint="eastAsia" w:hAnsi="宋体"/>
                <w:color w:val="auto"/>
                <w:sz w:val="24"/>
                <w:u w:val="single"/>
              </w:rPr>
              <w:t>内部调剂；</w:t>
            </w:r>
            <w:r>
              <w:rPr>
                <w:rFonts w:hAnsi="宋体"/>
                <w:color w:val="auto"/>
                <w:sz w:val="24"/>
                <w:u w:val="single"/>
              </w:rPr>
              <w:t>生活污水处理后作农肥，不外排</w:t>
            </w:r>
            <w:r>
              <w:rPr>
                <w:rFonts w:hint="eastAsia" w:hAnsi="宋体"/>
                <w:color w:val="auto"/>
                <w:sz w:val="24"/>
                <w:u w:val="single"/>
                <w:lang w:eastAsia="zh-CN"/>
              </w:rPr>
              <w:t>。本项目为环保工程，随着施工期结束，因本项目施工产生的</w:t>
            </w:r>
            <w:r>
              <w:rPr>
                <w:rFonts w:hint="eastAsia" w:hAnsi="宋体"/>
                <w:color w:val="auto"/>
                <w:sz w:val="24"/>
                <w:u w:val="single"/>
                <w:lang w:val="en-US" w:eastAsia="zh-CN"/>
              </w:rPr>
              <w:t>SO</w:t>
            </w:r>
            <w:r>
              <w:rPr>
                <w:rFonts w:hint="eastAsia" w:hAnsi="宋体"/>
                <w:color w:val="auto"/>
                <w:sz w:val="24"/>
                <w:u w:val="single"/>
                <w:vertAlign w:val="subscript"/>
                <w:lang w:val="en-US" w:eastAsia="zh-CN"/>
              </w:rPr>
              <w:t>2</w:t>
            </w:r>
            <w:r>
              <w:rPr>
                <w:rFonts w:hint="eastAsia" w:hAnsi="宋体"/>
                <w:color w:val="auto"/>
                <w:sz w:val="24"/>
                <w:u w:val="single"/>
                <w:lang w:val="en-US" w:eastAsia="zh-CN"/>
              </w:rPr>
              <w:t>、氮氧化物、VOCs将不再产生，因此本项目</w:t>
            </w:r>
            <w:r>
              <w:rPr>
                <w:rFonts w:hAnsi="宋体"/>
                <w:color w:val="auto"/>
                <w:sz w:val="24"/>
                <w:u w:val="single"/>
              </w:rPr>
              <w:t>无需设置总量控制指标。</w:t>
            </w:r>
          </w:p>
        </w:tc>
      </w:tr>
    </w:tbl>
    <w:p>
      <w:pPr>
        <w:pStyle w:val="3"/>
        <w:spacing w:before="0" w:after="0" w:line="240" w:lineRule="auto"/>
        <w:rPr>
          <w:b w:val="0"/>
          <w:bCs w:val="0"/>
          <w:color w:val="auto"/>
          <w:sz w:val="30"/>
        </w:rPr>
      </w:pPr>
      <w:r>
        <w:rPr>
          <w:b w:val="0"/>
          <w:bCs w:val="0"/>
          <w:color w:val="auto"/>
          <w:sz w:val="30"/>
        </w:rPr>
        <w:br w:type="page"/>
      </w:r>
      <w:bookmarkStart w:id="9" w:name="_Toc485612240"/>
      <w:r>
        <w:rPr>
          <w:rFonts w:hAnsi="宋体"/>
          <w:color w:val="auto"/>
          <w:sz w:val="28"/>
          <w:szCs w:val="28"/>
        </w:rPr>
        <w:t>建设项目工程分析</w:t>
      </w:r>
      <w:bookmarkEnd w:id="9"/>
    </w:p>
    <w:tbl>
      <w:tblPr>
        <w:tblStyle w:val="30"/>
        <w:tblW w:w="928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2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284" w:hRule="atLeast"/>
        </w:trPr>
        <w:tc>
          <w:tcPr>
            <w:tcW w:w="9286" w:type="dxa"/>
            <w:tcBorders>
              <w:bottom w:val="single" w:color="auto" w:sz="4" w:space="0"/>
            </w:tcBorders>
          </w:tcPr>
          <w:p>
            <w:pPr>
              <w:pStyle w:val="241"/>
              <w:keepNext w:val="0"/>
              <w:keepLines w:val="0"/>
              <w:pageBreakBefore w:val="0"/>
              <w:widowControl w:val="0"/>
              <w:numPr>
                <w:ilvl w:val="0"/>
                <w:numId w:val="6"/>
              </w:numPr>
              <w:kinsoku/>
              <w:wordWrap/>
              <w:overflowPunct/>
              <w:topLinePunct w:val="0"/>
              <w:autoSpaceDE/>
              <w:autoSpaceDN/>
              <w:bidi w:val="0"/>
              <w:adjustRightInd/>
              <w:snapToGrid/>
              <w:spacing w:line="360" w:lineRule="auto"/>
              <w:ind w:right="0" w:rightChars="0" w:firstLineChars="0"/>
              <w:textAlignment w:val="auto"/>
              <w:outlineLvl w:val="9"/>
              <w:rPr>
                <w:rFonts w:hAnsi="宋体"/>
                <w:b/>
                <w:bCs/>
                <w:color w:val="auto"/>
                <w:sz w:val="24"/>
              </w:rPr>
            </w:pPr>
            <w:r>
              <w:rPr>
                <w:rFonts w:hint="eastAsia" w:hAnsi="宋体"/>
                <w:b/>
                <w:bCs/>
                <w:color w:val="auto"/>
                <w:sz w:val="24"/>
              </w:rPr>
              <w:t>土壤修复方案介绍</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hAnsi="宋体" w:eastAsia="宋体"/>
                <w:color w:val="auto"/>
                <w:sz w:val="24"/>
                <w:u w:val="single"/>
                <w:lang w:val="en-US" w:eastAsia="zh-CN"/>
              </w:rPr>
            </w:pPr>
            <w:r>
              <w:rPr>
                <w:rFonts w:hint="default" w:ascii="Times New Roman" w:hAnsi="Times New Roman" w:cs="Times New Roman"/>
                <w:b/>
                <w:color w:val="auto"/>
                <w:kern w:val="0"/>
                <w:sz w:val="24"/>
                <w:szCs w:val="24"/>
                <w:u w:val="single"/>
              </w:rPr>
              <w:t>1、土壤修复</w:t>
            </w:r>
            <w:r>
              <w:rPr>
                <w:rFonts w:hint="default" w:ascii="Times New Roman" w:hAnsi="Times New Roman" w:cs="Times New Roman"/>
                <w:b/>
                <w:color w:val="auto"/>
                <w:kern w:val="0"/>
                <w:sz w:val="24"/>
                <w:szCs w:val="24"/>
                <w:u w:val="single"/>
                <w:lang w:eastAsia="zh-CN"/>
              </w:rPr>
              <w:t>方案</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hAnsi="宋体"/>
                <w:color w:val="auto"/>
                <w:sz w:val="24"/>
                <w:u w:val="single"/>
              </w:rPr>
            </w:pPr>
            <w:r>
              <w:rPr>
                <w:rFonts w:hint="eastAsia" w:hAnsi="宋体"/>
                <w:color w:val="auto"/>
                <w:sz w:val="24"/>
                <w:u w:val="single"/>
              </w:rPr>
              <w:t>根据污染场地的实际污染情况，结合场地规划要求以及修复技术的特点，本污染场地土壤异位治理工程主要包括污染土壤的清挖及运输、污染土壤处理处置、修复效果评估和验收等三部分内容。</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hAnsi="宋体"/>
                <w:color w:val="auto"/>
                <w:sz w:val="24"/>
                <w:u w:val="single"/>
              </w:rPr>
            </w:pPr>
            <w:r>
              <w:rPr>
                <w:rFonts w:hint="eastAsia" w:hAnsi="宋体"/>
                <w:color w:val="auto"/>
                <w:sz w:val="24"/>
                <w:u w:val="single"/>
              </w:rPr>
              <w:t>首先对场区内需要修复的地块开展清挖工程测量，以确定准确的清挖边界。为顺利开展清挖工作，在清挖过程中需要开展基坑支护工作。此外，建设负压密闭大棚，将污染土壤运输到负压大棚内进行破碎、筛分等预处理后，进行异位</w:t>
            </w:r>
            <w:r>
              <w:rPr>
                <w:rFonts w:hint="eastAsia" w:hAnsi="宋体"/>
                <w:color w:val="auto"/>
                <w:sz w:val="24"/>
                <w:u w:val="single"/>
                <w:lang w:eastAsia="zh-CN"/>
              </w:rPr>
              <w:t>化学氧化</w:t>
            </w:r>
            <w:r>
              <w:rPr>
                <w:rFonts w:hint="eastAsia" w:hAnsi="宋体"/>
                <w:color w:val="auto"/>
                <w:sz w:val="24"/>
                <w:u w:val="single"/>
              </w:rPr>
              <w:t>处置。最后对项目进行验收。验收合格的土壤暂存于储存区，验收完对修复场地进行回填。为确保工程顺利开展，在工程实施阶段，需要全过程监理，并开展环境监测和二次污染防范工作。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b/>
                <w:color w:val="auto"/>
                <w:kern w:val="0"/>
                <w:sz w:val="24"/>
                <w:szCs w:val="24"/>
                <w:u w:val="single"/>
              </w:rPr>
            </w:pPr>
            <w:r>
              <w:rPr>
                <w:rFonts w:hint="default" w:ascii="Times New Roman" w:hAnsi="Times New Roman" w:cs="Times New Roman"/>
                <w:b/>
                <w:color w:val="auto"/>
                <w:kern w:val="0"/>
                <w:sz w:val="24"/>
                <w:szCs w:val="24"/>
                <w:u w:val="single"/>
              </w:rPr>
              <w:t>2、土壤修复工艺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color w:val="auto"/>
                <w:sz w:val="24"/>
                <w:szCs w:val="22"/>
                <w:u w:val="single"/>
              </w:rPr>
            </w:pPr>
            <w:r>
              <w:rPr>
                <w:rFonts w:hint="default" w:ascii="Times New Roman" w:hAnsi="Times New Roman" w:cs="Times New Roman"/>
                <w:color w:val="auto"/>
                <w:sz w:val="24"/>
                <w:szCs w:val="24"/>
                <w:u w:val="single"/>
              </w:rPr>
              <w:t>本项目污染场地土壤异位治理工艺路线如下图所示：</w: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708416" behindDoc="0" locked="0" layoutInCell="1" allowOverlap="1">
                      <wp:simplePos x="0" y="0"/>
                      <wp:positionH relativeFrom="column">
                        <wp:posOffset>4100195</wp:posOffset>
                      </wp:positionH>
                      <wp:positionV relativeFrom="paragraph">
                        <wp:posOffset>318135</wp:posOffset>
                      </wp:positionV>
                      <wp:extent cx="0" cy="3324225"/>
                      <wp:effectExtent l="38100" t="0" r="38100" b="9525"/>
                      <wp:wrapNone/>
                      <wp:docPr id="17" name="直接连接符 18"/>
                      <wp:cNvGraphicFramePr/>
                      <a:graphic xmlns:a="http://schemas.openxmlformats.org/drawingml/2006/main">
                        <a:graphicData uri="http://schemas.microsoft.com/office/word/2010/wordprocessingShape">
                          <wps:wsp>
                            <wps:cNvSpPr/>
                            <wps:spPr>
                              <a:xfrm>
                                <a:off x="0" y="0"/>
                                <a:ext cx="0" cy="3324225"/>
                              </a:xfrm>
                              <a:prstGeom prst="line">
                                <a:avLst/>
                              </a:prstGeom>
                              <a:ln w="9525" cap="flat" cmpd="sng">
                                <a:solidFill>
                                  <a:schemeClr val="tx1"/>
                                </a:solidFill>
                                <a:prstDash val="solid"/>
                                <a:headEnd type="triangle" w="med" len="med"/>
                                <a:tailEnd type="triangle" w="med" len="med"/>
                              </a:ln>
                            </wps:spPr>
                            <wps:bodyPr upright="1"/>
                          </wps:wsp>
                        </a:graphicData>
                      </a:graphic>
                    </wp:anchor>
                  </w:drawing>
                </mc:Choice>
                <mc:Fallback>
                  <w:pict>
                    <v:line id="直接连接符 18" o:spid="_x0000_s1026" o:spt="20" style="position:absolute;left:0pt;margin-left:322.85pt;margin-top:25.05pt;height:261.75pt;width:0pt;z-index:251708416;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">
                      <v:fill on="f" focussize="0,0"/>
                      <v:stroke color="#000000 [3213]" joinstyle="round" startarrow="block" endarrow="block"/>
                      <v:imagedata o:title=""/>
                      <o:lock v:ext="edit" aspectratio="f"/>
                    </v:line>
                  </w:pict>
                </mc:Fallback>
              </mc:AlternateContent>
            </w:r>
            <w:r>
              <w:rPr>
                <w:rFonts w:hAnsi="宋体"/>
                <w:b/>
                <w:bCs/>
                <w:color w:val="auto"/>
                <w:sz w:val="24"/>
              </w:rPr>
              <mc:AlternateContent>
                <mc:Choice Requires="wps">
                  <w:drawing>
                    <wp:anchor distT="0" distB="0" distL="114300" distR="114300" simplePos="0" relativeHeight="251701248" behindDoc="0" locked="0" layoutInCell="1" allowOverlap="1">
                      <wp:simplePos x="0" y="0"/>
                      <wp:positionH relativeFrom="column">
                        <wp:posOffset>3385820</wp:posOffset>
                      </wp:positionH>
                      <wp:positionV relativeFrom="paragraph">
                        <wp:posOffset>318135</wp:posOffset>
                      </wp:positionV>
                      <wp:extent cx="1323975" cy="0"/>
                      <wp:effectExtent l="0" t="0" r="0" b="0"/>
                      <wp:wrapNone/>
                      <wp:docPr id="13" name="直接连接符 14"/>
                      <wp:cNvGraphicFramePr/>
                      <a:graphic xmlns:a="http://schemas.openxmlformats.org/drawingml/2006/main">
                        <a:graphicData uri="http://schemas.microsoft.com/office/word/2010/wordprocessingShape">
                          <wps:wsp>
                            <wps:cNvSpPr/>
                            <wps:spPr>
                              <a:xfrm>
                                <a:off x="0" y="0"/>
                                <a:ext cx="1323975" cy="0"/>
                              </a:xfrm>
                              <a:prstGeom prst="line">
                                <a:avLst/>
                              </a:prstGeom>
                              <a:ln w="9525" cap="flat" cmpd="sng">
                                <a:solidFill>
                                  <a:schemeClr val="tx1"/>
                                </a:solidFill>
                                <a:prstDash val="solid"/>
                                <a:headEnd type="none" w="med" len="med"/>
                                <a:tailEnd type="none" w="med" len="med"/>
                              </a:ln>
                            </wps:spPr>
                            <wps:bodyPr upright="1"/>
                          </wps:wsp>
                        </a:graphicData>
                      </a:graphic>
                    </wp:anchor>
                  </w:drawing>
                </mc:Choice>
                <mc:Fallback>
                  <w:pict>
                    <v:line id="直接连接符 14" o:spid="_x0000_s1026" o:spt="20" style="position:absolute;left:0pt;margin-left:266.6pt;margin-top:25.05pt;height:0pt;width:104.25pt;z-index:251701248;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">
                      <v:fill on="f" focussize="0,0"/>
                      <v:stroke color="#000000 [3213]" joinstyle="round"/>
                      <v:imagedata o:title=""/>
                      <o:lock v:ext="edit" aspectratio="f"/>
                    </v:line>
                  </w:pict>
                </mc:Fallback>
              </mc:AlternateContent>
            </w:r>
            <w:r>
              <w:rPr>
                <w:rFonts w:hAnsi="宋体"/>
                <w:b/>
                <w:bCs/>
                <w:color w:val="auto"/>
                <w:sz w:val="24"/>
              </w:rPr>
              <mc:AlternateContent>
                <mc:Choice Requires="wps">
                  <w:drawing>
                    <wp:anchor distT="0" distB="0" distL="114300" distR="114300" simplePos="0" relativeHeight="251680768" behindDoc="0" locked="0" layoutInCell="1" allowOverlap="1">
                      <wp:simplePos x="0" y="0"/>
                      <wp:positionH relativeFrom="column">
                        <wp:posOffset>1661795</wp:posOffset>
                      </wp:positionH>
                      <wp:positionV relativeFrom="paragraph">
                        <wp:posOffset>165735</wp:posOffset>
                      </wp:positionV>
                      <wp:extent cx="1209675" cy="352425"/>
                      <wp:effectExtent l="4445" t="4445" r="5080" b="5080"/>
                      <wp:wrapNone/>
                      <wp:docPr id="6" name="矩形 3"/>
                      <wp:cNvGraphicFramePr/>
                      <a:graphic xmlns:a="http://schemas.openxmlformats.org/drawingml/2006/main">
                        <a:graphicData uri="http://schemas.microsoft.com/office/word/2010/wordprocessingShape">
                          <wps:wsp>
                            <wps:cNvSpPr/>
                            <wps:spPr>
                              <a:xfrm>
                                <a:off x="0" y="0"/>
                                <a:ext cx="1209675" cy="352425"/>
                              </a:xfrm>
                              <a:prstGeom prst="rect">
                                <a:avLst/>
                              </a:prstGeom>
                              <a:noFill/>
                              <a:ln w="9525" cap="flat" cmpd="sng">
                                <a:solidFill>
                                  <a:schemeClr val="tx1"/>
                                </a:solidFill>
                                <a:prstDash val="solid"/>
                                <a:miter/>
                                <a:headEnd type="none" w="med" len="med"/>
                                <a:tailEnd type="none" w="med" len="med"/>
                              </a:ln>
                            </wps:spPr>
                            <wps:txbx>
                              <w:txbxContent>
                                <w:p>
                                  <w:pPr>
                                    <w:jc w:val="center"/>
                                    <w:rPr>
                                      <w:color w:val="000000" w:themeColor="text1"/>
                                    </w:rPr>
                                  </w:pPr>
                                  <w:r>
                                    <w:rPr>
                                      <w:rFonts w:hint="eastAsia"/>
                                      <w:color w:val="000000" w:themeColor="text1"/>
                                    </w:rPr>
                                    <w:t>工程测量</w:t>
                                  </w:r>
                                </w:p>
                              </w:txbxContent>
                            </wps:txbx>
                            <wps:bodyPr anchor="ctr" upright="1"/>
                          </wps:wsp>
                        </a:graphicData>
                      </a:graphic>
                    </wp:anchor>
                  </w:drawing>
                </mc:Choice>
                <mc:Fallback>
                  <w:pict>
                    <v:rect id="矩形 3" o:spid="_x0000_s1026" o:spt="1" style="position:absolute;left:0pt;margin-left:130.85pt;margin-top:13.05pt;height:27.75pt;width:95.25pt;z-index:25168076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">
                      <v:fill on="f" focussize="0,0"/>
                      <v:stroke color="#000000 [3213]" joinstyle="miter"/>
                      <v:imagedata o:title=""/>
                      <o:lock v:ext="edit" aspectratio="f"/>
                      <v:textbox>
                        <w:txbxContent>
                          <w:p>
                            <w:pPr>
                              <w:jc w:val="center"/>
                              <w:rPr>
                                <w:color w:val="000000" w:themeColor="text1"/>
                              </w:rPr>
                            </w:pPr>
                            <w:r>
                              <w:rPr>
                                <w:rFonts w:hint="eastAsia"/>
                                <w:color w:val="000000" w:themeColor="text1"/>
                              </w:rPr>
                              <w:t>工程测量</w:t>
                            </w:r>
                          </w:p>
                        </w:txbxContent>
                      </v:textbox>
                    </v:rect>
                  </w:pict>
                </mc:Fallback>
              </mc:AlternateConten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710464" behindDoc="0" locked="0" layoutInCell="1" allowOverlap="1">
                      <wp:simplePos x="0" y="0"/>
                      <wp:positionH relativeFrom="column">
                        <wp:posOffset>1004570</wp:posOffset>
                      </wp:positionH>
                      <wp:positionV relativeFrom="paragraph">
                        <wp:posOffset>318135</wp:posOffset>
                      </wp:positionV>
                      <wp:extent cx="0" cy="2667000"/>
                      <wp:effectExtent l="38100" t="0" r="38100" b="0"/>
                      <wp:wrapNone/>
                      <wp:docPr id="18" name="直接连接符 19"/>
                      <wp:cNvGraphicFramePr/>
                      <a:graphic xmlns:a="http://schemas.openxmlformats.org/drawingml/2006/main">
                        <a:graphicData uri="http://schemas.microsoft.com/office/word/2010/wordprocessingShape">
                          <wps:wsp>
                            <wps:cNvSpPr/>
                            <wps:spPr>
                              <a:xfrm>
                                <a:off x="0" y="0"/>
                                <a:ext cx="0" cy="2667000"/>
                              </a:xfrm>
                              <a:prstGeom prst="line">
                                <a:avLst/>
                              </a:prstGeom>
                              <a:ln w="9525" cap="flat" cmpd="sng">
                                <a:solidFill>
                                  <a:schemeClr val="tx1"/>
                                </a:solidFill>
                                <a:prstDash val="solid"/>
                                <a:headEnd type="triangle" w="med" len="med"/>
                                <a:tailEnd type="triangle" w="med" len="med"/>
                              </a:ln>
                            </wps:spPr>
                            <wps:bodyPr upright="1"/>
                          </wps:wsp>
                        </a:graphicData>
                      </a:graphic>
                    </wp:anchor>
                  </w:drawing>
                </mc:Choice>
                <mc:Fallback>
                  <w:pict>
                    <v:line id="直接连接符 19" o:spid="_x0000_s1026" o:spt="20" style="position:absolute;left:0pt;margin-left:79.1pt;margin-top:25.05pt;height:210pt;width:0pt;z-index:251710464;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">
                      <v:fill on="f" focussize="0,0"/>
                      <v:stroke color="#000000 [3213]" joinstyle="round" startarrow="block" endarrow="block"/>
                      <v:imagedata o:title=""/>
                      <o:lock v:ext="edit" aspectratio="f"/>
                    </v:line>
                  </w:pict>
                </mc:Fallback>
              </mc:AlternateContent>
            </w:r>
            <w:r>
              <w:rPr>
                <w:rFonts w:hAnsi="宋体"/>
                <w:b/>
                <w:bCs/>
                <w:color w:val="auto"/>
                <w:sz w:val="24"/>
              </w:rPr>
              <mc:AlternateContent>
                <mc:Choice Requires="wps">
                  <w:drawing>
                    <wp:anchor distT="0" distB="0" distL="114300" distR="114300" simplePos="0" relativeHeight="251681792" behindDoc="0" locked="0" layoutInCell="1" allowOverlap="1">
                      <wp:simplePos x="0" y="0"/>
                      <wp:positionH relativeFrom="column">
                        <wp:posOffset>2261870</wp:posOffset>
                      </wp:positionH>
                      <wp:positionV relativeFrom="paragraph">
                        <wp:posOffset>156210</wp:posOffset>
                      </wp:positionV>
                      <wp:extent cx="0" cy="495300"/>
                      <wp:effectExtent l="38100" t="0" r="38100" b="0"/>
                      <wp:wrapNone/>
                      <wp:docPr id="8" name="直接箭头连接符 4"/>
                      <wp:cNvGraphicFramePr/>
                      <a:graphic xmlns:a="http://schemas.openxmlformats.org/drawingml/2006/main">
                        <a:graphicData uri="http://schemas.microsoft.com/office/word/2010/wordprocessingShape">
                          <wps:wsp>
                            <wps:cNvCnPr/>
                            <wps:spPr>
                              <a:xfrm>
                                <a:off x="0" y="0"/>
                                <a:ext cx="0" cy="495300"/>
                              </a:xfrm>
                              <a:prstGeom prst="straightConnector1">
                                <a:avLst/>
                              </a:prstGeom>
                              <a:ln w="19050" cap="flat" cmpd="sng">
                                <a:solidFill>
                                  <a:schemeClr val="tx1"/>
                                </a:solidFill>
                                <a:prstDash val="solid"/>
                                <a:headEnd type="none" w="med" len="med"/>
                                <a:tailEnd type="triangle" w="med" len="med"/>
                              </a:ln>
                            </wps:spPr>
                            <wps:bodyPr/>
                          </wps:wsp>
                        </a:graphicData>
                      </a:graphic>
                    </wp:anchor>
                  </w:drawing>
                </mc:Choice>
                <mc:Fallback>
                  <w:pict>
                    <v:shape id="直接箭头连接符 4" o:spid="_x0000_s1026" o:spt="32" type="#_x0000_t32" style="position:absolute;left:0pt;margin-left:178.1pt;margin-top:12.3pt;height:39pt;width:0pt;z-index:251681792;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">
                      <v:fill on="f" focussize="0,0"/>
                      <v:stroke weight="1.5pt" color="#000000 [3213]" joinstyle="round" endarrow="block"/>
                      <v:imagedata o:title=""/>
                      <o:lock v:ext="edit" aspectratio="f"/>
                    </v:shape>
                  </w:pict>
                </mc:Fallback>
              </mc:AlternateContent>
            </w:r>
            <w:r>
              <w:rPr>
                <w:rFonts w:hAnsi="宋体"/>
                <w:b/>
                <w:bCs/>
                <w:color w:val="auto"/>
                <w:sz w:val="24"/>
              </w:rPr>
              <mc:AlternateContent>
                <mc:Choice Requires="wps">
                  <w:drawing>
                    <wp:anchor distT="0" distB="0" distL="114300" distR="114300" simplePos="0" relativeHeight="251707392" behindDoc="0" locked="0" layoutInCell="1" allowOverlap="1">
                      <wp:simplePos x="0" y="0"/>
                      <wp:positionH relativeFrom="column">
                        <wp:posOffset>518795</wp:posOffset>
                      </wp:positionH>
                      <wp:positionV relativeFrom="paragraph">
                        <wp:posOffset>318135</wp:posOffset>
                      </wp:positionV>
                      <wp:extent cx="1724025" cy="0"/>
                      <wp:effectExtent l="0" t="0" r="0" b="0"/>
                      <wp:wrapNone/>
                      <wp:docPr id="16" name="直接连接符 17"/>
                      <wp:cNvGraphicFramePr/>
                      <a:graphic xmlns:a="http://schemas.openxmlformats.org/drawingml/2006/main">
                        <a:graphicData uri="http://schemas.microsoft.com/office/word/2010/wordprocessingShape">
                          <wps:wsp>
                            <wps:cNvSpPr/>
                            <wps:spPr>
                              <a:xfrm>
                                <a:off x="0" y="0"/>
                                <a:ext cx="1724025" cy="0"/>
                              </a:xfrm>
                              <a:prstGeom prst="line">
                                <a:avLst/>
                              </a:prstGeom>
                              <a:ln w="9525" cap="flat" cmpd="sng">
                                <a:solidFill>
                                  <a:schemeClr val="tx1"/>
                                </a:solidFill>
                                <a:prstDash val="solid"/>
                                <a:headEnd type="none" w="med" len="med"/>
                                <a:tailEnd type="none" w="med" len="med"/>
                              </a:ln>
                            </wps:spPr>
                            <wps:bodyPr upright="1"/>
                          </wps:wsp>
                        </a:graphicData>
                      </a:graphic>
                    </wp:anchor>
                  </w:drawing>
                </mc:Choice>
                <mc:Fallback>
                  <w:pict>
                    <v:line id="直接连接符 17" o:spid="_x0000_s1026" o:spt="20" style="position:absolute;left:0pt;margin-left:40.85pt;margin-top:25.05pt;height:0pt;width:135.75pt;z-index:251707392;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">
                      <v:fill on="f" focussize="0,0"/>
                      <v:stroke color="#000000 [3213]" joinstyle="round"/>
                      <v:imagedata o:title=""/>
                      <o:lock v:ext="edit" aspectratio="f"/>
                    </v:line>
                  </w:pict>
                </mc:Fallback>
              </mc:AlternateConten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714560" behindDoc="0" locked="0" layoutInCell="1" allowOverlap="1">
                      <wp:simplePos x="0" y="0"/>
                      <wp:positionH relativeFrom="column">
                        <wp:posOffset>823595</wp:posOffset>
                      </wp:positionH>
                      <wp:positionV relativeFrom="paragraph">
                        <wp:posOffset>137160</wp:posOffset>
                      </wp:positionV>
                      <wp:extent cx="361950" cy="2305050"/>
                      <wp:effectExtent l="0" t="0" r="0" b="0"/>
                      <wp:wrapNone/>
                      <wp:docPr id="20" name="矩形 21"/>
                      <wp:cNvGraphicFramePr/>
                      <a:graphic xmlns:a="http://schemas.openxmlformats.org/drawingml/2006/main">
                        <a:graphicData uri="http://schemas.microsoft.com/office/word/2010/wordprocessingShape">
                          <wps:wsp>
                            <wps:cNvSpPr/>
                            <wps:spPr>
                              <a:xfrm>
                                <a:off x="0" y="0"/>
                                <a:ext cx="361950" cy="2305050"/>
                              </a:xfrm>
                              <a:prstGeom prst="rect">
                                <a:avLst/>
                              </a:prstGeom>
                              <a:solidFill>
                                <a:schemeClr val="bg1"/>
                              </a:solidFill>
                              <a:ln w="9525">
                                <a:noFill/>
                              </a:ln>
                            </wps:spPr>
                            <wps:txbx>
                              <w:txbxContent>
                                <w:p>
                                  <w:pPr>
                                    <w:jc w:val="center"/>
                                    <w:rPr>
                                      <w:color w:val="000000" w:themeColor="text1"/>
                                    </w:rPr>
                                  </w:pPr>
                                  <w:r>
                                    <w:rPr>
                                      <w:rFonts w:hint="eastAsia"/>
                                      <w:color w:val="000000" w:themeColor="text1"/>
                                    </w:rPr>
                                    <w:t>环境监测及二次污染防控</w:t>
                                  </w:r>
                                </w:p>
                              </w:txbxContent>
                            </wps:txbx>
                            <wps:bodyPr anchor="ctr" upright="1"/>
                          </wps:wsp>
                        </a:graphicData>
                      </a:graphic>
                    </wp:anchor>
                  </w:drawing>
                </mc:Choice>
                <mc:Fallback>
                  <w:pict>
                    <v:rect id="矩形 21" o:spid="_x0000_s1026" o:spt="1" style="position:absolute;left:0pt;margin-left:64.85pt;margin-top:10.8pt;height:181.5pt;width:28.5pt;z-index:251714560;v-text-anchor:middle;mso-width-relative:margin;mso-height-relative:margin;"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">
                      <v:fill on="t" focussize="0,0"/>
                      <v:stroke on="f"/>
                      <v:imagedata o:title=""/>
                      <o:lock v:ext="edit" aspectratio="f"/>
                      <v:textbox>
                        <w:txbxContent>
                          <w:p>
                            <w:pPr>
                              <w:jc w:val="center"/>
                              <w:rPr>
                                <w:color w:val="000000" w:themeColor="text1"/>
                              </w:rPr>
                            </w:pPr>
                            <w:r>
                              <w:rPr>
                                <w:rFonts w:hint="eastAsia"/>
                                <w:color w:val="000000" w:themeColor="text1"/>
                              </w:rPr>
                              <w:t>环境监测及二次污染防控</w:t>
                            </w:r>
                          </w:p>
                        </w:txbxContent>
                      </v:textbox>
                    </v:rect>
                  </w:pict>
                </mc:Fallback>
              </mc:AlternateContent>
            </w:r>
            <w:r>
              <w:rPr>
                <w:rFonts w:hAnsi="宋体"/>
                <w:b/>
                <w:bCs/>
                <w:color w:val="auto"/>
                <w:sz w:val="24"/>
              </w:rPr>
              <mc:AlternateContent>
                <mc:Choice Requires="wps">
                  <w:drawing>
                    <wp:anchor distT="0" distB="0" distL="114300" distR="114300" simplePos="0" relativeHeight="251683840" behindDoc="0" locked="0" layoutInCell="1" allowOverlap="1">
                      <wp:simplePos x="0" y="0"/>
                      <wp:positionH relativeFrom="column">
                        <wp:posOffset>1661795</wp:posOffset>
                      </wp:positionH>
                      <wp:positionV relativeFrom="paragraph">
                        <wp:posOffset>299085</wp:posOffset>
                      </wp:positionV>
                      <wp:extent cx="1209675" cy="352425"/>
                      <wp:effectExtent l="4445" t="4445" r="5080" b="5080"/>
                      <wp:wrapNone/>
                      <wp:docPr id="9" name="矩形 5"/>
                      <wp:cNvGraphicFramePr/>
                      <a:graphic xmlns:a="http://schemas.openxmlformats.org/drawingml/2006/main">
                        <a:graphicData uri="http://schemas.microsoft.com/office/word/2010/wordprocessingShape">
                          <wps:wsp>
                            <wps:cNvSpPr/>
                            <wps:spPr>
                              <a:xfrm>
                                <a:off x="0" y="0"/>
                                <a:ext cx="1209675" cy="352425"/>
                              </a:xfrm>
                              <a:prstGeom prst="rect">
                                <a:avLst/>
                              </a:prstGeom>
                              <a:noFill/>
                              <a:ln w="9525" cap="flat" cmpd="sng">
                                <a:solidFill>
                                  <a:schemeClr val="tx1"/>
                                </a:solidFill>
                                <a:prstDash val="solid"/>
                                <a:miter/>
                                <a:headEnd type="none" w="med" len="med"/>
                                <a:tailEnd type="none" w="med" len="med"/>
                              </a:ln>
                            </wps:spPr>
                            <wps:txbx>
                              <w:txbxContent>
                                <w:p>
                                  <w:pPr>
                                    <w:jc w:val="center"/>
                                    <w:rPr>
                                      <w:color w:val="000000" w:themeColor="text1"/>
                                    </w:rPr>
                                  </w:pPr>
                                  <w:r>
                                    <w:rPr>
                                      <w:rFonts w:hint="eastAsia"/>
                                      <w:color w:val="000000" w:themeColor="text1"/>
                                    </w:rPr>
                                    <w:t>土壤清挖及运输</w:t>
                                  </w:r>
                                </w:p>
                              </w:txbxContent>
                            </wps:txbx>
                            <wps:bodyPr anchor="ctr" upright="1"/>
                          </wps:wsp>
                        </a:graphicData>
                      </a:graphic>
                    </wp:anchor>
                  </w:drawing>
                </mc:Choice>
                <mc:Fallback>
                  <w:pict>
                    <v:rect id="矩形 5" o:spid="_x0000_s1026" o:spt="1" style="position:absolute;left:0pt;margin-left:130.85pt;margin-top:23.55pt;height:27.75pt;width:95.25pt;z-index:251683840;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">
                      <v:fill on="f" focussize="0,0"/>
                      <v:stroke color="#000000 [3213]" joinstyle="miter"/>
                      <v:imagedata o:title=""/>
                      <o:lock v:ext="edit" aspectratio="f"/>
                      <v:textbox>
                        <w:txbxContent>
                          <w:p>
                            <w:pPr>
                              <w:jc w:val="center"/>
                              <w:rPr>
                                <w:color w:val="000000" w:themeColor="text1"/>
                              </w:rPr>
                            </w:pPr>
                            <w:r>
                              <w:rPr>
                                <w:rFonts w:hint="eastAsia"/>
                                <w:color w:val="000000" w:themeColor="text1"/>
                              </w:rPr>
                              <w:t>土壤清挖及运输</w:t>
                            </w:r>
                          </w:p>
                        </w:txbxContent>
                      </v:textbox>
                    </v:rect>
                  </w:pict>
                </mc:Fallback>
              </mc:AlternateConten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716608" behindDoc="0" locked="0" layoutInCell="1" allowOverlap="1">
                      <wp:simplePos x="0" y="0"/>
                      <wp:positionH relativeFrom="column">
                        <wp:posOffset>2280920</wp:posOffset>
                      </wp:positionH>
                      <wp:positionV relativeFrom="paragraph">
                        <wp:posOffset>289560</wp:posOffset>
                      </wp:positionV>
                      <wp:extent cx="0" cy="495300"/>
                      <wp:effectExtent l="38100" t="0" r="38100" b="0"/>
                      <wp:wrapNone/>
                      <wp:docPr id="21" name="直接箭头连接符 22"/>
                      <wp:cNvGraphicFramePr/>
                      <a:graphic xmlns:a="http://schemas.openxmlformats.org/drawingml/2006/main">
                        <a:graphicData uri="http://schemas.microsoft.com/office/word/2010/wordprocessingShape">
                          <wps:wsp>
                            <wps:cNvCnPr/>
                            <wps:spPr>
                              <a:xfrm>
                                <a:off x="0" y="0"/>
                                <a:ext cx="0" cy="495300"/>
                              </a:xfrm>
                              <a:prstGeom prst="straightConnector1">
                                <a:avLst/>
                              </a:prstGeom>
                              <a:ln w="19050" cap="flat" cmpd="sng">
                                <a:solidFill>
                                  <a:schemeClr val="tx1"/>
                                </a:solidFill>
                                <a:prstDash val="solid"/>
                                <a:headEnd type="none" w="med" len="med"/>
                                <a:tailEnd type="triangle" w="med" len="med"/>
                              </a:ln>
                            </wps:spPr>
                            <wps:bodyPr/>
                          </wps:wsp>
                        </a:graphicData>
                      </a:graphic>
                    </wp:anchor>
                  </w:drawing>
                </mc:Choice>
                <mc:Fallback>
                  <w:pict>
                    <v:shape id="直接箭头连接符 22" o:spid="_x0000_s1026" o:spt="32" type="#_x0000_t32" style="position:absolute;left:0pt;margin-left:179.6pt;margin-top:22.8pt;height:39pt;width:0pt;z-index:251716608;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">
                      <v:fill on="f" focussize="0,0"/>
                      <v:stroke weight="1.5pt" color="#000000 [3213]" joinstyle="round" endarrow="block"/>
                      <v:imagedata o:title=""/>
                      <o:lock v:ext="edit" aspectratio="f"/>
                    </v:shape>
                  </w:pict>
                </mc:Fallback>
              </mc:AlternateContent>
            </w:r>
            <w:r>
              <w:rPr>
                <w:rFonts w:hAnsi="宋体"/>
                <w:b/>
                <w:bCs/>
                <w:color w:val="auto"/>
                <w:sz w:val="24"/>
              </w:rPr>
              <mc:AlternateContent>
                <mc:Choice Requires="wps">
                  <w:drawing>
                    <wp:anchor distT="0" distB="0" distL="114300" distR="114300" simplePos="0" relativeHeight="251712512" behindDoc="0" locked="0" layoutInCell="1" allowOverlap="1">
                      <wp:simplePos x="0" y="0"/>
                      <wp:positionH relativeFrom="column">
                        <wp:posOffset>3900170</wp:posOffset>
                      </wp:positionH>
                      <wp:positionV relativeFrom="paragraph">
                        <wp:posOffset>70485</wp:posOffset>
                      </wp:positionV>
                      <wp:extent cx="361950" cy="1019175"/>
                      <wp:effectExtent l="0" t="0" r="0" b="9525"/>
                      <wp:wrapNone/>
                      <wp:docPr id="19" name="矩形 20"/>
                      <wp:cNvGraphicFramePr/>
                      <a:graphic xmlns:a="http://schemas.openxmlformats.org/drawingml/2006/main">
                        <a:graphicData uri="http://schemas.microsoft.com/office/word/2010/wordprocessingShape">
                          <wps:wsp>
                            <wps:cNvSpPr/>
                            <wps:spPr>
                              <a:xfrm>
                                <a:off x="0" y="0"/>
                                <a:ext cx="361950" cy="1019175"/>
                              </a:xfrm>
                              <a:prstGeom prst="rect">
                                <a:avLst/>
                              </a:prstGeom>
                              <a:solidFill>
                                <a:schemeClr val="bg1"/>
                              </a:solidFill>
                              <a:ln w="9525">
                                <a:noFill/>
                              </a:ln>
                            </wps:spPr>
                            <wps:txbx>
                              <w:txbxContent>
                                <w:p>
                                  <w:pPr>
                                    <w:jc w:val="center"/>
                                    <w:rPr>
                                      <w:color w:val="000000" w:themeColor="text1"/>
                                    </w:rPr>
                                  </w:pPr>
                                  <w:r>
                                    <w:rPr>
                                      <w:rFonts w:hint="eastAsia"/>
                                      <w:color w:val="000000" w:themeColor="text1"/>
                                    </w:rPr>
                                    <w:t>项目监理</w:t>
                                  </w:r>
                                </w:p>
                              </w:txbxContent>
                            </wps:txbx>
                            <wps:bodyPr anchor="ctr" upright="1"/>
                          </wps:wsp>
                        </a:graphicData>
                      </a:graphic>
                    </wp:anchor>
                  </w:drawing>
                </mc:Choice>
                <mc:Fallback>
                  <w:pict>
                    <v:rect id="矩形 20" o:spid="_x0000_s1026" o:spt="1" style="position:absolute;left:0pt;margin-left:307.1pt;margin-top:5.55pt;height:80.25pt;width:28.5pt;z-index:251712512;v-text-anchor:middle;mso-width-relative:margin;mso-height-relative:margin;" fillcolor="#FFFFFF [3212]"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">
                      <v:fill on="t" focussize="0,0"/>
                      <v:stroke on="f"/>
                      <v:imagedata o:title=""/>
                      <o:lock v:ext="edit" aspectratio="f"/>
                      <v:textbox>
                        <w:txbxContent>
                          <w:p>
                            <w:pPr>
                              <w:jc w:val="center"/>
                              <w:rPr>
                                <w:color w:val="000000" w:themeColor="text1"/>
                              </w:rPr>
                            </w:pPr>
                            <w:r>
                              <w:rPr>
                                <w:rFonts w:hint="eastAsia"/>
                                <w:color w:val="000000" w:themeColor="text1"/>
                              </w:rPr>
                              <w:t>项目监理</w:t>
                            </w:r>
                          </w:p>
                        </w:txbxContent>
                      </v:textbox>
                    </v:rect>
                  </w:pict>
                </mc:Fallback>
              </mc:AlternateContent>
            </w:r>
          </w:p>
          <w:p>
            <w:pPr>
              <w:adjustRightInd w:val="0"/>
              <w:snapToGrid w:val="0"/>
              <w:spacing w:before="156" w:beforeLines="50" w:line="360" w:lineRule="auto"/>
              <w:rPr>
                <w:rFonts w:hAnsi="宋体"/>
                <w:b/>
                <w:bCs/>
                <w:color w:val="auto"/>
                <w:sz w:val="24"/>
              </w:rPr>
            </w:pP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687936" behindDoc="0" locked="0" layoutInCell="1" allowOverlap="1">
                      <wp:simplePos x="0" y="0"/>
                      <wp:positionH relativeFrom="column">
                        <wp:posOffset>1661795</wp:posOffset>
                      </wp:positionH>
                      <wp:positionV relativeFrom="paragraph">
                        <wp:posOffset>80010</wp:posOffset>
                      </wp:positionV>
                      <wp:extent cx="1209675" cy="352425"/>
                      <wp:effectExtent l="4445" t="4445" r="5080" b="5080"/>
                      <wp:wrapNone/>
                      <wp:docPr id="10" name="矩形 7"/>
                      <wp:cNvGraphicFramePr/>
                      <a:graphic xmlns:a="http://schemas.openxmlformats.org/drawingml/2006/main">
                        <a:graphicData uri="http://schemas.microsoft.com/office/word/2010/wordprocessingShape">
                          <wps:wsp>
                            <wps:cNvSpPr/>
                            <wps:spPr>
                              <a:xfrm>
                                <a:off x="0" y="0"/>
                                <a:ext cx="1209675" cy="352425"/>
                              </a:xfrm>
                              <a:prstGeom prst="rect">
                                <a:avLst/>
                              </a:prstGeom>
                              <a:noFill/>
                              <a:ln w="9525" cap="flat" cmpd="sng">
                                <a:solidFill>
                                  <a:schemeClr val="tx1"/>
                                </a:solidFill>
                                <a:prstDash val="solid"/>
                                <a:miter/>
                                <a:headEnd type="none" w="med" len="med"/>
                                <a:tailEnd type="none" w="med" len="med"/>
                              </a:ln>
                            </wps:spPr>
                            <wps:txbx>
                              <w:txbxContent>
                                <w:p>
                                  <w:pPr>
                                    <w:jc w:val="center"/>
                                    <w:rPr>
                                      <w:color w:val="000000" w:themeColor="text1"/>
                                    </w:rPr>
                                  </w:pPr>
                                  <w:r>
                                    <w:rPr>
                                      <w:rFonts w:hint="eastAsia"/>
                                      <w:color w:val="000000" w:themeColor="text1"/>
                                    </w:rPr>
                                    <w:t>土壤预处理</w:t>
                                  </w:r>
                                </w:p>
                              </w:txbxContent>
                            </wps:txbx>
                            <wps:bodyPr anchor="ctr" upright="1"/>
                          </wps:wsp>
                        </a:graphicData>
                      </a:graphic>
                    </wp:anchor>
                  </w:drawing>
                </mc:Choice>
                <mc:Fallback>
                  <w:pict>
                    <v:rect id="矩形 7" o:spid="_x0000_s1026" o:spt="1" style="position:absolute;left:0pt;margin-left:130.85pt;margin-top:6.3pt;height:27.75pt;width:95.25pt;z-index:251687936;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">
                      <v:fill on="f" focussize="0,0"/>
                      <v:stroke color="#000000 [3213]" joinstyle="miter"/>
                      <v:imagedata o:title=""/>
                      <o:lock v:ext="edit" aspectratio="f"/>
                      <v:textbox>
                        <w:txbxContent>
                          <w:p>
                            <w:pPr>
                              <w:jc w:val="center"/>
                              <w:rPr>
                                <w:color w:val="000000" w:themeColor="text1"/>
                              </w:rPr>
                            </w:pPr>
                            <w:r>
                              <w:rPr>
                                <w:rFonts w:hint="eastAsia"/>
                                <w:color w:val="000000" w:themeColor="text1"/>
                              </w:rPr>
                              <w:t>土壤预处理</w:t>
                            </w:r>
                          </w:p>
                        </w:txbxContent>
                      </v:textbox>
                    </v:rect>
                  </w:pict>
                </mc:Fallback>
              </mc:AlternateConten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718656" behindDoc="0" locked="0" layoutInCell="1" allowOverlap="1">
                      <wp:simplePos x="0" y="0"/>
                      <wp:positionH relativeFrom="column">
                        <wp:posOffset>2280920</wp:posOffset>
                      </wp:positionH>
                      <wp:positionV relativeFrom="paragraph">
                        <wp:posOffset>70485</wp:posOffset>
                      </wp:positionV>
                      <wp:extent cx="0" cy="495300"/>
                      <wp:effectExtent l="38100" t="0" r="38100" b="0"/>
                      <wp:wrapNone/>
                      <wp:docPr id="22" name="直接箭头连接符 23"/>
                      <wp:cNvGraphicFramePr/>
                      <a:graphic xmlns:a="http://schemas.openxmlformats.org/drawingml/2006/main">
                        <a:graphicData uri="http://schemas.microsoft.com/office/word/2010/wordprocessingShape">
                          <wps:wsp>
                            <wps:cNvCnPr/>
                            <wps:spPr>
                              <a:xfrm>
                                <a:off x="0" y="0"/>
                                <a:ext cx="0" cy="495300"/>
                              </a:xfrm>
                              <a:prstGeom prst="straightConnector1">
                                <a:avLst/>
                              </a:prstGeom>
                              <a:ln w="19050" cap="flat" cmpd="sng">
                                <a:solidFill>
                                  <a:schemeClr val="tx1"/>
                                </a:solidFill>
                                <a:prstDash val="solid"/>
                                <a:headEnd type="none" w="med" len="med"/>
                                <a:tailEnd type="triangle" w="med" len="med"/>
                              </a:ln>
                            </wps:spPr>
                            <wps:bodyPr/>
                          </wps:wsp>
                        </a:graphicData>
                      </a:graphic>
                    </wp:anchor>
                  </w:drawing>
                </mc:Choice>
                <mc:Fallback>
                  <w:pict>
                    <v:shape id="直接箭头连接符 23" o:spid="_x0000_s1026" o:spt="32" type="#_x0000_t32" style="position:absolute;left:0pt;margin-left:179.6pt;margin-top:5.55pt;height:39pt;width:0pt;z-index:251718656;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">
                      <v:fill on="f" focussize="0,0"/>
                      <v:stroke weight="1.5pt" color="#000000 [3213]" joinstyle="round" endarrow="block"/>
                      <v:imagedata o:title=""/>
                      <o:lock v:ext="edit" aspectratio="f"/>
                    </v:shape>
                  </w:pict>
                </mc:Fallback>
              </mc:AlternateConten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692032" behindDoc="0" locked="0" layoutInCell="1" allowOverlap="1">
                      <wp:simplePos x="0" y="0"/>
                      <wp:positionH relativeFrom="column">
                        <wp:posOffset>1299845</wp:posOffset>
                      </wp:positionH>
                      <wp:positionV relativeFrom="paragraph">
                        <wp:posOffset>194310</wp:posOffset>
                      </wp:positionV>
                      <wp:extent cx="1885315" cy="352425"/>
                      <wp:effectExtent l="4445" t="4445" r="15240" b="5080"/>
                      <wp:wrapNone/>
                      <wp:docPr id="11" name="矩形 9"/>
                      <wp:cNvGraphicFramePr/>
                      <a:graphic xmlns:a="http://schemas.openxmlformats.org/drawingml/2006/main">
                        <a:graphicData uri="http://schemas.microsoft.com/office/word/2010/wordprocessingShape">
                          <wps:wsp>
                            <wps:cNvSpPr/>
                            <wps:spPr>
                              <a:xfrm>
                                <a:off x="0" y="0"/>
                                <a:ext cx="1885315" cy="352425"/>
                              </a:xfrm>
                              <a:prstGeom prst="rect">
                                <a:avLst/>
                              </a:prstGeom>
                              <a:noFill/>
                              <a:ln w="9525" cap="flat" cmpd="sng">
                                <a:solidFill>
                                  <a:srgbClr val="000000"/>
                                </a:solidFill>
                                <a:prstDash val="solid"/>
                                <a:miter/>
                                <a:headEnd type="none" w="med" len="med"/>
                                <a:tailEnd type="none" w="med" len="med"/>
                              </a:ln>
                            </wps:spPr>
                            <wps:txbx>
                              <w:txbxContent>
                                <w:p>
                                  <w:pPr>
                                    <w:jc w:val="center"/>
                                    <w:rPr>
                                      <w:color w:val="000000" w:themeColor="text1"/>
                                    </w:rPr>
                                  </w:pPr>
                                  <w:r>
                                    <w:rPr>
                                      <w:rFonts w:hint="eastAsia"/>
                                      <w:color w:val="000000" w:themeColor="text1"/>
                                    </w:rPr>
                                    <w:t>污染土壤</w:t>
                                  </w:r>
                                  <w:r>
                                    <w:rPr>
                                      <w:rFonts w:hint="eastAsia"/>
                                      <w:color w:val="000000" w:themeColor="text1"/>
                                      <w:lang w:eastAsia="zh-CN"/>
                                    </w:rPr>
                                    <w:t>化学氧化技术</w:t>
                                  </w:r>
                                  <w:r>
                                    <w:rPr>
                                      <w:rFonts w:hint="eastAsia"/>
                                      <w:color w:val="000000" w:themeColor="text1"/>
                                    </w:rPr>
                                    <w:t>处置</w:t>
                                  </w:r>
                                </w:p>
                              </w:txbxContent>
                            </wps:txbx>
                            <wps:bodyPr anchor="ctr" upright="1"/>
                          </wps:wsp>
                        </a:graphicData>
                      </a:graphic>
                    </wp:anchor>
                  </w:drawing>
                </mc:Choice>
                <mc:Fallback>
                  <w:pict>
                    <v:rect id="矩形 9" o:spid="_x0000_s1026" o:spt="1" style="position:absolute;left:0pt;margin-left:102.35pt;margin-top:15.3pt;height:27.75pt;width:148.45pt;z-index:251692032;v-text-anchor:middle;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">
                      <v:fill on="f" focussize="0,0"/>
                      <v:stroke color="#000000" joinstyle="miter"/>
                      <v:imagedata o:title=""/>
                      <o:lock v:ext="edit" aspectratio="f"/>
                      <v:textbox>
                        <w:txbxContent>
                          <w:p>
                            <w:pPr>
                              <w:jc w:val="center"/>
                              <w:rPr>
                                <w:color w:val="000000" w:themeColor="text1"/>
                              </w:rPr>
                            </w:pPr>
                            <w:r>
                              <w:rPr>
                                <w:rFonts w:hint="eastAsia"/>
                                <w:color w:val="000000" w:themeColor="text1"/>
                              </w:rPr>
                              <w:t>污染土壤</w:t>
                            </w:r>
                            <w:r>
                              <w:rPr>
                                <w:rFonts w:hint="eastAsia"/>
                                <w:color w:val="000000" w:themeColor="text1"/>
                                <w:lang w:eastAsia="zh-CN"/>
                              </w:rPr>
                              <w:t>化学氧化技术</w:t>
                            </w:r>
                            <w:r>
                              <w:rPr>
                                <w:rFonts w:hint="eastAsia"/>
                                <w:color w:val="000000" w:themeColor="text1"/>
                              </w:rPr>
                              <w:t>处置</w:t>
                            </w:r>
                          </w:p>
                        </w:txbxContent>
                      </v:textbox>
                    </v:rect>
                  </w:pict>
                </mc:Fallback>
              </mc:AlternateConten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720704" behindDoc="0" locked="0" layoutInCell="1" allowOverlap="1">
                      <wp:simplePos x="0" y="0"/>
                      <wp:positionH relativeFrom="column">
                        <wp:posOffset>2290445</wp:posOffset>
                      </wp:positionH>
                      <wp:positionV relativeFrom="paragraph">
                        <wp:posOffset>184785</wp:posOffset>
                      </wp:positionV>
                      <wp:extent cx="0" cy="409575"/>
                      <wp:effectExtent l="38100" t="0" r="38100" b="9525"/>
                      <wp:wrapNone/>
                      <wp:docPr id="23" name="直接箭头连接符 24"/>
                      <wp:cNvGraphicFramePr/>
                      <a:graphic xmlns:a="http://schemas.openxmlformats.org/drawingml/2006/main">
                        <a:graphicData uri="http://schemas.microsoft.com/office/word/2010/wordprocessingShape">
                          <wps:wsp>
                            <wps:cNvCnPr/>
                            <wps:spPr>
                              <a:xfrm>
                                <a:off x="0" y="0"/>
                                <a:ext cx="0" cy="409575"/>
                              </a:xfrm>
                              <a:prstGeom prst="straightConnector1">
                                <a:avLst/>
                              </a:prstGeom>
                              <a:ln w="19050" cap="flat" cmpd="sng">
                                <a:solidFill>
                                  <a:schemeClr val="tx1"/>
                                </a:solidFill>
                                <a:prstDash val="solid"/>
                                <a:headEnd type="none" w="med" len="med"/>
                                <a:tailEnd type="triangle" w="med" len="med"/>
                              </a:ln>
                            </wps:spPr>
                            <wps:bodyPr/>
                          </wps:wsp>
                        </a:graphicData>
                      </a:graphic>
                    </wp:anchor>
                  </w:drawing>
                </mc:Choice>
                <mc:Fallback>
                  <w:pict>
                    <v:shape id="直接箭头连接符 24" o:spid="_x0000_s1026" o:spt="32" type="#_x0000_t32" style="position:absolute;left:0pt;margin-left:180.35pt;margin-top:14.55pt;height:32.25pt;width:0pt;z-index:251720704;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">
                      <v:fill on="f" focussize="0,0"/>
                      <v:stroke weight="1.5pt" color="#000000 [3213]" joinstyle="round" endarrow="block"/>
                      <v:imagedata o:title=""/>
                      <o:lock v:ext="edit" aspectratio="f"/>
                    </v:shape>
                  </w:pict>
                </mc:Fallback>
              </mc:AlternateContent>
            </w:r>
          </w:p>
          <w:p>
            <w:pPr>
              <w:adjustRightInd w:val="0"/>
              <w:snapToGrid w:val="0"/>
              <w:spacing w:before="156" w:beforeLines="50" w:line="360" w:lineRule="auto"/>
              <w:rPr>
                <w:rFonts w:hAnsi="宋体"/>
                <w:b/>
                <w:bCs/>
                <w:color w:val="auto"/>
                <w:sz w:val="24"/>
              </w:rPr>
            </w:pPr>
            <w:r>
              <w:rPr>
                <w:rFonts w:hAnsi="宋体"/>
                <w:b/>
                <w:bCs/>
                <w:color w:val="auto"/>
                <w:sz w:val="24"/>
              </w:rPr>
              <mc:AlternateContent>
                <mc:Choice Requires="wps">
                  <w:drawing>
                    <wp:anchor distT="0" distB="0" distL="114300" distR="114300" simplePos="0" relativeHeight="251703296" behindDoc="0" locked="0" layoutInCell="1" allowOverlap="1">
                      <wp:simplePos x="0" y="0"/>
                      <wp:positionH relativeFrom="column">
                        <wp:posOffset>547370</wp:posOffset>
                      </wp:positionH>
                      <wp:positionV relativeFrom="paragraph">
                        <wp:posOffset>90170</wp:posOffset>
                      </wp:positionV>
                      <wp:extent cx="1724025" cy="0"/>
                      <wp:effectExtent l="0" t="0" r="0" b="0"/>
                      <wp:wrapNone/>
                      <wp:docPr id="14" name="直接连接符 15"/>
                      <wp:cNvGraphicFramePr/>
                      <a:graphic xmlns:a="http://schemas.openxmlformats.org/drawingml/2006/main">
                        <a:graphicData uri="http://schemas.microsoft.com/office/word/2010/wordprocessingShape">
                          <wps:wsp>
                            <wps:cNvSpPr/>
                            <wps:spPr>
                              <a:xfrm>
                                <a:off x="0" y="0"/>
                                <a:ext cx="1724025" cy="0"/>
                              </a:xfrm>
                              <a:prstGeom prst="line">
                                <a:avLst/>
                              </a:prstGeom>
                              <a:ln w="9525" cap="flat" cmpd="sng">
                                <a:solidFill>
                                  <a:schemeClr val="tx1"/>
                                </a:solidFill>
                                <a:prstDash val="solid"/>
                                <a:headEnd type="none" w="med" len="med"/>
                                <a:tailEnd type="none" w="med" len="med"/>
                              </a:ln>
                            </wps:spPr>
                            <wps:bodyPr upright="1"/>
                          </wps:wsp>
                        </a:graphicData>
                      </a:graphic>
                    </wp:anchor>
                  </w:drawing>
                </mc:Choice>
                <mc:Fallback>
                  <w:pict>
                    <v:line id="直接连接符 15" o:spid="_x0000_s1026" o:spt="20" style="position:absolute;left:0pt;margin-left:43.1pt;margin-top:7.1pt;height:0pt;width:135.75pt;z-index:251703296;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">
                      <v:fill on="f" focussize="0,0"/>
                      <v:stroke color="#000000 [3213]" joinstyle="round"/>
                      <v:imagedata o:title=""/>
                      <o:lock v:ext="edit" aspectratio="f"/>
                    </v:line>
                  </w:pict>
                </mc:Fallback>
              </mc:AlternateContent>
            </w:r>
            <w:r>
              <w:rPr>
                <w:rFonts w:hAnsi="宋体"/>
                <w:b/>
                <w:bCs/>
                <w:color w:val="auto"/>
                <w:sz w:val="24"/>
              </w:rPr>
              <mc:AlternateContent>
                <mc:Choice Requires="wps">
                  <w:drawing>
                    <wp:anchor distT="0" distB="0" distL="114300" distR="114300" simplePos="0" relativeHeight="251696128" behindDoc="0" locked="0" layoutInCell="1" allowOverlap="1">
                      <wp:simplePos x="0" y="0"/>
                      <wp:positionH relativeFrom="column">
                        <wp:posOffset>1537970</wp:posOffset>
                      </wp:positionH>
                      <wp:positionV relativeFrom="paragraph">
                        <wp:posOffset>233045</wp:posOffset>
                      </wp:positionV>
                      <wp:extent cx="1438275" cy="352425"/>
                      <wp:effectExtent l="4445" t="4445" r="5080" b="5080"/>
                      <wp:wrapNone/>
                      <wp:docPr id="12" name="矩形 11"/>
                      <wp:cNvGraphicFramePr/>
                      <a:graphic xmlns:a="http://schemas.openxmlformats.org/drawingml/2006/main">
                        <a:graphicData uri="http://schemas.microsoft.com/office/word/2010/wordprocessingShape">
                          <wps:wsp>
                            <wps:cNvSpPr/>
                            <wps:spPr>
                              <a:xfrm>
                                <a:off x="0" y="0"/>
                                <a:ext cx="1438275" cy="352425"/>
                              </a:xfrm>
                              <a:prstGeom prst="rect">
                                <a:avLst/>
                              </a:prstGeom>
                              <a:noFill/>
                              <a:ln w="9525" cap="flat" cmpd="sng">
                                <a:solidFill>
                                  <a:schemeClr val="tx1"/>
                                </a:solidFill>
                                <a:prstDash val="solid"/>
                                <a:miter/>
                                <a:headEnd type="none" w="med" len="med"/>
                                <a:tailEnd type="none" w="med" len="med"/>
                              </a:ln>
                            </wps:spPr>
                            <wps:txbx>
                              <w:txbxContent>
                                <w:p>
                                  <w:pPr>
                                    <w:jc w:val="center"/>
                                    <w:rPr>
                                      <w:color w:val="000000" w:themeColor="text1"/>
                                    </w:rPr>
                                  </w:pPr>
                                  <w:r>
                                    <w:rPr>
                                      <w:rFonts w:hint="eastAsia"/>
                                      <w:color w:val="000000" w:themeColor="text1"/>
                                    </w:rPr>
                                    <w:t>修复效果评估及验收</w:t>
                                  </w:r>
                                </w:p>
                              </w:txbxContent>
                            </wps:txbx>
                            <wps:bodyPr anchor="ctr" upright="1"/>
                          </wps:wsp>
                        </a:graphicData>
                      </a:graphic>
                    </wp:anchor>
                  </w:drawing>
                </mc:Choice>
                <mc:Fallback>
                  <w:pict>
                    <v:rect id="矩形 11" o:spid="_x0000_s1026" o:spt="1" style="position:absolute;left:0pt;margin-left:121.1pt;margin-top:18.35pt;height:27.75pt;width:113.25pt;z-index:251696128;v-text-anchor:middle;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">
                      <v:fill on="f" focussize="0,0"/>
                      <v:stroke color="#000000 [3213]" joinstyle="miter"/>
                      <v:imagedata o:title=""/>
                      <o:lock v:ext="edit" aspectratio="f"/>
                      <v:textbox>
                        <w:txbxContent>
                          <w:p>
                            <w:pPr>
                              <w:jc w:val="center"/>
                              <w:rPr>
                                <w:color w:val="000000" w:themeColor="text1"/>
                              </w:rPr>
                            </w:pPr>
                            <w:r>
                              <w:rPr>
                                <w:rFonts w:hint="eastAsia"/>
                                <w:color w:val="000000" w:themeColor="text1"/>
                              </w:rPr>
                              <w:t>修复效果评估及验收</w:t>
                            </w:r>
                          </w:p>
                        </w:txbxContent>
                      </v:textbox>
                    </v:rect>
                  </w:pict>
                </mc:Fallback>
              </mc:AlternateContent>
            </w:r>
          </w:p>
          <w:p>
            <w:pPr>
              <w:adjustRightInd w:val="0"/>
              <w:snapToGrid w:val="0"/>
              <w:spacing w:before="156" w:beforeLines="50" w:line="360" w:lineRule="auto"/>
              <w:rPr>
                <w:rFonts w:hint="eastAsia" w:hAnsi="宋体"/>
                <w:b/>
                <w:bCs/>
                <w:color w:val="auto"/>
                <w:u w:val="single"/>
              </w:rPr>
            </w:pPr>
            <w:r>
              <w:rPr>
                <w:rFonts w:hAnsi="宋体"/>
                <w:b/>
                <w:bCs/>
                <w:color w:val="auto"/>
                <w:sz w:val="24"/>
              </w:rPr>
              <mc:AlternateContent>
                <mc:Choice Requires="wps">
                  <w:drawing>
                    <wp:anchor distT="0" distB="0" distL="114300" distR="114300" simplePos="0" relativeHeight="251705344" behindDoc="0" locked="0" layoutInCell="1" allowOverlap="1">
                      <wp:simplePos x="0" y="0"/>
                      <wp:positionH relativeFrom="column">
                        <wp:posOffset>3433445</wp:posOffset>
                      </wp:positionH>
                      <wp:positionV relativeFrom="paragraph">
                        <wp:posOffset>23495</wp:posOffset>
                      </wp:positionV>
                      <wp:extent cx="1323975" cy="0"/>
                      <wp:effectExtent l="0" t="0" r="0" b="0"/>
                      <wp:wrapNone/>
                      <wp:docPr id="15" name="直接连接符 16"/>
                      <wp:cNvGraphicFramePr/>
                      <a:graphic xmlns:a="http://schemas.openxmlformats.org/drawingml/2006/main">
                        <a:graphicData uri="http://schemas.microsoft.com/office/word/2010/wordprocessingShape">
                          <wps:wsp>
                            <wps:cNvSpPr/>
                            <wps:spPr>
                              <a:xfrm>
                                <a:off x="0" y="0"/>
                                <a:ext cx="1323975" cy="0"/>
                              </a:xfrm>
                              <a:prstGeom prst="line">
                                <a:avLst/>
                              </a:prstGeom>
                              <a:ln w="9525" cap="flat" cmpd="sng">
                                <a:solidFill>
                                  <a:schemeClr val="tx1"/>
                                </a:solidFill>
                                <a:prstDash val="solid"/>
                                <a:headEnd type="none" w="med" len="med"/>
                                <a:tailEnd type="none" w="med" len="med"/>
                              </a:ln>
                            </wps:spPr>
                            <wps:bodyPr upright="1"/>
                          </wps:wsp>
                        </a:graphicData>
                      </a:graphic>
                    </wp:anchor>
                  </w:drawing>
                </mc:Choice>
                <mc:Fallback>
                  <w:pict>
                    <v:line id="直接连接符 16" o:spid="_x0000_s1026" o:spt="20" style="position:absolute;left:0pt;margin-left:270.35pt;margin-top:1.85pt;height:0pt;width:104.25pt;z-index:251705344;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">
                      <v:fill on="f" focussize="0,0"/>
                      <v:stroke color="#000000 [3213]"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int="eastAsia" w:hAnsi="宋体"/>
                <w:b/>
                <w:bCs/>
                <w:color w:val="auto"/>
                <w:u w:val="single"/>
              </w:rPr>
              <w:t>图4污染土壤修复技术路线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hAnsi="宋体"/>
                <w:b/>
                <w:bCs/>
                <w:color w:val="FF0000"/>
                <w:sz w:val="24"/>
                <w:szCs w:val="24"/>
                <w:u w:val="singl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hAnsi="宋体"/>
                <w:b/>
                <w:bCs/>
                <w:color w:val="FF0000"/>
                <w:sz w:val="24"/>
                <w:szCs w:val="24"/>
                <w:u w:val="singl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hAnsi="宋体"/>
                <w:b/>
                <w:bCs/>
                <w:color w:val="FF0000"/>
                <w:sz w:val="24"/>
                <w:szCs w:val="24"/>
                <w:u w:val="single"/>
              </w:rPr>
            </w:pPr>
            <w:r>
              <w:rPr>
                <w:rFonts w:hint="eastAsia" w:hAnsi="宋体"/>
                <w:b/>
                <w:bCs/>
                <w:color w:val="FF0000"/>
                <w:sz w:val="24"/>
                <w:szCs w:val="24"/>
                <w:u w:val="single"/>
                <w:lang w:eastAsia="zh-CN"/>
              </w:rPr>
              <w:t>土壤修复工艺</w:t>
            </w:r>
            <w:r>
              <w:rPr>
                <w:rFonts w:hint="eastAsia" w:hAnsi="宋体"/>
                <w:b/>
                <w:bCs/>
                <w:color w:val="FF0000"/>
                <w:sz w:val="24"/>
                <w:szCs w:val="24"/>
                <w:u w:val="single"/>
              </w:rPr>
              <w:t>简述：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color w:val="FF0000"/>
                <w:sz w:val="24"/>
                <w:szCs w:val="24"/>
                <w:u w:val="single"/>
              </w:rPr>
            </w:pPr>
            <w:r>
              <w:rPr>
                <w:b/>
                <w:bCs/>
                <w:color w:val="FF0000"/>
                <w:sz w:val="24"/>
                <w:szCs w:val="24"/>
                <w:u w:val="single"/>
              </w:rPr>
              <w:t>（1）工程测量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FF0000"/>
                <w:sz w:val="24"/>
                <w:szCs w:val="24"/>
                <w:u w:val="single"/>
              </w:rPr>
            </w:pPr>
            <w:r>
              <w:rPr>
                <w:color w:val="FF0000"/>
                <w:sz w:val="24"/>
                <w:szCs w:val="24"/>
                <w:u w:val="single"/>
              </w:rPr>
              <w:t>制定的施工测量放线方案在经监理审批后方可开始施工放线，建立测量数据库，调试数据采样、分析、传输等测量设备及测量数据处理软件，确保工程测量的准确性。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color w:val="FF0000"/>
                <w:sz w:val="24"/>
                <w:szCs w:val="24"/>
                <w:u w:val="single"/>
              </w:rPr>
            </w:pPr>
            <w:r>
              <w:rPr>
                <w:color w:val="FF0000"/>
                <w:sz w:val="24"/>
                <w:szCs w:val="24"/>
                <w:u w:val="single"/>
              </w:rPr>
              <w:t>对本项目进行定位和放线拟以</w:t>
            </w:r>
            <w:r>
              <w:rPr>
                <w:rFonts w:hint="eastAsia"/>
                <w:color w:val="FF0000"/>
                <w:sz w:val="24"/>
                <w:szCs w:val="24"/>
                <w:u w:val="single"/>
                <w:lang w:eastAsia="zh-CN"/>
              </w:rPr>
              <w:t>建设单位</w:t>
            </w:r>
            <w:r>
              <w:rPr>
                <w:color w:val="FF0000"/>
                <w:sz w:val="24"/>
                <w:szCs w:val="24"/>
                <w:u w:val="single"/>
              </w:rPr>
              <w:t>书面给定的原始基准点、基准红线和基准标高为基础，建立闭合导线控制网，再根据施工控制网测设各个细部。开工前测量准备工作包括：检查和复核测量基准点，增设控制点和水准点，建立控制网、施工放线。施工测量的精准度按《工程测量规范》（GB50026-2007）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b/>
                <w:bCs/>
                <w:color w:val="FF0000"/>
                <w:sz w:val="24"/>
                <w:szCs w:val="24"/>
                <w:u w:val="single"/>
              </w:rPr>
            </w:pPr>
            <w:r>
              <w:rPr>
                <w:b/>
                <w:bCs/>
                <w:color w:val="FF0000"/>
                <w:sz w:val="24"/>
                <w:szCs w:val="24"/>
                <w:u w:val="single"/>
              </w:rPr>
              <w:t>（2）土壤清挖及运输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sz w:val="24"/>
                <w:szCs w:val="24"/>
                <w:highlight w:val="none"/>
                <w:u w:val="single"/>
                <w:lang w:val="en-US" w:eastAsia="zh-CN"/>
              </w:rPr>
            </w:pPr>
            <w:r>
              <w:rPr>
                <w:rFonts w:hint="eastAsia"/>
                <w:color w:val="FF0000"/>
                <w:sz w:val="24"/>
                <w:szCs w:val="24"/>
                <w:highlight w:val="none"/>
                <w:u w:val="single"/>
                <w:lang w:val="en-US" w:eastAsia="zh-CN"/>
              </w:rPr>
              <w:t>在土壤清挖之前由施工方对原有建筑进行拆除，并对拆除的建筑垃圾进行鉴别，对含有本项目已检测的突出污染物的建筑垃圾转运至负压密闭大棚（位于项目场区内）进行修复，其修复工艺与土壤修复工艺相同，但基坑周边严禁超堆荷载，坑边2米范围内不得堆载，2米外地面超载值不大于15KPa。另钢板桩屈服强度要求为290N/mm</w:t>
            </w:r>
            <w:r>
              <w:rPr>
                <w:rFonts w:hint="eastAsia"/>
                <w:color w:val="FF0000"/>
                <w:sz w:val="24"/>
                <w:szCs w:val="24"/>
                <w:highlight w:val="none"/>
                <w:u w:val="single"/>
                <w:vertAlign w:val="superscript"/>
                <w:lang w:val="en-US" w:eastAsia="zh-CN"/>
              </w:rPr>
              <w:t>2</w:t>
            </w:r>
            <w:r>
              <w:rPr>
                <w:rFonts w:hint="eastAsia"/>
                <w:color w:val="FF0000"/>
                <w:sz w:val="24"/>
                <w:szCs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u w:val="single"/>
                <w:lang w:eastAsia="zh-CN"/>
              </w:rPr>
            </w:pPr>
            <w:r>
              <w:rPr>
                <w:color w:val="FF0000"/>
                <w:sz w:val="24"/>
                <w:szCs w:val="24"/>
                <w:u w:val="single"/>
              </w:rPr>
              <w:t>污染土壤清挖主要以机械为主，人工为辅的方法。根据施工条件、开挖要求和污染土壤清挖量，在施工前合理安排机械设备和人员数量，并做好各方面的准备工作，在土壤清挖后直接转运至土壤修复区域。在清挖工程中的基坑支护施工流程为：施工双管旋喷桩——基坑开挖到指定高程——钢板位置的定位放线——打入拉森钢板桩——开挖基坑——施工H型钢板及钢管支撑——开挖至设计标高——若基坑出现渗水应立即抽水——基底地基处理——基坑底基础施工——拆除型钢及钢管支撑——拔除拉森钢板桩——注浆填充。</w:t>
            </w:r>
            <w:r>
              <w:rPr>
                <w:rFonts w:hint="eastAsia"/>
                <w:color w:val="FF0000"/>
                <w:sz w:val="24"/>
                <w:szCs w:val="24"/>
                <w:u w:val="single"/>
                <w:lang w:eastAsia="zh-CN"/>
              </w:rPr>
              <w:t>在施工期间基坑支护监测值参数需达到以下标准。</w:t>
            </w:r>
          </w:p>
          <w:p>
            <w:pPr>
              <w:pStyle w:val="2"/>
              <w:spacing w:after="0"/>
              <w:jc w:val="center"/>
              <w:rPr>
                <w:rFonts w:hint="eastAsia"/>
                <w:b/>
                <w:color w:val="FF0000"/>
                <w:sz w:val="21"/>
                <w:szCs w:val="21"/>
                <w:u w:val="single"/>
                <w:lang w:eastAsia="zh-CN"/>
              </w:rPr>
            </w:pPr>
            <w:r>
              <w:rPr>
                <w:rFonts w:hint="eastAsia"/>
                <w:b/>
                <w:color w:val="FF0000"/>
                <w:sz w:val="21"/>
                <w:szCs w:val="21"/>
                <w:u w:val="single"/>
                <w:lang w:val="en-US" w:eastAsia="zh-CN"/>
              </w:rPr>
              <w:t xml:space="preserve">表25  </w:t>
            </w:r>
            <w:r>
              <w:rPr>
                <w:rFonts w:hint="eastAsia"/>
                <w:b/>
                <w:color w:val="FF0000"/>
                <w:sz w:val="21"/>
                <w:szCs w:val="21"/>
                <w:u w:val="single"/>
                <w:lang w:eastAsia="zh-CN"/>
              </w:rPr>
              <w:t>基坑支护监测参数一览表</w:t>
            </w:r>
          </w:p>
          <w:tbl>
            <w:tblPr>
              <w:tblStyle w:val="31"/>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2057"/>
              <w:gridCol w:w="1282"/>
              <w:gridCol w:w="999"/>
              <w:gridCol w:w="2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b/>
                      <w:bCs/>
                      <w:color w:val="FF0000"/>
                      <w:sz w:val="21"/>
                      <w:szCs w:val="21"/>
                      <w:u w:val="single"/>
                      <w:vertAlign w:val="baseline"/>
                      <w:lang w:eastAsia="zh-CN"/>
                    </w:rPr>
                  </w:pPr>
                  <w:r>
                    <w:rPr>
                      <w:rFonts w:hint="eastAsia"/>
                      <w:b/>
                      <w:bCs/>
                      <w:color w:val="FF0000"/>
                      <w:sz w:val="21"/>
                      <w:szCs w:val="21"/>
                      <w:u w:val="single"/>
                      <w:vertAlign w:val="baseline"/>
                      <w:lang w:eastAsia="zh-CN"/>
                    </w:rPr>
                    <w:t>监测项目</w:t>
                  </w:r>
                </w:p>
              </w:tc>
              <w:tc>
                <w:tcPr>
                  <w:tcW w:w="205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b/>
                      <w:bCs/>
                      <w:color w:val="FF0000"/>
                      <w:sz w:val="21"/>
                      <w:szCs w:val="21"/>
                      <w:u w:val="single"/>
                      <w:vertAlign w:val="baseline"/>
                      <w:lang w:eastAsia="zh-CN"/>
                    </w:rPr>
                  </w:pPr>
                  <w:r>
                    <w:rPr>
                      <w:rFonts w:hint="eastAsia"/>
                      <w:b/>
                      <w:bCs/>
                      <w:color w:val="FF0000"/>
                      <w:sz w:val="21"/>
                      <w:szCs w:val="21"/>
                      <w:u w:val="single"/>
                      <w:vertAlign w:val="baseline"/>
                      <w:lang w:eastAsia="zh-CN"/>
                    </w:rPr>
                    <w:t>位置或监测对象</w:t>
                  </w:r>
                </w:p>
              </w:tc>
              <w:tc>
                <w:tcPr>
                  <w:tcW w:w="12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b/>
                      <w:bCs/>
                      <w:color w:val="FF0000"/>
                      <w:sz w:val="21"/>
                      <w:szCs w:val="21"/>
                      <w:u w:val="single"/>
                      <w:vertAlign w:val="baseline"/>
                      <w:lang w:eastAsia="zh-CN"/>
                    </w:rPr>
                  </w:pPr>
                  <w:r>
                    <w:rPr>
                      <w:rFonts w:hint="eastAsia"/>
                      <w:b/>
                      <w:bCs/>
                      <w:color w:val="FF0000"/>
                      <w:sz w:val="21"/>
                      <w:szCs w:val="21"/>
                      <w:u w:val="single"/>
                      <w:vertAlign w:val="baseline"/>
                      <w:lang w:eastAsia="zh-CN"/>
                    </w:rPr>
                    <w:t>仪器</w:t>
                  </w:r>
                </w:p>
              </w:tc>
              <w:tc>
                <w:tcPr>
                  <w:tcW w:w="99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b/>
                      <w:bCs/>
                      <w:color w:val="FF0000"/>
                      <w:sz w:val="21"/>
                      <w:szCs w:val="21"/>
                      <w:u w:val="single"/>
                      <w:vertAlign w:val="baseline"/>
                      <w:lang w:eastAsia="zh-CN"/>
                    </w:rPr>
                  </w:pPr>
                  <w:r>
                    <w:rPr>
                      <w:rFonts w:hint="eastAsia"/>
                      <w:b/>
                      <w:bCs/>
                      <w:color w:val="FF0000"/>
                      <w:sz w:val="21"/>
                      <w:szCs w:val="21"/>
                      <w:u w:val="single"/>
                      <w:vertAlign w:val="baseline"/>
                      <w:lang w:eastAsia="zh-CN"/>
                    </w:rPr>
                    <w:t>监测精度</w:t>
                  </w:r>
                </w:p>
              </w:tc>
              <w:tc>
                <w:tcPr>
                  <w:tcW w:w="29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b/>
                      <w:bCs/>
                      <w:color w:val="FF0000"/>
                      <w:sz w:val="21"/>
                      <w:szCs w:val="21"/>
                      <w:u w:val="single"/>
                      <w:vertAlign w:val="baseline"/>
                      <w:lang w:eastAsia="zh-CN"/>
                    </w:rPr>
                  </w:pPr>
                  <w:r>
                    <w:rPr>
                      <w:rFonts w:hint="eastAsia"/>
                      <w:b/>
                      <w:bCs/>
                      <w:color w:val="FF0000"/>
                      <w:sz w:val="21"/>
                      <w:szCs w:val="21"/>
                      <w:u w:val="single"/>
                      <w:vertAlign w:val="baseline"/>
                      <w:lang w:eastAsia="zh-CN"/>
                    </w:rPr>
                    <w:t>预警控制值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支护结构顶部水平位移</w:t>
                  </w:r>
                </w:p>
              </w:tc>
              <w:tc>
                <w:tcPr>
                  <w:tcW w:w="205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钢板桩上端部</w:t>
                  </w:r>
                </w:p>
              </w:tc>
              <w:tc>
                <w:tcPr>
                  <w:tcW w:w="12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经纬仪</w:t>
                  </w:r>
                </w:p>
              </w:tc>
              <w:tc>
                <w:tcPr>
                  <w:tcW w:w="99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val="en-US" w:eastAsia="zh-CN"/>
                    </w:rPr>
                  </w:pPr>
                  <w:r>
                    <w:rPr>
                      <w:rFonts w:hint="eastAsia"/>
                      <w:color w:val="FF0000"/>
                      <w:sz w:val="21"/>
                      <w:szCs w:val="21"/>
                      <w:u w:val="single"/>
                      <w:vertAlign w:val="baseline"/>
                      <w:lang w:val="en-US" w:eastAsia="zh-CN"/>
                    </w:rPr>
                    <w:t>1.0mm</w:t>
                  </w:r>
                </w:p>
              </w:tc>
              <w:tc>
                <w:tcPr>
                  <w:tcW w:w="29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警报值</w:t>
                  </w:r>
                  <w:r>
                    <w:rPr>
                      <w:rFonts w:hint="eastAsia"/>
                      <w:color w:val="FF0000"/>
                      <w:sz w:val="21"/>
                      <w:szCs w:val="21"/>
                      <w:u w:val="single"/>
                      <w:vertAlign w:val="baseline"/>
                      <w:lang w:val="en-US" w:eastAsia="zh-CN"/>
                    </w:rPr>
                    <w:t>28mm，控制值35mm，基坑开挖阶段速率＜6mm/d，土方开挖完成后＜3mm/d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支护结构顶部竖向位移</w:t>
                  </w:r>
                </w:p>
              </w:tc>
              <w:tc>
                <w:tcPr>
                  <w:tcW w:w="205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钢板桩上端部</w:t>
                  </w:r>
                </w:p>
              </w:tc>
              <w:tc>
                <w:tcPr>
                  <w:tcW w:w="12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水准仪</w:t>
                  </w:r>
                </w:p>
              </w:tc>
              <w:tc>
                <w:tcPr>
                  <w:tcW w:w="99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val="en-US" w:eastAsia="zh-CN"/>
                    </w:rPr>
                    <w:t>1.0mm</w:t>
                  </w:r>
                </w:p>
              </w:tc>
              <w:tc>
                <w:tcPr>
                  <w:tcW w:w="29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警报值</w:t>
                  </w:r>
                  <w:r>
                    <w:rPr>
                      <w:rFonts w:hint="eastAsia"/>
                      <w:color w:val="FF0000"/>
                      <w:sz w:val="21"/>
                      <w:szCs w:val="21"/>
                      <w:u w:val="single"/>
                      <w:vertAlign w:val="baseline"/>
                      <w:lang w:val="en-US" w:eastAsia="zh-CN"/>
                    </w:rPr>
                    <w:t>28mm，控制值35mm，基坑开挖阶段速率＜6mm/d，土方开挖完成后＜3mm/d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深层水平位移</w:t>
                  </w:r>
                </w:p>
              </w:tc>
              <w:tc>
                <w:tcPr>
                  <w:tcW w:w="205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钢板桩桩身</w:t>
                  </w:r>
                </w:p>
              </w:tc>
              <w:tc>
                <w:tcPr>
                  <w:tcW w:w="12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吊锤</w:t>
                  </w:r>
                </w:p>
              </w:tc>
              <w:tc>
                <w:tcPr>
                  <w:tcW w:w="99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val="en-US" w:eastAsia="zh-CN"/>
                    </w:rPr>
                    <w:t>1.0mm</w:t>
                  </w:r>
                </w:p>
              </w:tc>
              <w:tc>
                <w:tcPr>
                  <w:tcW w:w="29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警报值</w:t>
                  </w:r>
                  <w:r>
                    <w:rPr>
                      <w:rFonts w:hint="eastAsia"/>
                      <w:color w:val="FF0000"/>
                      <w:sz w:val="21"/>
                      <w:szCs w:val="21"/>
                      <w:u w:val="single"/>
                      <w:vertAlign w:val="baseline"/>
                      <w:lang w:val="en-US" w:eastAsia="zh-CN"/>
                    </w:rPr>
                    <w:t>32mm，控制值40mm，基坑开挖阶段速率＜6mm/d，土方开挖完成后＜3mm/d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181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周边地表竖向位移</w:t>
                  </w:r>
                </w:p>
              </w:tc>
              <w:tc>
                <w:tcPr>
                  <w:tcW w:w="205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支护结构周边土体</w:t>
                  </w:r>
                </w:p>
              </w:tc>
              <w:tc>
                <w:tcPr>
                  <w:tcW w:w="12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水准仪</w:t>
                  </w:r>
                </w:p>
              </w:tc>
              <w:tc>
                <w:tcPr>
                  <w:tcW w:w="99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val="en-US" w:eastAsia="zh-CN"/>
                    </w:rPr>
                    <w:t>1.0mm</w:t>
                  </w:r>
                </w:p>
              </w:tc>
              <w:tc>
                <w:tcPr>
                  <w:tcW w:w="291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sz w:val="21"/>
                      <w:szCs w:val="21"/>
                      <w:u w:val="single"/>
                      <w:vertAlign w:val="baseline"/>
                      <w:lang w:eastAsia="zh-CN"/>
                    </w:rPr>
                  </w:pPr>
                  <w:r>
                    <w:rPr>
                      <w:rFonts w:hint="eastAsia"/>
                      <w:color w:val="FF0000"/>
                      <w:sz w:val="21"/>
                      <w:szCs w:val="21"/>
                      <w:u w:val="single"/>
                      <w:vertAlign w:val="baseline"/>
                      <w:lang w:eastAsia="zh-CN"/>
                    </w:rPr>
                    <w:t>警报值</w:t>
                  </w:r>
                  <w:r>
                    <w:rPr>
                      <w:rFonts w:hint="eastAsia"/>
                      <w:color w:val="FF0000"/>
                      <w:sz w:val="21"/>
                      <w:szCs w:val="21"/>
                      <w:u w:val="single"/>
                      <w:vertAlign w:val="baseline"/>
                      <w:lang w:val="en-US" w:eastAsia="zh-CN"/>
                    </w:rPr>
                    <w:t>28mm，控制值35mm，基坑开挖阶段速率＜6mm/d，土方开挖完成后＜3mm/d</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color w:val="FF0000"/>
                <w:kern w:val="2"/>
                <w:sz w:val="24"/>
                <w:szCs w:val="24"/>
                <w:u w:val="single"/>
                <w:lang w:val="en-US" w:eastAsia="zh-CN" w:bidi="ar-SA"/>
              </w:rPr>
            </w:pPr>
            <w:r>
              <w:rPr>
                <w:rFonts w:hint="eastAsia"/>
                <w:color w:val="FF0000"/>
                <w:kern w:val="2"/>
                <w:sz w:val="24"/>
                <w:szCs w:val="24"/>
                <w:u w:val="single"/>
                <w:lang w:val="en-US" w:eastAsia="zh-CN" w:bidi="ar-SA"/>
              </w:rPr>
              <w:t>各项监测工作的时间间隔根据施工进度确定，在土方开挖阶段，至少每1天测一次并加强观测。特别是当出现异常、危险施工征兆时，需进行联系监测，每次监测工作结束后，及时提交监测简报及处理意见。</w:t>
            </w:r>
          </w:p>
          <w:p>
            <w:pPr>
              <w:pStyle w:val="2"/>
              <w:spacing w:after="0"/>
              <w:jc w:val="center"/>
              <w:rPr>
                <w:rFonts w:hint="eastAsia"/>
                <w:b/>
                <w:color w:val="FF0000"/>
                <w:sz w:val="21"/>
                <w:szCs w:val="21"/>
                <w:u w:val="single"/>
                <w:lang w:val="en-US" w:eastAsia="zh-CN"/>
              </w:rPr>
            </w:pPr>
            <w:r>
              <w:rPr>
                <w:rFonts w:hint="eastAsia"/>
                <w:b/>
                <w:color w:val="FF0000"/>
                <w:sz w:val="21"/>
                <w:szCs w:val="21"/>
                <w:u w:val="single"/>
                <w:lang w:val="en-US" w:eastAsia="zh-CN"/>
              </w:rPr>
              <w:t>表26  现场仪器监测的监测频率</w:t>
            </w:r>
          </w:p>
          <w:tbl>
            <w:tblPr>
              <w:tblStyle w:val="31"/>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1512"/>
              <w:gridCol w:w="4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535"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施工进度</w:t>
                  </w:r>
                </w:p>
              </w:tc>
              <w:tc>
                <w:tcPr>
                  <w:tcW w:w="45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基坑设计深度2.0-5.0m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535"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开挖工程</w:t>
                  </w:r>
                </w:p>
              </w:tc>
              <w:tc>
                <w:tcPr>
                  <w:tcW w:w="45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1次/1d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02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底板浇筑后时间</w:t>
                  </w:r>
                </w:p>
              </w:tc>
              <w:tc>
                <w:tcPr>
                  <w:tcW w:w="15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≤7d</w:t>
                  </w:r>
                </w:p>
              </w:tc>
              <w:tc>
                <w:tcPr>
                  <w:tcW w:w="4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1次/2d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02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p>
              </w:tc>
              <w:tc>
                <w:tcPr>
                  <w:tcW w:w="15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7-14d</w:t>
                  </w:r>
                </w:p>
              </w:tc>
              <w:tc>
                <w:tcPr>
                  <w:tcW w:w="4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1次/3d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02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p>
              </w:tc>
              <w:tc>
                <w:tcPr>
                  <w:tcW w:w="15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14-28d</w:t>
                  </w:r>
                </w:p>
              </w:tc>
              <w:tc>
                <w:tcPr>
                  <w:tcW w:w="4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1次/5d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02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p>
              </w:tc>
              <w:tc>
                <w:tcPr>
                  <w:tcW w:w="15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＞28d</w:t>
                  </w:r>
                </w:p>
              </w:tc>
              <w:tc>
                <w:tcPr>
                  <w:tcW w:w="45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1次/10d</w:t>
                  </w:r>
                </w:p>
              </w:tc>
            </w:tr>
          </w:tbl>
          <w:p>
            <w:pPr>
              <w:pStyle w:val="2"/>
              <w:keepNext w:val="0"/>
              <w:keepLines w:val="0"/>
              <w:pageBreakBefore w:val="0"/>
              <w:widowControl w:val="0"/>
              <w:numPr>
                <w:ilvl w:val="0"/>
                <w:numId w:val="7"/>
              </w:numPr>
              <w:kinsoku/>
              <w:wordWrap/>
              <w:overflowPunct/>
              <w:topLinePunct w:val="0"/>
              <w:autoSpaceDE/>
              <w:autoSpaceDN/>
              <w:bidi w:val="0"/>
              <w:adjustRightInd/>
              <w:snapToGrid/>
              <w:spacing w:after="0" w:afterLines="0" w:line="360" w:lineRule="auto"/>
              <w:ind w:left="0" w:leftChars="0" w:right="0" w:rightChars="0"/>
              <w:textAlignment w:val="auto"/>
              <w:outlineLvl w:val="9"/>
              <w:rPr>
                <w:b/>
                <w:bCs/>
                <w:color w:val="FF0000"/>
                <w:sz w:val="24"/>
                <w:szCs w:val="24"/>
                <w:u w:val="single"/>
              </w:rPr>
            </w:pPr>
            <w:r>
              <w:rPr>
                <w:b/>
                <w:bCs/>
                <w:color w:val="FF0000"/>
                <w:sz w:val="24"/>
                <w:szCs w:val="24"/>
                <w:u w:val="single"/>
              </w:rPr>
              <w:t>土壤预处理及污染土壤化学</w:t>
            </w:r>
            <w:r>
              <w:rPr>
                <w:rFonts w:hint="eastAsia"/>
                <w:b/>
                <w:bCs/>
                <w:color w:val="FF0000"/>
                <w:sz w:val="24"/>
                <w:szCs w:val="24"/>
                <w:u w:val="single"/>
                <w:lang w:eastAsia="zh-CN"/>
              </w:rPr>
              <w:t>氧化技术</w:t>
            </w:r>
            <w:r>
              <w:rPr>
                <w:b/>
                <w:bCs/>
                <w:color w:val="FF0000"/>
                <w:sz w:val="24"/>
                <w:szCs w:val="24"/>
                <w:u w:val="single"/>
              </w:rPr>
              <w:t>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FF0000"/>
                <w:sz w:val="24"/>
                <w:szCs w:val="24"/>
                <w:u w:val="single"/>
              </w:rPr>
            </w:pPr>
            <w:r>
              <w:rPr>
                <w:color w:val="FF0000"/>
                <w:sz w:val="24"/>
                <w:szCs w:val="24"/>
                <w:u w:val="single"/>
              </w:rPr>
              <w:t>①土壤修复处置区域：本项目土壤修复区域在负压密闭大棚内进行。大棚规格为60m*30m*15m，采用膜结构搭建</w:t>
            </w:r>
            <w:r>
              <w:rPr>
                <w:rFonts w:hint="eastAsia"/>
                <w:color w:val="FF0000"/>
                <w:sz w:val="24"/>
                <w:szCs w:val="24"/>
                <w:u w:val="single"/>
                <w:lang w:eastAsia="zh-CN"/>
              </w:rPr>
              <w:t>，膜材料采用</w:t>
            </w:r>
            <w:r>
              <w:rPr>
                <w:rFonts w:hint="eastAsia"/>
                <w:color w:val="FF0000"/>
                <w:sz w:val="24"/>
                <w:szCs w:val="24"/>
                <w:u w:val="single"/>
                <w:lang w:val="en-US" w:eastAsia="zh-CN"/>
              </w:rPr>
              <w:t>902S</w:t>
            </w:r>
            <w:r>
              <w:rPr>
                <w:color w:val="FF0000"/>
                <w:sz w:val="24"/>
                <w:szCs w:val="24"/>
                <w:u w:val="single"/>
              </w:rPr>
              <w:t>，</w:t>
            </w:r>
            <w:r>
              <w:rPr>
                <w:rFonts w:hint="eastAsia"/>
                <w:color w:val="FF0000"/>
                <w:sz w:val="24"/>
                <w:szCs w:val="24"/>
                <w:u w:val="single"/>
                <w:lang w:eastAsia="zh-CN"/>
              </w:rPr>
              <w:t>厚度</w:t>
            </w:r>
            <w:r>
              <w:rPr>
                <w:rFonts w:hint="eastAsia"/>
                <w:color w:val="FF0000"/>
                <w:sz w:val="24"/>
                <w:szCs w:val="24"/>
                <w:u w:val="single"/>
                <w:lang w:val="en-US" w:eastAsia="zh-CN"/>
              </w:rPr>
              <w:t>0.8mm，900g/㎡，纵向拉力4000N/5cm，横向拉力3800N/5cm，膜材料为阻燃材料。</w:t>
            </w:r>
            <w:r>
              <w:rPr>
                <w:color w:val="FF0000"/>
                <w:sz w:val="24"/>
                <w:szCs w:val="24"/>
                <w:u w:val="single"/>
              </w:rPr>
              <w:t>由整辐单层多功能膜、铝合金固定卡具、充气风机、止回阀、充气软管及控制装置组成，底部设计圈梁基础保持大棚的整体密闭。大棚设置引流风机将污染土壤中挥发的污染物集中引致</w:t>
            </w:r>
            <w:r>
              <w:rPr>
                <w:rFonts w:hint="eastAsia"/>
                <w:color w:val="FF0000"/>
                <w:sz w:val="24"/>
                <w:szCs w:val="24"/>
                <w:u w:val="single"/>
                <w:lang w:eastAsia="zh-CN"/>
              </w:rPr>
              <w:t>尾气处理系统</w:t>
            </w:r>
            <w:r>
              <w:rPr>
                <w:color w:val="FF0000"/>
                <w:sz w:val="24"/>
                <w:szCs w:val="24"/>
                <w:u w:val="single"/>
              </w:rPr>
              <w:t>处理</w:t>
            </w:r>
            <w:r>
              <w:rPr>
                <w:rFonts w:hint="eastAsia"/>
                <w:color w:val="FF0000"/>
                <w:sz w:val="24"/>
                <w:szCs w:val="24"/>
                <w:u w:val="single"/>
                <w:lang w:eastAsia="zh-CN"/>
              </w:rPr>
              <w:t>，</w:t>
            </w:r>
            <w:r>
              <w:rPr>
                <w:color w:val="FF0000"/>
                <w:sz w:val="24"/>
                <w:szCs w:val="24"/>
                <w:u w:val="single"/>
              </w:rPr>
              <w:t>达标后排放。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sz w:val="24"/>
                <w:szCs w:val="24"/>
                <w:u w:val="single"/>
                <w:lang w:eastAsia="zh-CN"/>
              </w:rPr>
            </w:pPr>
            <w:r>
              <w:rPr>
                <w:rFonts w:hint="eastAsia"/>
                <w:color w:val="FF0000"/>
                <w:sz w:val="24"/>
                <w:szCs w:val="24"/>
                <w:u w:val="single"/>
                <w:lang w:eastAsia="zh-CN"/>
              </w:rPr>
              <w:t>整个土壤修复处置区域（负压密闭大棚）由门系统、照明系统、尾气处理系统、充气系统、智能管理系统、室内外监控系统、有毒气体检测系统等。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sz w:val="24"/>
                <w:szCs w:val="24"/>
                <w:u w:val="single"/>
                <w:lang w:val="en-US" w:eastAsia="zh-CN"/>
              </w:rPr>
            </w:pPr>
            <w:r>
              <w:rPr>
                <w:rFonts w:hint="eastAsia"/>
                <w:color w:val="FF0000"/>
                <w:sz w:val="24"/>
                <w:szCs w:val="24"/>
                <w:u w:val="single"/>
                <w:lang w:eastAsia="zh-CN"/>
              </w:rPr>
              <w:t>门系统：分为两个汽车通道（</w:t>
            </w:r>
            <w:r>
              <w:rPr>
                <w:rFonts w:hint="eastAsia"/>
                <w:color w:val="FF0000"/>
                <w:sz w:val="24"/>
                <w:szCs w:val="24"/>
                <w:u w:val="single"/>
                <w:lang w:val="en-US" w:eastAsia="zh-CN"/>
              </w:rPr>
              <w:t>15m*5m*5m</w:t>
            </w:r>
            <w:r>
              <w:rPr>
                <w:rFonts w:hint="eastAsia"/>
                <w:color w:val="FF0000"/>
                <w:sz w:val="24"/>
                <w:szCs w:val="24"/>
                <w:u w:val="single"/>
                <w:lang w:eastAsia="zh-CN"/>
              </w:rPr>
              <w:t>），并配备</w:t>
            </w:r>
            <w:r>
              <w:rPr>
                <w:rFonts w:hint="eastAsia"/>
                <w:color w:val="FF0000"/>
                <w:sz w:val="24"/>
                <w:szCs w:val="24"/>
                <w:u w:val="single"/>
                <w:lang w:val="en-US" w:eastAsia="zh-CN"/>
              </w:rPr>
              <w:t>1个应急门和1个工作人员进出门。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sz w:val="24"/>
                <w:szCs w:val="24"/>
                <w:u w:val="single"/>
                <w:lang w:val="en-US" w:eastAsia="zh-CN"/>
              </w:rPr>
            </w:pPr>
            <w:r>
              <w:rPr>
                <w:rFonts w:hint="eastAsia"/>
                <w:color w:val="FF0000"/>
                <w:sz w:val="24"/>
                <w:szCs w:val="24"/>
                <w:u w:val="single"/>
                <w:lang w:val="en-US" w:eastAsia="zh-CN"/>
              </w:rPr>
              <w:t>照明系统：由室内、室外、车辆出入通道照明系统。灯具参数均为400W，各照明系统均配备8盏灯。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sz w:val="24"/>
                <w:szCs w:val="24"/>
                <w:u w:val="single"/>
                <w:lang w:val="en-US" w:eastAsia="zh-CN"/>
              </w:rPr>
            </w:pPr>
            <w:r>
              <w:rPr>
                <w:rFonts w:hint="eastAsia"/>
                <w:color w:val="FF0000"/>
                <w:sz w:val="24"/>
                <w:szCs w:val="24"/>
                <w:u w:val="single"/>
                <w:lang w:val="en-US" w:eastAsia="zh-CN"/>
              </w:rPr>
              <w:t>尾气处理系统：通过负压系统将负压密闭大棚内气体抽送至尾气处理系统。首先采用滤筒除尘法对气体中大颗粒物进行初步过滤，再进入活性炭吸附处理，最后达标排放。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sz w:val="24"/>
                <w:szCs w:val="24"/>
                <w:u w:val="single"/>
                <w:lang w:val="en-US" w:eastAsia="zh-CN"/>
              </w:rPr>
            </w:pPr>
            <w:r>
              <w:rPr>
                <w:rFonts w:hint="eastAsia"/>
                <w:color w:val="FF0000"/>
                <w:sz w:val="24"/>
                <w:szCs w:val="24"/>
                <w:u w:val="single"/>
                <w:lang w:val="en-US" w:eastAsia="zh-CN"/>
              </w:rPr>
              <w:t>充气系统：由PLC控制系统、变频控制系统、双电源切换系统、高低压保护系统、报警系统、风速传感系统、送风风机等组成。</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color w:val="FF0000"/>
                <w:kern w:val="2"/>
                <w:sz w:val="24"/>
                <w:szCs w:val="24"/>
                <w:u w:val="single"/>
                <w:lang w:val="en-US" w:eastAsia="zh-CN" w:bidi="ar-SA"/>
              </w:rPr>
            </w:pPr>
            <w:r>
              <w:rPr>
                <w:rFonts w:hint="eastAsia"/>
                <w:color w:val="FF0000"/>
                <w:kern w:val="2"/>
                <w:sz w:val="24"/>
                <w:szCs w:val="24"/>
                <w:u w:val="single"/>
                <w:lang w:val="en-US" w:eastAsia="zh-CN" w:bidi="ar-SA"/>
              </w:rPr>
              <w:t>智能控制系统：主要包括显示屏、监控系统、控制程序、集成式操作平台、台式电脑。</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color w:val="FF0000"/>
                <w:kern w:val="2"/>
                <w:sz w:val="24"/>
                <w:szCs w:val="24"/>
                <w:u w:val="single"/>
                <w:lang w:val="en-US" w:eastAsia="zh-CN" w:bidi="ar-SA"/>
              </w:rPr>
            </w:pPr>
            <w:r>
              <w:rPr>
                <w:rFonts w:hint="eastAsia"/>
                <w:color w:val="FF0000"/>
                <w:kern w:val="2"/>
                <w:sz w:val="24"/>
                <w:szCs w:val="24"/>
                <w:u w:val="single"/>
                <w:lang w:val="en-US" w:eastAsia="zh-CN" w:bidi="ar-SA"/>
              </w:rPr>
              <w:t>室内外监控系统：主要有摄像头、硬盘录像机、显示器等。</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color w:val="FF0000"/>
                <w:kern w:val="2"/>
                <w:sz w:val="24"/>
                <w:szCs w:val="24"/>
                <w:u w:val="single"/>
                <w:lang w:val="en-US" w:eastAsia="zh-CN" w:bidi="ar-SA"/>
              </w:rPr>
            </w:pPr>
            <w:r>
              <w:rPr>
                <w:rFonts w:hint="eastAsia"/>
                <w:color w:val="FF0000"/>
                <w:kern w:val="2"/>
                <w:sz w:val="24"/>
                <w:szCs w:val="24"/>
                <w:u w:val="single"/>
                <w:lang w:val="en-US" w:eastAsia="zh-CN" w:bidi="ar-SA"/>
              </w:rPr>
              <w:t>有毒气体检测系统：主要为环境有毒有害气体在线监测控制报警仪，型号为QD6000，220VAC。</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FF0000"/>
                <w:sz w:val="24"/>
                <w:szCs w:val="24"/>
                <w:u w:val="single"/>
                <w:lang w:eastAsia="zh-CN"/>
              </w:rPr>
            </w:pPr>
            <w:r>
              <w:rPr>
                <w:color w:val="FF0000"/>
                <w:sz w:val="24"/>
                <w:szCs w:val="24"/>
                <w:u w:val="single"/>
              </w:rPr>
              <w:t>②污染土壤修复处理工艺：</w:t>
            </w:r>
            <w:r>
              <w:rPr>
                <w:rFonts w:hint="eastAsia"/>
                <w:color w:val="FF0000"/>
                <w:sz w:val="24"/>
                <w:szCs w:val="24"/>
                <w:u w:val="single"/>
              </w:rPr>
              <w:t>将运输到异位化学氧化区域，利用一体化筛分与破碎机进行筛分与破碎，经破碎处理后的土壤颗粒粒径应小于或等于50mm。采用专业的筛分破碎铲斗，进行修复药剂与土壤的拌合，将土壤按照10m，宽3m，高2.3m在处置区进行条状堆置，将修复药剂均匀铺洒于污染土壤上方，利用筛分设备进行有机污染土壤与药剂的混合。混合次数不小于2次。堆置1-3天后进行检测</w:t>
            </w:r>
            <w:r>
              <w:rPr>
                <w:color w:val="FF0000"/>
                <w:sz w:val="24"/>
                <w:szCs w:val="24"/>
                <w:u w:val="single"/>
              </w:rPr>
              <w:t>。</w:t>
            </w:r>
            <w:r>
              <w:rPr>
                <w:rFonts w:hint="eastAsia"/>
                <w:color w:val="FF0000"/>
                <w:sz w:val="24"/>
                <w:szCs w:val="24"/>
                <w:u w:val="single"/>
                <w:lang w:eastAsia="zh-CN"/>
              </w:rPr>
              <w:t>土壤所需化学剂数量和化学氧化工艺参数如下表所示。</w:t>
            </w:r>
          </w:p>
          <w:p>
            <w:pPr>
              <w:pStyle w:val="2"/>
              <w:spacing w:after="0"/>
              <w:jc w:val="center"/>
              <w:rPr>
                <w:rFonts w:hint="eastAsia"/>
                <w:b/>
                <w:color w:val="FF0000"/>
                <w:sz w:val="21"/>
                <w:szCs w:val="21"/>
                <w:u w:val="single"/>
                <w:lang w:val="en-US" w:eastAsia="zh-CN"/>
              </w:rPr>
            </w:pPr>
            <w:r>
              <w:rPr>
                <w:rFonts w:hint="eastAsia"/>
                <w:b/>
                <w:color w:val="FF0000"/>
                <w:sz w:val="21"/>
                <w:szCs w:val="21"/>
                <w:u w:val="single"/>
                <w:lang w:val="en-US" w:eastAsia="zh-CN"/>
              </w:rPr>
              <w:t>表5-6  化学还原工艺参数</w:t>
            </w:r>
          </w:p>
          <w:tbl>
            <w:tblPr>
              <w:tblStyle w:val="31"/>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6"/>
              <w:gridCol w:w="2269"/>
              <w:gridCol w:w="22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26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序号</w:t>
                  </w:r>
                </w:p>
              </w:tc>
              <w:tc>
                <w:tcPr>
                  <w:tcW w:w="226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项目</w:t>
                  </w:r>
                </w:p>
              </w:tc>
              <w:tc>
                <w:tcPr>
                  <w:tcW w:w="22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参数</w:t>
                  </w:r>
                </w:p>
              </w:tc>
              <w:tc>
                <w:tcPr>
                  <w:tcW w:w="22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参数要求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26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val="en-US" w:eastAsia="zh-CN"/>
                    </w:rPr>
                  </w:pPr>
                  <w:r>
                    <w:rPr>
                      <w:rFonts w:hint="eastAsia"/>
                      <w:color w:val="FF0000"/>
                      <w:u w:val="single"/>
                      <w:vertAlign w:val="baseline"/>
                      <w:lang w:val="en-US" w:eastAsia="zh-CN"/>
                    </w:rPr>
                    <w:t>1</w:t>
                  </w:r>
                </w:p>
              </w:tc>
              <w:tc>
                <w:tcPr>
                  <w:tcW w:w="226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预处理要求</w:t>
                  </w:r>
                </w:p>
              </w:tc>
              <w:tc>
                <w:tcPr>
                  <w:tcW w:w="22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粒径</w:t>
                  </w:r>
                </w:p>
              </w:tc>
              <w:tc>
                <w:tcPr>
                  <w:tcW w:w="22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w:t>
                  </w:r>
                  <w:r>
                    <w:rPr>
                      <w:rFonts w:hint="eastAsia"/>
                      <w:color w:val="FF0000"/>
                      <w:u w:val="single"/>
                      <w:vertAlign w:val="baseline"/>
                      <w:lang w:val="en-US" w:eastAsia="zh-CN"/>
                    </w:rPr>
                    <w:t>50mm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26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val="en-US" w:eastAsia="zh-CN"/>
                    </w:rPr>
                  </w:pPr>
                  <w:r>
                    <w:rPr>
                      <w:rFonts w:hint="eastAsia"/>
                      <w:color w:val="FF0000"/>
                      <w:u w:val="single"/>
                      <w:vertAlign w:val="baseline"/>
                      <w:lang w:val="en-US" w:eastAsia="zh-CN"/>
                    </w:rPr>
                    <w:t>2</w:t>
                  </w:r>
                </w:p>
              </w:tc>
              <w:tc>
                <w:tcPr>
                  <w:tcW w:w="2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药剂投加量</w:t>
                  </w:r>
                </w:p>
              </w:tc>
              <w:tc>
                <w:tcPr>
                  <w:tcW w:w="22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重度</w:t>
                  </w:r>
                </w:p>
              </w:tc>
              <w:tc>
                <w:tcPr>
                  <w:tcW w:w="22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val="en-US" w:eastAsia="zh-CN"/>
                    </w:rPr>
                  </w:pPr>
                  <w:r>
                    <w:rPr>
                      <w:rFonts w:hint="eastAsia"/>
                      <w:color w:val="FF0000"/>
                      <w:u w:val="single"/>
                      <w:vertAlign w:val="baseli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26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p>
              </w:tc>
              <w:tc>
                <w:tcPr>
                  <w:tcW w:w="2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eastAsia="zh-CN"/>
                    </w:rPr>
                  </w:pPr>
                </w:p>
              </w:tc>
              <w:tc>
                <w:tcPr>
                  <w:tcW w:w="22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中、轻度</w:t>
                  </w:r>
                </w:p>
              </w:tc>
              <w:tc>
                <w:tcPr>
                  <w:tcW w:w="22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r>
                    <w:rPr>
                      <w:rFonts w:hint="eastAsia"/>
                      <w:color w:val="FF0000"/>
                      <w:u w:val="singl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26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val="en-US" w:eastAsia="zh-CN"/>
                    </w:rPr>
                  </w:pPr>
                  <w:r>
                    <w:rPr>
                      <w:rFonts w:hint="eastAsia"/>
                      <w:color w:val="FF0000"/>
                      <w:u w:val="single"/>
                      <w:vertAlign w:val="baseline"/>
                      <w:lang w:val="en-US" w:eastAsia="zh-CN"/>
                    </w:rPr>
                    <w:t>3</w:t>
                  </w:r>
                </w:p>
              </w:tc>
              <w:tc>
                <w:tcPr>
                  <w:tcW w:w="2266"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化学氧化参数</w:t>
                  </w:r>
                </w:p>
              </w:tc>
              <w:tc>
                <w:tcPr>
                  <w:tcW w:w="22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搅拌时间</w:t>
                  </w:r>
                </w:p>
              </w:tc>
              <w:tc>
                <w:tcPr>
                  <w:tcW w:w="22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val="en-US" w:eastAsia="zh-CN"/>
                    </w:rPr>
                  </w:pPr>
                  <w:r>
                    <w:rPr>
                      <w:rFonts w:hint="eastAsia"/>
                      <w:color w:val="FF0000"/>
                      <w:u w:val="single"/>
                      <w:vertAlign w:val="baseline"/>
                      <w:lang w:val="en-US" w:eastAsia="zh-CN"/>
                    </w:rPr>
                    <w:t>30min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26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color w:val="FF0000"/>
                      <w:u w:val="single"/>
                      <w:vertAlign w:val="baseline"/>
                      <w:lang w:val="en-US" w:eastAsia="zh-CN"/>
                    </w:rPr>
                  </w:pPr>
                </w:p>
              </w:tc>
              <w:tc>
                <w:tcPr>
                  <w:tcW w:w="2266"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color w:val="FF0000"/>
                      <w:u w:val="single"/>
                      <w:vertAlign w:val="baseline"/>
                    </w:rPr>
                  </w:pPr>
                </w:p>
              </w:tc>
              <w:tc>
                <w:tcPr>
                  <w:tcW w:w="22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eastAsia="zh-CN"/>
                    </w:rPr>
                  </w:pPr>
                  <w:r>
                    <w:rPr>
                      <w:rFonts w:hint="eastAsia"/>
                      <w:color w:val="FF0000"/>
                      <w:u w:val="single"/>
                      <w:vertAlign w:val="baseline"/>
                      <w:lang w:eastAsia="zh-CN"/>
                    </w:rPr>
                    <w:t>停留时间</w:t>
                  </w:r>
                </w:p>
              </w:tc>
              <w:tc>
                <w:tcPr>
                  <w:tcW w:w="22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eastAsia="宋体"/>
                      <w:color w:val="FF0000"/>
                      <w:u w:val="single"/>
                      <w:vertAlign w:val="baseline"/>
                      <w:lang w:val="en-US" w:eastAsia="zh-CN"/>
                    </w:rPr>
                  </w:pPr>
                  <w:r>
                    <w:rPr>
                      <w:rFonts w:hint="eastAsia"/>
                      <w:color w:val="FF0000"/>
                      <w:u w:val="single"/>
                      <w:vertAlign w:val="baseline"/>
                      <w:lang w:val="en-US" w:eastAsia="zh-CN"/>
                    </w:rPr>
                    <w:t>1d</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color w:val="FF0000"/>
                <w:sz w:val="24"/>
                <w:szCs w:val="24"/>
                <w:u w:val="single"/>
              </w:rPr>
            </w:pPr>
            <w:r>
              <w:rPr>
                <w:color w:val="FF0000"/>
                <w:sz w:val="24"/>
                <w:szCs w:val="24"/>
                <w:u w:val="single"/>
              </w:rPr>
              <w:t>③堆置养护与验收：</w:t>
            </w:r>
            <w:r>
              <w:rPr>
                <w:rFonts w:hint="eastAsia"/>
                <w:color w:val="FF0000"/>
                <w:sz w:val="24"/>
                <w:szCs w:val="24"/>
                <w:u w:val="single"/>
              </w:rPr>
              <w:t>对修复后土壤以每500方采集一个样品进行检测分析（送实验室），如土壤中污染物含量低于修复值，则验收合格，如高于修复值，则再次进行化学氧化，直至合格</w:t>
            </w:r>
            <w:r>
              <w:rPr>
                <w:color w:val="FF0000"/>
                <w:sz w:val="24"/>
                <w:szCs w:val="24"/>
                <w:u w:val="single"/>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color w:val="FF0000"/>
                <w:sz w:val="24"/>
                <w:szCs w:val="24"/>
                <w:u w:val="single"/>
              </w:rPr>
            </w:pPr>
            <w:r>
              <w:rPr>
                <w:color w:val="FF0000"/>
                <w:sz w:val="24"/>
                <w:szCs w:val="24"/>
                <w:u w:val="single"/>
              </w:rPr>
              <w:t>④修复后土壤去向：</w:t>
            </w:r>
            <w:r>
              <w:rPr>
                <w:rFonts w:hint="eastAsia"/>
                <w:color w:val="FF0000"/>
                <w:sz w:val="24"/>
                <w:szCs w:val="24"/>
                <w:u w:val="single"/>
              </w:rPr>
              <w:t>验收合格的污染土壤运至大棚外合格土壤堆置区，定期运至开挖区合理回填，夯实</w:t>
            </w:r>
            <w:r>
              <w:rPr>
                <w:color w:val="FF0000"/>
                <w:sz w:val="24"/>
                <w:szCs w:val="24"/>
                <w:u w:val="single"/>
              </w:rPr>
              <w:t>。</w:t>
            </w:r>
          </w:p>
          <w:p>
            <w:pPr>
              <w:pStyle w:val="2"/>
              <w:keepNext w:val="0"/>
              <w:keepLines w:val="0"/>
              <w:pageBreakBefore w:val="0"/>
              <w:widowControl w:val="0"/>
              <w:numPr>
                <w:ilvl w:val="0"/>
                <w:numId w:val="7"/>
              </w:numPr>
              <w:kinsoku/>
              <w:wordWrap/>
              <w:overflowPunct/>
              <w:topLinePunct w:val="0"/>
              <w:autoSpaceDE/>
              <w:autoSpaceDN/>
              <w:bidi w:val="0"/>
              <w:adjustRightInd/>
              <w:snapToGrid/>
              <w:spacing w:after="0" w:afterLines="0" w:line="360" w:lineRule="auto"/>
              <w:ind w:left="0" w:leftChars="0" w:right="0" w:rightChars="0"/>
              <w:textAlignment w:val="auto"/>
              <w:outlineLvl w:val="9"/>
              <w:rPr>
                <w:b/>
                <w:bCs/>
                <w:color w:val="FF0000"/>
                <w:sz w:val="24"/>
                <w:szCs w:val="24"/>
                <w:u w:val="single"/>
              </w:rPr>
            </w:pPr>
            <w:r>
              <w:rPr>
                <w:b/>
                <w:bCs/>
                <w:color w:val="FF0000"/>
                <w:sz w:val="24"/>
                <w:szCs w:val="24"/>
                <w:u w:val="single"/>
              </w:rPr>
              <w:t>修复效果评估及验收</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color w:val="FF0000"/>
                <w:sz w:val="24"/>
                <w:szCs w:val="24"/>
                <w:u w:val="single"/>
              </w:rPr>
            </w:pPr>
            <w:r>
              <w:rPr>
                <w:color w:val="FF0000"/>
                <w:sz w:val="24"/>
                <w:szCs w:val="24"/>
                <w:u w:val="single"/>
              </w:rPr>
              <w:t>根据国家环保部2014年11出台的《工业企业场地环境调查评估与修复工作指南（试行）》中有关污染场地修复工程验收的相关规定，对本项目场地污染土壤修复工程的验收主要有文件审核和现场复核，现场采样与实验室分析、验收评价和建议、修复验收报告编制等四项内容。</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color w:val="FF0000"/>
                <w:sz w:val="24"/>
                <w:szCs w:val="24"/>
                <w:u w:val="single"/>
              </w:rPr>
            </w:pPr>
            <w:r>
              <w:rPr>
                <w:rFonts w:hint="eastAsia"/>
                <w:color w:val="FF0000"/>
                <w:sz w:val="24"/>
                <w:szCs w:val="24"/>
                <w:u w:val="single"/>
                <w:lang w:val="en-US" w:eastAsia="zh-CN"/>
              </w:rPr>
              <w:t>①</w:t>
            </w:r>
            <w:r>
              <w:rPr>
                <w:color w:val="FF0000"/>
                <w:sz w:val="24"/>
                <w:szCs w:val="24"/>
                <w:u w:val="single"/>
              </w:rPr>
              <w:t>文件审核和现场复核</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rFonts w:hint="eastAsia"/>
                <w:color w:val="FF0000"/>
                <w:sz w:val="24"/>
                <w:szCs w:val="24"/>
                <w:u w:val="single"/>
                <w:lang w:val="en-US" w:eastAsia="zh-CN"/>
              </w:rPr>
            </w:pPr>
            <w:r>
              <w:rPr>
                <w:rFonts w:hint="eastAsia"/>
                <w:color w:val="FF0000"/>
                <w:sz w:val="24"/>
                <w:szCs w:val="24"/>
                <w:u w:val="single"/>
                <w:lang w:val="en-US" w:eastAsia="zh-CN"/>
              </w:rPr>
              <w:t>核实文件资料的准确性，审核污染清运和修复方案的实施情况，包括修复范围、修复方式、修复过程与运输过程的污染防治、组织与实施保障等内容的现场复核。核实污染土壤的数量和最终去向。</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color w:val="FF0000"/>
                <w:sz w:val="24"/>
                <w:szCs w:val="24"/>
                <w:u w:val="single"/>
              </w:rPr>
            </w:pPr>
            <w:r>
              <w:rPr>
                <w:rFonts w:hint="eastAsia"/>
                <w:color w:val="FF0000"/>
                <w:sz w:val="24"/>
                <w:szCs w:val="24"/>
                <w:u w:val="single"/>
                <w:lang w:val="en-US" w:eastAsia="zh-CN"/>
              </w:rPr>
              <w:t>②</w:t>
            </w:r>
            <w:r>
              <w:rPr>
                <w:color w:val="FF0000"/>
                <w:sz w:val="24"/>
                <w:szCs w:val="24"/>
                <w:u w:val="single"/>
              </w:rPr>
              <w:t>现场采样与实验室分析</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rFonts w:hint="eastAsia" w:eastAsia="宋体"/>
                <w:color w:val="FF0000"/>
                <w:sz w:val="24"/>
                <w:szCs w:val="24"/>
                <w:u w:val="single"/>
                <w:lang w:eastAsia="zh-CN"/>
              </w:rPr>
            </w:pPr>
            <w:r>
              <w:rPr>
                <w:rFonts w:hint="eastAsia"/>
                <w:color w:val="FF0000"/>
                <w:sz w:val="24"/>
                <w:szCs w:val="24"/>
                <w:u w:val="single"/>
                <w:lang w:eastAsia="zh-CN"/>
              </w:rPr>
              <w:t>按照国家相关规定，指定修复工程现场采样计划，并按计划进行场地的布点采样和实验室的样品分析，确定污染修复范围的效果。场地修复验收现场采样点的位置和采样深度，要覆盖所有修复范围并考虑深度和修复边界。审核污染土壤处理过程中各阶段监测数据确定污染场地修复和污染防治措施的运行效果，以及涉及的二次污染处理情况。</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color w:val="FF0000"/>
                <w:sz w:val="24"/>
                <w:szCs w:val="24"/>
                <w:u w:val="single"/>
              </w:rPr>
            </w:pPr>
            <w:r>
              <w:rPr>
                <w:rFonts w:hint="eastAsia"/>
                <w:color w:val="FF0000"/>
                <w:sz w:val="24"/>
                <w:szCs w:val="24"/>
                <w:u w:val="single"/>
                <w:lang w:val="en-US" w:eastAsia="zh-CN"/>
              </w:rPr>
              <w:t>③</w:t>
            </w:r>
            <w:r>
              <w:rPr>
                <w:color w:val="FF0000"/>
                <w:sz w:val="24"/>
                <w:szCs w:val="24"/>
                <w:u w:val="single"/>
              </w:rPr>
              <w:t>验收评价和建议</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rFonts w:hint="eastAsia"/>
                <w:color w:val="FF0000"/>
                <w:sz w:val="24"/>
                <w:szCs w:val="24"/>
                <w:u w:val="single"/>
                <w:lang w:val="en-US" w:eastAsia="zh-CN"/>
              </w:rPr>
            </w:pPr>
            <w:r>
              <w:rPr>
                <w:rFonts w:hint="eastAsia"/>
                <w:color w:val="FF0000"/>
                <w:sz w:val="24"/>
                <w:szCs w:val="24"/>
                <w:u w:val="single"/>
                <w:lang w:val="en-US" w:eastAsia="zh-CN"/>
              </w:rPr>
              <w:t>根据文件审核、现场复核、人员访谈、采样和实验室分析的结果，客观、明确的从技术角度论证修复效果和修复实施情况是否复核场地污染修复验收条件。数据对照修复目标值进行评价，给出是否达到修复目标的明确结论；若未达到修复要求，提出改进建议，以确保达到修复要求。验收评价包括监测数据评价和修复措施落实评价。在场地修复验收中，监测分析数据应用过与根据处理后土壤用途要求确定的修复目标比较，评估其修复效果。修复落实评价是根据监测资料和监理记录等，对修复措施的落实情况进行验收。</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color w:val="FF0000"/>
                <w:sz w:val="24"/>
                <w:szCs w:val="24"/>
                <w:u w:val="single"/>
              </w:rPr>
            </w:pPr>
            <w:r>
              <w:rPr>
                <w:rFonts w:hint="eastAsia"/>
                <w:color w:val="FF0000"/>
                <w:sz w:val="24"/>
                <w:szCs w:val="24"/>
                <w:u w:val="single"/>
                <w:lang w:val="en-US" w:eastAsia="zh-CN"/>
              </w:rPr>
              <w:t>④</w:t>
            </w:r>
            <w:r>
              <w:rPr>
                <w:color w:val="FF0000"/>
                <w:sz w:val="24"/>
                <w:szCs w:val="24"/>
                <w:u w:val="single"/>
              </w:rPr>
              <w:t>修复验收报告编制</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textAlignment w:val="auto"/>
              <w:outlineLvl w:val="9"/>
              <w:rPr>
                <w:rFonts w:hint="eastAsia"/>
                <w:color w:val="auto"/>
                <w:sz w:val="24"/>
                <w:szCs w:val="24"/>
                <w:u w:val="none"/>
                <w:lang w:val="en-US" w:eastAsia="zh-CN"/>
              </w:rPr>
            </w:pPr>
            <w:r>
              <w:rPr>
                <w:rFonts w:hint="eastAsia"/>
                <w:color w:val="FF0000"/>
                <w:sz w:val="24"/>
                <w:szCs w:val="24"/>
                <w:u w:val="single"/>
                <w:lang w:val="en-US" w:eastAsia="zh-CN"/>
              </w:rPr>
              <w:t>汇总修复方案、调查结果、实验数据、环境监理报告和分析结果、验收评价及建议，以报告形式为污染场地修复验收提供技术依据。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hAnsi="宋体"/>
                <w:b/>
                <w:bCs/>
                <w:color w:val="auto"/>
                <w:sz w:val="24"/>
                <w:szCs w:val="24"/>
                <w:u w:val="single"/>
              </w:rPr>
            </w:pPr>
            <w:r>
              <w:rPr>
                <w:rFonts w:hint="eastAsia" w:hAnsi="宋体"/>
                <w:b/>
                <w:bCs/>
                <w:color w:val="auto"/>
                <w:sz w:val="24"/>
                <w:szCs w:val="24"/>
                <w:u w:val="single"/>
              </w:rPr>
              <w:t>遗留的农药及设备的处置措施</w:t>
            </w:r>
            <w:r>
              <w:rPr>
                <w:rFonts w:hint="eastAsia" w:hAnsi="宋体"/>
                <w:b/>
                <w:bCs/>
                <w:color w:val="auto"/>
                <w:sz w:val="24"/>
                <w:szCs w:val="24"/>
                <w:u w:val="single"/>
                <w:lang w:eastAsia="zh-CN"/>
              </w:rPr>
              <w:t>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val="0"/>
                <w:bCs w:val="0"/>
                <w:color w:val="auto"/>
                <w:sz w:val="24"/>
                <w:szCs w:val="24"/>
                <w:u w:val="single"/>
                <w:lang w:eastAsia="zh-CN"/>
              </w:rPr>
            </w:pPr>
            <w:r>
              <w:rPr>
                <w:rFonts w:hint="eastAsia" w:hAnsi="宋体"/>
                <w:b w:val="0"/>
                <w:bCs w:val="0"/>
                <w:color w:val="auto"/>
                <w:sz w:val="24"/>
                <w:szCs w:val="24"/>
                <w:u w:val="single"/>
              </w:rPr>
              <w:t>根据《国家危险废物名录》（2016年）可知，本项目所遗留的部分农药及生产设备属于“HW04  农药废物”</w:t>
            </w:r>
            <w:r>
              <w:rPr>
                <w:rFonts w:hint="eastAsia" w:hAnsi="宋体"/>
                <w:b w:val="0"/>
                <w:bCs w:val="0"/>
                <w:color w:val="auto"/>
                <w:sz w:val="24"/>
                <w:szCs w:val="24"/>
                <w:u w:val="single"/>
                <w:lang w:eastAsia="zh-CN"/>
              </w:rPr>
              <w:t>类</w:t>
            </w:r>
            <w:r>
              <w:rPr>
                <w:rFonts w:hint="eastAsia" w:hAnsi="宋体"/>
                <w:b w:val="0"/>
                <w:bCs w:val="0"/>
                <w:color w:val="auto"/>
                <w:sz w:val="24"/>
                <w:szCs w:val="24"/>
                <w:u w:val="single"/>
              </w:rPr>
              <w:t>，因此本项目在建设前期先与相关具有危险废物处置单位、专业设备回收单位签订相关处理处置协议，在建设前优先将遗留的部分农药及生产设备交由相关单位，不得随意堆放遗留的部分农药及生产设备</w:t>
            </w:r>
            <w:r>
              <w:rPr>
                <w:rFonts w:hint="eastAsia" w:hAnsi="宋体"/>
                <w:b w:val="0"/>
                <w:bCs w:val="0"/>
                <w:color w:val="auto"/>
                <w:sz w:val="24"/>
                <w:szCs w:val="24"/>
                <w:u w:val="single"/>
                <w:lang w:eastAsia="zh-CN"/>
              </w:rPr>
              <w:t>，其暂存必须符合《危险废物贮存污染控制标准》（GB18597-2001）及2013年修改单中相关要求。主要处置措施如下：</w:t>
            </w:r>
          </w:p>
          <w:p>
            <w:pPr>
              <w:pStyle w:val="2"/>
              <w:keepNext w:val="0"/>
              <w:keepLines w:val="0"/>
              <w:pageBreakBefore w:val="0"/>
              <w:widowControl w:val="0"/>
              <w:numPr>
                <w:ilvl w:val="0"/>
                <w:numId w:val="8"/>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b w:val="0"/>
                <w:bCs w:val="0"/>
                <w:color w:val="auto"/>
                <w:sz w:val="24"/>
                <w:szCs w:val="24"/>
                <w:u w:val="single"/>
                <w:lang w:eastAsia="zh-CN"/>
              </w:rPr>
            </w:pPr>
            <w:r>
              <w:rPr>
                <w:rFonts w:hint="eastAsia" w:hAnsi="宋体"/>
                <w:b w:val="0"/>
                <w:bCs w:val="0"/>
                <w:color w:val="auto"/>
                <w:sz w:val="24"/>
                <w:szCs w:val="24"/>
                <w:u w:val="single"/>
              </w:rPr>
              <w:t>留的部分农药</w:t>
            </w:r>
            <w:r>
              <w:rPr>
                <w:rFonts w:hint="eastAsia" w:hAnsi="宋体"/>
                <w:b w:val="0"/>
                <w:bCs w:val="0"/>
                <w:color w:val="auto"/>
                <w:sz w:val="24"/>
                <w:szCs w:val="24"/>
                <w:u w:val="single"/>
                <w:lang w:eastAsia="zh-CN"/>
              </w:rPr>
              <w:t>，经收集后交由具有处理资质的机构进行处理；</w:t>
            </w:r>
          </w:p>
          <w:p>
            <w:pPr>
              <w:pStyle w:val="2"/>
              <w:keepNext w:val="0"/>
              <w:keepLines w:val="0"/>
              <w:pageBreakBefore w:val="0"/>
              <w:widowControl w:val="0"/>
              <w:numPr>
                <w:ilvl w:val="0"/>
                <w:numId w:val="8"/>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b w:val="0"/>
                <w:bCs w:val="0"/>
                <w:color w:val="auto"/>
                <w:sz w:val="24"/>
                <w:szCs w:val="24"/>
                <w:u w:val="single"/>
                <w:lang w:eastAsia="zh-CN"/>
              </w:rPr>
            </w:pPr>
            <w:r>
              <w:rPr>
                <w:rFonts w:hint="eastAsia" w:hAnsi="宋体"/>
                <w:b w:val="0"/>
                <w:bCs w:val="0"/>
                <w:color w:val="auto"/>
                <w:sz w:val="24"/>
                <w:szCs w:val="24"/>
                <w:u w:val="single"/>
                <w:lang w:eastAsia="zh-CN"/>
              </w:rPr>
              <w:t>对遗留的部分生产设备，优先有专业回收机构进行回收处理，进行综合利用；若无综合利用价值，或无法进行再利用的，则交由具有处理资质的机构进行处理，不得再利用。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b w:val="0"/>
                <w:bCs w:val="0"/>
                <w:color w:val="auto"/>
                <w:sz w:val="24"/>
                <w:szCs w:val="24"/>
                <w:u w:val="single"/>
                <w:lang w:eastAsia="zh-CN"/>
              </w:rPr>
            </w:pPr>
            <w:r>
              <w:rPr>
                <w:rFonts w:hint="eastAsia" w:hAnsi="宋体"/>
                <w:b w:val="0"/>
                <w:bCs w:val="0"/>
                <w:color w:val="auto"/>
                <w:sz w:val="24"/>
                <w:szCs w:val="24"/>
                <w:u w:val="single"/>
                <w:lang w:eastAsia="zh-CN"/>
              </w:rPr>
              <w:t>综上所述，本项目在对土壤修复前期对遗留的</w:t>
            </w:r>
            <w:r>
              <w:rPr>
                <w:rFonts w:hint="eastAsia" w:hAnsi="宋体"/>
                <w:b w:val="0"/>
                <w:bCs w:val="0"/>
                <w:color w:val="auto"/>
                <w:sz w:val="24"/>
                <w:szCs w:val="24"/>
                <w:u w:val="single"/>
              </w:rPr>
              <w:t>部分农药及生产设备</w:t>
            </w:r>
            <w:r>
              <w:rPr>
                <w:rFonts w:hint="eastAsia" w:hAnsi="宋体"/>
                <w:b w:val="0"/>
                <w:bCs w:val="0"/>
                <w:color w:val="auto"/>
                <w:sz w:val="24"/>
                <w:szCs w:val="24"/>
                <w:u w:val="single"/>
                <w:lang w:eastAsia="zh-CN"/>
              </w:rPr>
              <w:t>处置后，将不会对土壤修复及周边环境造成影响。</w:t>
            </w:r>
          </w:p>
          <w:p>
            <w:pPr>
              <w:pStyle w:val="2"/>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eastAsia" w:hAnsi="宋体"/>
                <w:b/>
                <w:bCs/>
                <w:color w:val="auto"/>
                <w:sz w:val="24"/>
                <w:szCs w:val="24"/>
                <w:u w:val="single"/>
                <w:lang w:eastAsia="zh-CN"/>
              </w:rPr>
            </w:pPr>
            <w:r>
              <w:rPr>
                <w:rFonts w:hint="eastAsia" w:hAnsi="宋体"/>
                <w:b/>
                <w:bCs/>
                <w:color w:val="auto"/>
                <w:sz w:val="24"/>
                <w:szCs w:val="24"/>
                <w:u w:val="single"/>
                <w:lang w:eastAsia="zh-CN"/>
              </w:rPr>
              <w:t>实施方案合理性分析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b w:val="0"/>
                <w:bCs w:val="0"/>
                <w:color w:val="auto"/>
                <w:sz w:val="24"/>
                <w:szCs w:val="24"/>
                <w:u w:val="single"/>
                <w:lang w:val="en-US" w:eastAsia="zh-CN"/>
              </w:rPr>
            </w:pPr>
            <w:r>
              <w:rPr>
                <w:rFonts w:hint="eastAsia" w:hAnsi="宋体"/>
                <w:b w:val="0"/>
                <w:bCs w:val="0"/>
                <w:color w:val="auto"/>
                <w:sz w:val="24"/>
                <w:szCs w:val="24"/>
                <w:u w:val="single"/>
                <w:lang w:eastAsia="zh-CN"/>
              </w:rPr>
              <w:t>根据建设单位提供的资料可知，本项目《实施方案》于</w:t>
            </w:r>
            <w:r>
              <w:rPr>
                <w:rFonts w:hint="eastAsia" w:hAnsi="宋体"/>
                <w:b w:val="0"/>
                <w:bCs w:val="0"/>
                <w:color w:val="auto"/>
                <w:sz w:val="24"/>
                <w:szCs w:val="24"/>
                <w:u w:val="single"/>
                <w:lang w:val="en-US" w:eastAsia="zh-CN"/>
              </w:rPr>
              <w:t>2017年3月28日湖南省环保厅在长沙主持召开了《场地调查报告》和《实施方案》的技术评审会，根据评审会出具的评审意见可知（详见附件），“报告编制单位已根据第一次评审意见对场地调查报告和项目实施方案逐条进行了响应和完善，修改后的场地调查报告和项目实施方案基本可行”，说明本项目《实施方案》的可行性与合理性。</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b w:val="0"/>
                <w:bCs w:val="0"/>
                <w:color w:val="auto"/>
                <w:sz w:val="24"/>
                <w:szCs w:val="24"/>
                <w:u w:val="single"/>
                <w:lang w:val="en-US" w:eastAsia="zh-CN"/>
              </w:rPr>
            </w:pPr>
            <w:r>
              <w:rPr>
                <w:rFonts w:hint="eastAsia" w:hAnsi="宋体"/>
                <w:b w:val="0"/>
                <w:bCs w:val="0"/>
                <w:color w:val="auto"/>
                <w:sz w:val="24"/>
                <w:szCs w:val="24"/>
                <w:u w:val="single"/>
                <w:lang w:val="en-US" w:eastAsia="zh-CN"/>
              </w:rPr>
              <w:t>结合本项目对《实施方案》在实施过程中对环境影响的预测分析可知，在采取相关环保措施，并严格执行本评价提出的相关环保要求，本项目《实施方案》对环境影响在可接纳范围内，对周边环境影响较小。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b w:val="0"/>
                <w:bCs w:val="0"/>
                <w:color w:val="auto"/>
                <w:sz w:val="24"/>
                <w:szCs w:val="24"/>
                <w:u w:val="single"/>
                <w:lang w:val="en-US" w:eastAsia="zh-CN"/>
              </w:rPr>
            </w:pPr>
            <w:r>
              <w:rPr>
                <w:rFonts w:hint="eastAsia" w:hAnsi="宋体"/>
                <w:b w:val="0"/>
                <w:bCs w:val="0"/>
                <w:color w:val="auto"/>
                <w:sz w:val="24"/>
                <w:szCs w:val="24"/>
                <w:u w:val="single"/>
                <w:lang w:val="en-US" w:eastAsia="zh-CN"/>
              </w:rPr>
              <w:t>综上所述，本项目《实施方案》较为合理。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b/>
                <w:bCs/>
                <w:color w:val="auto"/>
                <w:sz w:val="24"/>
                <w:szCs w:val="24"/>
                <w:u w:val="single"/>
              </w:rPr>
            </w:pPr>
            <w:r>
              <w:rPr>
                <w:rFonts w:hAnsi="宋体"/>
                <w:b/>
                <w:bCs/>
                <w:color w:val="auto"/>
                <w:sz w:val="24"/>
                <w:szCs w:val="24"/>
                <w:u w:val="single"/>
              </w:rPr>
              <w:t>主要污染工序及环节：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u w:val="single"/>
              </w:rPr>
            </w:pPr>
            <w:r>
              <w:rPr>
                <w:rFonts w:hAnsi="宋体"/>
                <w:color w:val="auto"/>
                <w:sz w:val="24"/>
                <w:u w:val="single"/>
              </w:rPr>
              <w:t>本项目实施过程中产污工序及环节分析见表</w:t>
            </w:r>
            <w:r>
              <w:rPr>
                <w:color w:val="auto"/>
                <w:sz w:val="24"/>
                <w:u w:val="single"/>
              </w:rPr>
              <w:t>2</w:t>
            </w:r>
            <w:r>
              <w:rPr>
                <w:rFonts w:hint="eastAsia"/>
                <w:color w:val="auto"/>
                <w:sz w:val="24"/>
                <w:u w:val="single"/>
              </w:rPr>
              <w:t>8</w:t>
            </w:r>
            <w:r>
              <w:rPr>
                <w:rFonts w:hAnsi="宋体"/>
                <w:color w:val="auto"/>
                <w:sz w:val="24"/>
                <w:u w:val="single"/>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bookmarkStart w:id="10" w:name="OLE_LINK1"/>
            <w:bookmarkStart w:id="11" w:name="OLE_LINK2"/>
            <w:r>
              <w:rPr>
                <w:rFonts w:hAnsi="宋体"/>
                <w:b/>
                <w:bCs/>
                <w:color w:val="auto"/>
                <w:u w:val="single"/>
              </w:rPr>
              <w:t>表2</w:t>
            </w:r>
            <w:r>
              <w:rPr>
                <w:rFonts w:hint="eastAsia" w:hAnsi="宋体"/>
                <w:b/>
                <w:bCs/>
                <w:color w:val="auto"/>
                <w:u w:val="single"/>
              </w:rPr>
              <w:t>8</w:t>
            </w:r>
            <w:r>
              <w:rPr>
                <w:rFonts w:hint="eastAsia" w:hAnsi="宋体"/>
                <w:b/>
                <w:bCs/>
                <w:color w:val="auto"/>
                <w:u w:val="single"/>
                <w:lang w:val="en-US" w:eastAsia="zh-CN"/>
              </w:rPr>
              <w:t xml:space="preserve">  </w:t>
            </w:r>
            <w:r>
              <w:rPr>
                <w:rFonts w:hAnsi="宋体"/>
                <w:b/>
                <w:bCs/>
                <w:color w:val="auto"/>
                <w:u w:val="single"/>
              </w:rPr>
              <w:t>项目实施过程中产污环节分析表</w:t>
            </w:r>
          </w:p>
          <w:tbl>
            <w:tblPr>
              <w:tblStyle w:val="31"/>
              <w:tblW w:w="906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0"/>
              <w:gridCol w:w="931"/>
              <w:gridCol w:w="1703"/>
              <w:gridCol w:w="3277"/>
              <w:gridCol w:w="2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序号</w:t>
                  </w:r>
                </w:p>
              </w:tc>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污染类型</w:t>
                  </w: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污染类别</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产污工序、产污源</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w:t>
                  </w:r>
                </w:p>
              </w:tc>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废气</w:t>
                  </w: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扬尘</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厂房及设备拆除、固废运输、稳定化场建设、土壤开挖、土壤修复、土壤回填、土壤运输</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TSP、PM</w:t>
                  </w:r>
                  <w:r>
                    <w:rPr>
                      <w:rFonts w:hint="default" w:ascii="Times New Roman" w:hAnsi="Times New Roman" w:eastAsia="宋体" w:cs="Times New Roman"/>
                      <w:color w:val="auto"/>
                      <w:sz w:val="21"/>
                      <w:szCs w:val="21"/>
                      <w:u w:val="single"/>
                      <w:vertAlign w:val="subscript"/>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汽车尾气</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车辆运输</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CO、THC、NO</w:t>
                  </w:r>
                  <w:r>
                    <w:rPr>
                      <w:rFonts w:hint="default" w:ascii="Times New Roman" w:hAnsi="Times New Roman" w:eastAsia="宋体" w:cs="Times New Roman"/>
                      <w:color w:val="auto"/>
                      <w:sz w:val="21"/>
                      <w:szCs w:val="21"/>
                      <w:u w:val="single"/>
                      <w:vertAlign w:val="subscript"/>
                    </w:rPr>
                    <w:t>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柴油发电机废气</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柴油发电机</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SO</w:t>
                  </w:r>
                  <w:r>
                    <w:rPr>
                      <w:rFonts w:hint="default" w:ascii="Times New Roman" w:hAnsi="Times New Roman" w:eastAsia="宋体" w:cs="Times New Roman"/>
                      <w:color w:val="auto"/>
                      <w:sz w:val="21"/>
                      <w:szCs w:val="21"/>
                      <w:u w:val="single"/>
                      <w:vertAlign w:val="subscript"/>
                    </w:rPr>
                    <w:t>2</w:t>
                  </w:r>
                  <w:r>
                    <w:rPr>
                      <w:rFonts w:hint="default" w:ascii="Times New Roman" w:hAnsi="Times New Roman" w:eastAsia="宋体" w:cs="Times New Roman"/>
                      <w:color w:val="auto"/>
                      <w:sz w:val="21"/>
                      <w:szCs w:val="21"/>
                      <w:u w:val="single"/>
                    </w:rPr>
                    <w:t>、NO</w:t>
                  </w:r>
                  <w:r>
                    <w:rPr>
                      <w:rFonts w:hint="default" w:ascii="Times New Roman" w:hAnsi="Times New Roman" w:eastAsia="宋体" w:cs="Times New Roman"/>
                      <w:color w:val="auto"/>
                      <w:sz w:val="21"/>
                      <w:szCs w:val="21"/>
                      <w:u w:val="single"/>
                      <w:vertAlign w:val="subscript"/>
                    </w:rPr>
                    <w:t>X</w:t>
                  </w:r>
                  <w:r>
                    <w:rPr>
                      <w:rFonts w:hint="default" w:ascii="Times New Roman" w:hAnsi="Times New Roman" w:eastAsia="宋体" w:cs="Times New Roman"/>
                      <w:color w:val="auto"/>
                      <w:sz w:val="21"/>
                      <w:szCs w:val="21"/>
                      <w:u w:val="single"/>
                    </w:rPr>
                    <w:t>、烟尘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负压大棚废气</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负压大棚废气、颗粒物及有机废气</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TSP、VOCs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eastAsia" w:cs="Times New Roman"/>
                      <w:color w:val="auto"/>
                      <w:sz w:val="21"/>
                      <w:szCs w:val="21"/>
                      <w:u w:val="single"/>
                      <w:lang w:eastAsia="zh-CN"/>
                    </w:rPr>
                    <w:t>异味</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single"/>
                      <w:lang w:eastAsia="zh-CN"/>
                    </w:rPr>
                  </w:pPr>
                  <w:r>
                    <w:rPr>
                      <w:rFonts w:hint="eastAsia" w:cs="Times New Roman"/>
                      <w:color w:val="auto"/>
                      <w:sz w:val="21"/>
                      <w:szCs w:val="21"/>
                      <w:u w:val="single"/>
                      <w:lang w:eastAsia="zh-CN"/>
                    </w:rPr>
                    <w:t>受污染厂区、负压大棚废气</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single"/>
                      <w:lang w:eastAsia="zh-CN"/>
                    </w:rPr>
                  </w:pPr>
                  <w:r>
                    <w:rPr>
                      <w:rFonts w:hint="eastAsia" w:cs="Times New Roman"/>
                      <w:color w:val="auto"/>
                      <w:sz w:val="21"/>
                      <w:szCs w:val="21"/>
                      <w:u w:val="single"/>
                      <w:lang w:eastAsia="zh-CN"/>
                    </w:rPr>
                    <w:t>异味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w:t>
                  </w:r>
                </w:p>
              </w:tc>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废水</w:t>
                  </w: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洗车废水</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运输车辆清洗</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SS、石油类、六六六、滴滴涕等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基坑废水</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开挖积水</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SS、六六六、滴滴涕等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场地雨水</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降雨、表土冲刷</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SS、六六六、滴滴涕等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生活污水</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员工</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COD、BOD、NH</w:t>
                  </w:r>
                  <w:r>
                    <w:rPr>
                      <w:rFonts w:hint="default" w:ascii="Times New Roman" w:hAnsi="Times New Roman" w:eastAsia="宋体" w:cs="Times New Roman"/>
                      <w:color w:val="auto"/>
                      <w:sz w:val="21"/>
                      <w:szCs w:val="21"/>
                      <w:u w:val="single"/>
                      <w:vertAlign w:val="subscript"/>
                    </w:rPr>
                    <w:t>3</w:t>
                  </w:r>
                  <w:r>
                    <w:rPr>
                      <w:rFonts w:hint="default" w:ascii="Times New Roman" w:hAnsi="Times New Roman" w:eastAsia="宋体" w:cs="Times New Roman"/>
                      <w:color w:val="auto"/>
                      <w:sz w:val="21"/>
                      <w:szCs w:val="21"/>
                      <w:u w:val="single"/>
                    </w:rPr>
                    <w:t>-N、SS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w:t>
                  </w:r>
                </w:p>
              </w:tc>
              <w:tc>
                <w:tcPr>
                  <w:tcW w:w="9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噪声</w:t>
                  </w: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机械、车辆噪声</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机械设备、运输车辆</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trPr>
              <w:tc>
                <w:tcPr>
                  <w:tcW w:w="5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w:t>
                  </w:r>
                </w:p>
              </w:tc>
              <w:tc>
                <w:tcPr>
                  <w:tcW w:w="9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固废</w:t>
                  </w: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建筑垃圾、渣土、废防渗材料</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厂房及设备拆除</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5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9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生活垃圾</w:t>
                  </w:r>
                </w:p>
              </w:tc>
              <w:tc>
                <w:tcPr>
                  <w:tcW w:w="3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员工</w:t>
                  </w:r>
                </w:p>
              </w:tc>
              <w:tc>
                <w:tcPr>
                  <w:tcW w:w="2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一般固废</w:t>
                  </w:r>
                </w:p>
              </w:tc>
            </w:tr>
            <w:bookmarkEnd w:id="10"/>
            <w:bookmarkEnd w:id="11"/>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rPr>
            </w:pPr>
            <w:r>
              <w:rPr>
                <w:b/>
                <w:color w:val="auto"/>
                <w:sz w:val="24"/>
                <w:szCs w:val="24"/>
              </w:rPr>
              <w:t>1</w:t>
            </w:r>
            <w:r>
              <w:rPr>
                <w:rFonts w:hAnsi="宋体"/>
                <w:b/>
                <w:color w:val="auto"/>
                <w:sz w:val="24"/>
                <w:szCs w:val="24"/>
              </w:rPr>
              <w:t>、大气污染源分析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4"/>
              </w:rPr>
            </w:pPr>
            <w:r>
              <w:rPr>
                <w:rFonts w:hAnsi="宋体"/>
                <w:color w:val="auto"/>
                <w:sz w:val="24"/>
                <w:szCs w:val="24"/>
              </w:rPr>
              <w:t>本项目实施过程中对大气环境的污染主要来自于</w:t>
            </w:r>
            <w:r>
              <w:rPr>
                <w:rFonts w:hint="eastAsia" w:hAnsi="宋体"/>
                <w:color w:val="auto"/>
                <w:sz w:val="24"/>
                <w:szCs w:val="24"/>
              </w:rPr>
              <w:t>构筑物拆除、</w:t>
            </w:r>
            <w:r>
              <w:rPr>
                <w:rFonts w:hAnsi="宋体"/>
                <w:color w:val="auto"/>
                <w:sz w:val="24"/>
                <w:szCs w:val="24"/>
              </w:rPr>
              <w:t>土壤开挖、运输、堆放和回填、修复等过程中产生的扬尘；运输车辆产生的尾气；备用发电机燃油废气等。</w:t>
            </w:r>
            <w:r>
              <w:rPr>
                <w:rFonts w:hAnsi="宋体"/>
                <w:color w:val="auto"/>
                <w:sz w:val="24"/>
              </w:rPr>
              <w:t>扬尘的排放与施工场地的面积、施工活动频率等成正比，还与当地气象条件如风速、湿度、日照等有关。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4"/>
                <w:u w:val="single"/>
              </w:rPr>
            </w:pPr>
            <w:r>
              <w:rPr>
                <w:rFonts w:hAnsi="宋体"/>
                <w:color w:val="auto"/>
                <w:sz w:val="24"/>
                <w:szCs w:val="24"/>
                <w:u w:val="single"/>
              </w:rPr>
              <w:t>（</w:t>
            </w:r>
            <w:r>
              <w:rPr>
                <w:color w:val="auto"/>
                <w:sz w:val="24"/>
                <w:szCs w:val="24"/>
                <w:u w:val="single"/>
              </w:rPr>
              <w:t>1</w:t>
            </w:r>
            <w:r>
              <w:rPr>
                <w:rFonts w:hAnsi="宋体"/>
                <w:color w:val="auto"/>
                <w:sz w:val="24"/>
                <w:szCs w:val="24"/>
                <w:u w:val="single"/>
              </w:rPr>
              <w:t>）扬尘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textAlignment w:val="auto"/>
              <w:outlineLvl w:val="9"/>
              <w:rPr>
                <w:rFonts w:hAnsi="宋体"/>
                <w:color w:val="auto"/>
                <w:sz w:val="24"/>
                <w:u w:val="single"/>
              </w:rPr>
            </w:pPr>
            <w:r>
              <w:rPr>
                <w:rFonts w:hAnsi="宋体"/>
                <w:color w:val="auto"/>
                <w:sz w:val="24"/>
                <w:u w:val="single"/>
              </w:rPr>
              <w:t>①</w:t>
            </w:r>
            <w:r>
              <w:rPr>
                <w:rFonts w:hint="eastAsia" w:hAnsi="宋体"/>
                <w:color w:val="auto"/>
                <w:sz w:val="24"/>
                <w:u w:val="single"/>
              </w:rPr>
              <w:t>构筑物拆除扬尘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textAlignment w:val="auto"/>
              <w:outlineLvl w:val="9"/>
              <w:rPr>
                <w:rFonts w:hAnsi="宋体"/>
                <w:color w:val="auto"/>
                <w:sz w:val="24"/>
                <w:u w:val="single"/>
              </w:rPr>
            </w:pPr>
            <w:r>
              <w:rPr>
                <w:rFonts w:hint="eastAsia" w:hAnsi="宋体"/>
                <w:color w:val="auto"/>
                <w:sz w:val="24"/>
                <w:u w:val="single"/>
              </w:rPr>
              <w:t>项目进行土壤修复前，需先对场地残留建构筑物、设备进行拆除，建筑物主要为砖混结构，拆除过程会产生扬尘。参考《辽宁省城区建筑施工扬尘排放量计算方法》中拆迁工地扬尘排放系数24.2吨/万平方米</w:t>
            </w:r>
            <w:r>
              <w:rPr>
                <w:rFonts w:hint="eastAsia" w:ascii="宋体" w:hAnsi="宋体"/>
                <w:color w:val="auto"/>
                <w:sz w:val="24"/>
                <w:u w:val="single"/>
              </w:rPr>
              <w:t>·</w:t>
            </w:r>
            <w:r>
              <w:rPr>
                <w:rFonts w:hint="eastAsia" w:hAnsi="宋体"/>
                <w:color w:val="auto"/>
                <w:sz w:val="24"/>
                <w:u w:val="single"/>
              </w:rPr>
              <w:t>月，本项目拆除建筑面积约2722.2m</w:t>
            </w:r>
            <w:r>
              <w:rPr>
                <w:rFonts w:hint="eastAsia" w:hAnsi="宋体"/>
                <w:color w:val="auto"/>
                <w:sz w:val="24"/>
                <w:u w:val="single"/>
                <w:vertAlign w:val="superscript"/>
              </w:rPr>
              <w:t>2</w:t>
            </w:r>
            <w:r>
              <w:rPr>
                <w:rFonts w:hint="eastAsia" w:hAnsi="宋体"/>
                <w:color w:val="auto"/>
                <w:sz w:val="24"/>
                <w:u w:val="single"/>
              </w:rPr>
              <w:t>（包括建筑厂房1122.2m</w:t>
            </w:r>
            <w:r>
              <w:rPr>
                <w:rFonts w:hint="eastAsia" w:hAnsi="宋体"/>
                <w:color w:val="auto"/>
                <w:sz w:val="24"/>
                <w:u w:val="single"/>
                <w:vertAlign w:val="superscript"/>
              </w:rPr>
              <w:t>2</w:t>
            </w:r>
            <w:r>
              <w:rPr>
                <w:rFonts w:hint="eastAsia" w:hAnsi="宋体"/>
                <w:color w:val="auto"/>
                <w:sz w:val="24"/>
                <w:u w:val="single"/>
              </w:rPr>
              <w:t>及水泥地面1600m</w:t>
            </w:r>
            <w:r>
              <w:rPr>
                <w:rFonts w:hint="eastAsia" w:hAnsi="宋体"/>
                <w:color w:val="auto"/>
                <w:sz w:val="24"/>
                <w:u w:val="single"/>
                <w:vertAlign w:val="superscript"/>
              </w:rPr>
              <w:t>2</w:t>
            </w:r>
            <w:r>
              <w:rPr>
                <w:rFonts w:hint="eastAsia" w:hAnsi="宋体"/>
                <w:color w:val="auto"/>
                <w:sz w:val="24"/>
                <w:u w:val="single"/>
              </w:rPr>
              <w:t>），建筑物拆除工期约一周，每天工作12小时，则项目构筑物拆除过程中产生扬尘量约1.647t，本项目通过采取拆除场地边界进行围挡、布设防尘网、对施工区进行喷雾、洒水降尘等措施，可有效促进大颗粒扬尘沉降，沉降效率约60%，则建筑物拆除过程中无组织排放扬尘量约0.988t，排放速率约11.762kg/h。</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textAlignment w:val="auto"/>
              <w:outlineLvl w:val="9"/>
              <w:rPr>
                <w:color w:val="auto"/>
                <w:sz w:val="24"/>
                <w:u w:val="single"/>
              </w:rPr>
            </w:pPr>
            <w:r>
              <w:rPr>
                <w:rFonts w:hAnsi="宋体"/>
                <w:color w:val="auto"/>
                <w:sz w:val="24"/>
                <w:u w:val="single"/>
              </w:rPr>
              <w:t>结合调查报告中土壤中</w:t>
            </w:r>
            <w:r>
              <w:rPr>
                <w:rFonts w:hint="eastAsia" w:hAnsi="宋体"/>
                <w:color w:val="auto"/>
                <w:sz w:val="24"/>
                <w:u w:val="single"/>
              </w:rPr>
              <w:t>六六六、滴滴涕</w:t>
            </w:r>
            <w:r>
              <w:rPr>
                <w:rFonts w:hAnsi="宋体"/>
                <w:color w:val="auto"/>
                <w:sz w:val="24"/>
                <w:u w:val="single"/>
              </w:rPr>
              <w:t>的含量监测结果</w:t>
            </w:r>
            <w:r>
              <w:rPr>
                <w:rFonts w:hint="eastAsia" w:hAnsi="宋体"/>
                <w:color w:val="auto"/>
                <w:sz w:val="24"/>
                <w:u w:val="single"/>
              </w:rPr>
              <w:t>（取0.2m处土壤监测最大值）</w:t>
            </w:r>
            <w:r>
              <w:rPr>
                <w:rFonts w:hAnsi="宋体"/>
                <w:color w:val="auto"/>
                <w:sz w:val="24"/>
                <w:u w:val="single"/>
              </w:rPr>
              <w:t>，估算项目土壤修复过程中扬尘中的</w:t>
            </w:r>
            <w:r>
              <w:rPr>
                <w:rFonts w:hint="eastAsia" w:hAnsi="宋体"/>
                <w:color w:val="auto"/>
                <w:sz w:val="24"/>
                <w:u w:val="single"/>
              </w:rPr>
              <w:t>有机物</w:t>
            </w:r>
            <w:r>
              <w:rPr>
                <w:rFonts w:hAnsi="宋体"/>
                <w:color w:val="auto"/>
                <w:sz w:val="24"/>
                <w:u w:val="single"/>
              </w:rPr>
              <w:t>含量，具体见下表。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表2</w:t>
            </w:r>
            <w:r>
              <w:rPr>
                <w:rFonts w:hint="eastAsia" w:hAnsi="宋体"/>
                <w:b/>
                <w:bCs/>
                <w:color w:val="auto"/>
                <w:u w:val="single"/>
                <w:lang w:val="en-US" w:eastAsia="zh-CN"/>
              </w:rPr>
              <w:t>9</w:t>
            </w:r>
            <w:r>
              <w:rPr>
                <w:rFonts w:hint="eastAsia" w:hAnsi="宋体"/>
                <w:b/>
                <w:bCs/>
                <w:color w:val="auto"/>
                <w:u w:val="single"/>
              </w:rPr>
              <w:t xml:space="preserve">  </w:t>
            </w:r>
            <w:r>
              <w:rPr>
                <w:rFonts w:hAnsi="宋体"/>
                <w:b/>
                <w:bCs/>
                <w:color w:val="auto"/>
                <w:u w:val="single"/>
              </w:rPr>
              <w:t>项目</w:t>
            </w:r>
            <w:r>
              <w:rPr>
                <w:rFonts w:hint="eastAsia" w:hAnsi="宋体"/>
                <w:b/>
                <w:bCs/>
                <w:color w:val="auto"/>
                <w:u w:val="single"/>
              </w:rPr>
              <w:t>构筑物拆除扬尘中有机物量</w:t>
            </w:r>
            <w:r>
              <w:rPr>
                <w:rFonts w:hAnsi="宋体"/>
                <w:b/>
                <w:bCs/>
                <w:color w:val="auto"/>
                <w:u w:val="single"/>
              </w:rPr>
              <w:t>分析表</w:t>
            </w:r>
          </w:p>
          <w:tbl>
            <w:tblPr>
              <w:tblStyle w:val="31"/>
              <w:tblW w:w="906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70"/>
              <w:gridCol w:w="1482"/>
              <w:gridCol w:w="2053"/>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3470" w:type="dxa"/>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污染因子</w:t>
                  </w:r>
                </w:p>
              </w:tc>
              <w:tc>
                <w:tcPr>
                  <w:tcW w:w="1482" w:type="dxa"/>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扬尘</w:t>
                  </w:r>
                </w:p>
              </w:tc>
              <w:tc>
                <w:tcPr>
                  <w:tcW w:w="2053" w:type="dxa"/>
                  <w:tcBorders>
                    <w:tl2br w:val="nil"/>
                    <w:tr2bl w:val="nil"/>
                  </w:tcBorders>
                  <w:vAlign w:val="center"/>
                </w:tcPr>
                <w:p>
                  <w:pPr>
                    <w:spacing w:before="100" w:beforeAutospacing="1" w:after="100" w:afterAutospacing="1"/>
                    <w:jc w:val="center"/>
                    <w:rPr>
                      <w:color w:val="auto"/>
                      <w:sz w:val="21"/>
                      <w:szCs w:val="21"/>
                      <w:u w:val="single"/>
                    </w:rPr>
                  </w:pPr>
                  <w:r>
                    <w:rPr>
                      <w:rFonts w:hint="eastAsia" w:hAnsi="宋体"/>
                      <w:color w:val="auto"/>
                      <w:sz w:val="21"/>
                      <w:szCs w:val="21"/>
                      <w:u w:val="single"/>
                    </w:rPr>
                    <w:t>六六六</w:t>
                  </w:r>
                </w:p>
              </w:tc>
              <w:tc>
                <w:tcPr>
                  <w:tcW w:w="2055" w:type="dxa"/>
                  <w:tcBorders>
                    <w:tl2br w:val="nil"/>
                    <w:tr2bl w:val="nil"/>
                  </w:tcBorders>
                  <w:vAlign w:val="center"/>
                </w:tcPr>
                <w:p>
                  <w:pPr>
                    <w:spacing w:before="100" w:beforeAutospacing="1" w:after="100" w:afterAutospacing="1"/>
                    <w:jc w:val="center"/>
                    <w:rPr>
                      <w:color w:val="auto"/>
                      <w:sz w:val="21"/>
                      <w:szCs w:val="21"/>
                      <w:u w:val="single"/>
                    </w:rPr>
                  </w:pPr>
                  <w:r>
                    <w:rPr>
                      <w:rFonts w:hint="eastAsia" w:hAnsi="宋体"/>
                      <w:color w:val="auto"/>
                      <w:sz w:val="21"/>
                      <w:szCs w:val="21"/>
                      <w:u w:val="single"/>
                    </w:rPr>
                    <w:t>滴滴涕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3470" w:type="dxa"/>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含量（</w:t>
                  </w:r>
                  <w:r>
                    <w:rPr>
                      <w:color w:val="auto"/>
                      <w:sz w:val="21"/>
                      <w:szCs w:val="21"/>
                      <w:u w:val="single"/>
                    </w:rPr>
                    <w:t>mg/kg</w:t>
                  </w:r>
                  <w:r>
                    <w:rPr>
                      <w:rFonts w:hAnsi="宋体"/>
                      <w:color w:val="auto"/>
                      <w:sz w:val="21"/>
                      <w:szCs w:val="21"/>
                      <w:u w:val="single"/>
                    </w:rPr>
                    <w:t>）</w:t>
                  </w:r>
                </w:p>
              </w:tc>
              <w:tc>
                <w:tcPr>
                  <w:tcW w:w="1482" w:type="dxa"/>
                  <w:tcBorders>
                    <w:tl2br w:val="nil"/>
                    <w:tr2bl w:val="nil"/>
                  </w:tcBorders>
                  <w:vAlign w:val="center"/>
                </w:tcPr>
                <w:p>
                  <w:pPr>
                    <w:spacing w:before="100" w:beforeAutospacing="1" w:after="100" w:afterAutospacing="1"/>
                    <w:jc w:val="center"/>
                    <w:rPr>
                      <w:color w:val="auto"/>
                      <w:sz w:val="21"/>
                      <w:szCs w:val="21"/>
                      <w:u w:val="single"/>
                    </w:rPr>
                  </w:pPr>
                  <w:r>
                    <w:rPr>
                      <w:color w:val="auto"/>
                      <w:sz w:val="21"/>
                      <w:szCs w:val="21"/>
                      <w:u w:val="single"/>
                    </w:rPr>
                    <w:t>/</w:t>
                  </w:r>
                </w:p>
              </w:tc>
              <w:tc>
                <w:tcPr>
                  <w:tcW w:w="2053"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5.22</w:t>
                  </w:r>
                </w:p>
              </w:tc>
              <w:tc>
                <w:tcPr>
                  <w:tcW w:w="2055"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5.26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3470" w:type="dxa"/>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估算产生量（</w:t>
                  </w:r>
                  <w:r>
                    <w:rPr>
                      <w:color w:val="auto"/>
                      <w:sz w:val="21"/>
                      <w:szCs w:val="21"/>
                      <w:u w:val="single"/>
                    </w:rPr>
                    <w:t>kg</w:t>
                  </w:r>
                  <w:r>
                    <w:rPr>
                      <w:rFonts w:hAnsi="宋体"/>
                      <w:color w:val="auto"/>
                      <w:sz w:val="21"/>
                      <w:szCs w:val="21"/>
                      <w:u w:val="single"/>
                    </w:rPr>
                    <w:t>）</w:t>
                  </w:r>
                </w:p>
              </w:tc>
              <w:tc>
                <w:tcPr>
                  <w:tcW w:w="1482"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988</w:t>
                  </w:r>
                </w:p>
              </w:tc>
              <w:tc>
                <w:tcPr>
                  <w:tcW w:w="2053" w:type="dxa"/>
                  <w:tcBorders>
                    <w:tl2br w:val="nil"/>
                    <w:tr2bl w:val="nil"/>
                  </w:tcBorders>
                  <w:vAlign w:val="center"/>
                </w:tcPr>
                <w:p>
                  <w:pPr>
                    <w:jc w:val="center"/>
                    <w:rPr>
                      <w:color w:val="auto"/>
                      <w:sz w:val="21"/>
                      <w:szCs w:val="21"/>
                      <w:u w:val="single"/>
                    </w:rPr>
                  </w:pPr>
                  <w:r>
                    <w:rPr>
                      <w:rFonts w:hint="eastAsia"/>
                      <w:color w:val="auto"/>
                      <w:sz w:val="21"/>
                      <w:szCs w:val="21"/>
                      <w:u w:val="single"/>
                    </w:rPr>
                    <w:t>0.00516</w:t>
                  </w:r>
                </w:p>
              </w:tc>
              <w:tc>
                <w:tcPr>
                  <w:tcW w:w="2055" w:type="dxa"/>
                  <w:tcBorders>
                    <w:tl2br w:val="nil"/>
                    <w:tr2bl w:val="nil"/>
                  </w:tcBorders>
                  <w:vAlign w:val="center"/>
                </w:tcPr>
                <w:p>
                  <w:pPr>
                    <w:jc w:val="center"/>
                    <w:rPr>
                      <w:color w:val="auto"/>
                      <w:sz w:val="21"/>
                      <w:szCs w:val="21"/>
                      <w:u w:val="single"/>
                    </w:rPr>
                  </w:pPr>
                  <w:r>
                    <w:rPr>
                      <w:rFonts w:hint="eastAsia"/>
                      <w:color w:val="auto"/>
                      <w:sz w:val="21"/>
                      <w:szCs w:val="21"/>
                      <w:u w:val="single"/>
                    </w:rPr>
                    <w:t>0.0052</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u w:val="single"/>
              </w:rPr>
            </w:pPr>
            <w:r>
              <w:rPr>
                <w:rFonts w:hint="eastAsia" w:hAnsi="宋体"/>
                <w:color w:val="auto"/>
                <w:sz w:val="24"/>
                <w:u w:val="single"/>
              </w:rPr>
              <w:t>根据</w:t>
            </w:r>
            <w:r>
              <w:rPr>
                <w:rFonts w:hAnsi="宋体"/>
                <w:color w:val="auto"/>
                <w:sz w:val="24"/>
                <w:u w:val="single"/>
              </w:rPr>
              <w:t>上表</w:t>
            </w:r>
            <w:r>
              <w:rPr>
                <w:rFonts w:hint="eastAsia" w:hAnsi="宋体"/>
                <w:color w:val="auto"/>
                <w:sz w:val="24"/>
                <w:u w:val="single"/>
              </w:rPr>
              <w:t>分析</w:t>
            </w:r>
            <w:r>
              <w:rPr>
                <w:rFonts w:hAnsi="宋体"/>
                <w:color w:val="auto"/>
                <w:sz w:val="24"/>
                <w:u w:val="single"/>
              </w:rPr>
              <w:t>可见，项目</w:t>
            </w:r>
            <w:r>
              <w:rPr>
                <w:rFonts w:hint="eastAsia" w:hAnsi="宋体"/>
                <w:color w:val="auto"/>
                <w:sz w:val="24"/>
                <w:u w:val="single"/>
              </w:rPr>
              <w:t>建筑物拆除过程中产生的扬尘中所含有机物成分较低，主要成分为砂石、灰土、灰膏、渣土类颗粒物扬尘。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Ansi="宋体"/>
                <w:color w:val="auto"/>
                <w:sz w:val="24"/>
                <w:u w:val="single"/>
              </w:rPr>
              <w:t>②土壤开挖、修复、回填扬尘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u w:val="single"/>
              </w:rPr>
            </w:pPr>
            <w:r>
              <w:rPr>
                <w:rFonts w:hAnsi="宋体"/>
                <w:color w:val="auto"/>
                <w:sz w:val="24"/>
                <w:u w:val="single"/>
              </w:rPr>
              <w:t>项目区土壤开挖和修复过程会产生扬尘，而扬尘中含有</w:t>
            </w:r>
            <w:r>
              <w:rPr>
                <w:rFonts w:hint="eastAsia" w:hAnsi="宋体"/>
                <w:color w:val="auto"/>
                <w:sz w:val="24"/>
                <w:u w:val="single"/>
              </w:rPr>
              <w:t>有机物</w:t>
            </w:r>
            <w:r>
              <w:rPr>
                <w:rFonts w:hAnsi="宋体"/>
                <w:color w:val="auto"/>
                <w:sz w:val="24"/>
                <w:u w:val="single"/>
              </w:rPr>
              <w:t>，会对周围大气环境造成影响。项目通过租赁挖掘机开挖土壤，将土壤装入密闭式自卸车中运至</w:t>
            </w:r>
            <w:r>
              <w:rPr>
                <w:rFonts w:hint="eastAsia" w:hAnsi="宋体"/>
                <w:color w:val="auto"/>
                <w:sz w:val="24"/>
                <w:u w:val="single"/>
              </w:rPr>
              <w:t>修复处置大棚</w:t>
            </w:r>
            <w:r>
              <w:rPr>
                <w:rFonts w:hAnsi="宋体"/>
                <w:color w:val="auto"/>
                <w:sz w:val="24"/>
                <w:u w:val="single"/>
              </w:rPr>
              <w:t>中，土壤筛分后</w:t>
            </w:r>
            <w:r>
              <w:rPr>
                <w:rFonts w:hint="eastAsia" w:hAnsi="宋体"/>
                <w:color w:val="auto"/>
                <w:sz w:val="24"/>
                <w:u w:val="single"/>
              </w:rPr>
              <w:t>进行</w:t>
            </w:r>
            <w:r>
              <w:rPr>
                <w:rFonts w:hint="eastAsia" w:hAnsi="宋体"/>
                <w:color w:val="auto"/>
                <w:sz w:val="24"/>
                <w:u w:val="single"/>
                <w:lang w:eastAsia="zh-CN"/>
              </w:rPr>
              <w:t>修复</w:t>
            </w:r>
            <w:r>
              <w:rPr>
                <w:rFonts w:hint="eastAsia" w:hAnsi="宋体"/>
                <w:color w:val="auto"/>
                <w:sz w:val="24"/>
                <w:u w:val="single"/>
              </w:rPr>
              <w:t>药剂与土壤的拌合</w:t>
            </w:r>
            <w:r>
              <w:rPr>
                <w:rFonts w:hAnsi="宋体"/>
                <w:color w:val="auto"/>
                <w:sz w:val="24"/>
                <w:u w:val="single"/>
              </w:rPr>
              <w:t>，</w:t>
            </w:r>
            <w:r>
              <w:rPr>
                <w:rFonts w:hint="eastAsia" w:hAnsi="宋体"/>
                <w:color w:val="auto"/>
                <w:sz w:val="24"/>
                <w:u w:val="single"/>
              </w:rPr>
              <w:t>拌合均匀后，将污染土壤按照长宽高：10m*3m*2.m在处置区进行条状堆置。现场堆置1-3天，混合次数不小于2次。经修复完的土壤进行取样送检，如果低于修复目标，则通过验收，如果高于则再次进行</w:t>
            </w:r>
            <w:r>
              <w:rPr>
                <w:rFonts w:hint="eastAsia" w:hAnsi="宋体"/>
                <w:color w:val="auto"/>
                <w:sz w:val="24"/>
                <w:u w:val="single"/>
                <w:lang w:eastAsia="zh-CN"/>
              </w:rPr>
              <w:t>化学氧化</w:t>
            </w:r>
            <w:r>
              <w:rPr>
                <w:rFonts w:hint="eastAsia" w:hAnsi="宋体"/>
                <w:color w:val="auto"/>
                <w:sz w:val="24"/>
                <w:u w:val="single"/>
              </w:rPr>
              <w:t>修复，直至检验合格。同时进行基坑底部和侧壁土壤的检验，保证全部污染土壤均进行挖掘修复。将检验合格的土壤运至大棚外的合格土壤堆置区，最后统一进行回填，做好基坑底部和侧壁的防渗及表面的阻隔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u w:val="single"/>
              </w:rPr>
            </w:pPr>
            <w:r>
              <w:rPr>
                <w:rFonts w:hint="eastAsia" w:hAnsi="宋体"/>
                <w:color w:val="auto"/>
                <w:sz w:val="24"/>
                <w:u w:val="single"/>
              </w:rPr>
              <w:t>土壤挖掘和运输粉尘，根据施工企业的统计数据，土方在开挖、回填及运输过程，粉尘产生量约为总土方量的0.1%，开挖土方量</w:t>
            </w:r>
            <w:r>
              <w:rPr>
                <w:rFonts w:hint="eastAsia"/>
                <w:color w:val="auto"/>
                <w:sz w:val="24"/>
                <w:szCs w:val="24"/>
                <w:u w:val="single"/>
              </w:rPr>
              <w:t>25785.147</w:t>
            </w:r>
            <w:r>
              <w:rPr>
                <w:color w:val="auto"/>
                <w:sz w:val="24"/>
                <w:u w:val="single"/>
              </w:rPr>
              <w:t>t</w:t>
            </w:r>
            <w:r>
              <w:rPr>
                <w:rFonts w:hint="eastAsia"/>
                <w:color w:val="auto"/>
                <w:sz w:val="24"/>
                <w:u w:val="single"/>
              </w:rPr>
              <w:t>，则产尘量为25.785</w:t>
            </w:r>
            <w:r>
              <w:rPr>
                <w:color w:val="auto"/>
                <w:sz w:val="24"/>
                <w:u w:val="single"/>
              </w:rPr>
              <w:t xml:space="preserve"> t</w:t>
            </w:r>
            <w:r>
              <w:rPr>
                <w:rFonts w:hint="eastAsia"/>
                <w:color w:val="auto"/>
                <w:sz w:val="24"/>
                <w:u w:val="single"/>
              </w:rPr>
              <w:t>，由于本项目含水量较高，约15%以上，同时设置喷雾设备，及时设置防尘网，降尘量约97%，则开挖运输产生的无组织粉尘量约为0.774</w:t>
            </w:r>
            <w:r>
              <w:rPr>
                <w:color w:val="auto"/>
                <w:sz w:val="24"/>
                <w:u w:val="single"/>
              </w:rPr>
              <w:t xml:space="preserve"> t</w:t>
            </w:r>
            <w:r>
              <w:rPr>
                <w:rFonts w:hint="eastAsia"/>
                <w:color w:val="auto"/>
                <w:sz w:val="24"/>
                <w:u w:val="single"/>
              </w:rPr>
              <w:t>，开挖及修复时间按100天计，工作时间为1200h，产生速率0.645kg/h.</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u w:val="single"/>
              </w:rPr>
            </w:pPr>
            <w:r>
              <w:rPr>
                <w:rFonts w:hint="eastAsia" w:hAnsi="宋体"/>
                <w:color w:val="auto"/>
                <w:sz w:val="24"/>
                <w:u w:val="single"/>
              </w:rPr>
              <w:t>大棚内土壤处置粉尘：</w:t>
            </w:r>
            <w:r>
              <w:rPr>
                <w:rFonts w:hAnsi="宋体"/>
                <w:color w:val="auto"/>
                <w:sz w:val="24"/>
                <w:u w:val="single"/>
              </w:rPr>
              <w:t>参考开挖矿山的经验，模拟主要产生尘源的筛分工序，分数次进行分筛实验：取</w:t>
            </w:r>
            <w:r>
              <w:rPr>
                <w:color w:val="auto"/>
                <w:sz w:val="24"/>
                <w:u w:val="single"/>
              </w:rPr>
              <w:t>200kg</w:t>
            </w:r>
            <w:r>
              <w:rPr>
                <w:rFonts w:hAnsi="宋体"/>
                <w:color w:val="auto"/>
                <w:sz w:val="24"/>
                <w:u w:val="single"/>
              </w:rPr>
              <w:t>破碎后的石渣从</w:t>
            </w:r>
            <w:r>
              <w:rPr>
                <w:color w:val="auto"/>
                <w:sz w:val="24"/>
                <w:u w:val="single"/>
              </w:rPr>
              <w:t>20m</w:t>
            </w:r>
            <w:r>
              <w:rPr>
                <w:rFonts w:hAnsi="宋体"/>
                <w:color w:val="auto"/>
                <w:sz w:val="24"/>
                <w:u w:val="single"/>
              </w:rPr>
              <w:t>高处分筛，收集石渣产品，产生的颗粒物（</w:t>
            </w:r>
            <w:r>
              <w:rPr>
                <w:color w:val="auto"/>
                <w:sz w:val="24"/>
                <w:u w:val="single"/>
              </w:rPr>
              <w:t>TSP</w:t>
            </w:r>
            <w:r>
              <w:rPr>
                <w:rFonts w:hAnsi="宋体"/>
                <w:color w:val="auto"/>
                <w:sz w:val="24"/>
                <w:u w:val="single"/>
              </w:rPr>
              <w:t>、</w:t>
            </w:r>
            <w:r>
              <w:rPr>
                <w:color w:val="auto"/>
                <w:sz w:val="24"/>
                <w:u w:val="single"/>
              </w:rPr>
              <w:t>PM10</w:t>
            </w:r>
            <w:r>
              <w:rPr>
                <w:rFonts w:hAnsi="宋体"/>
                <w:color w:val="auto"/>
                <w:sz w:val="24"/>
                <w:u w:val="single"/>
              </w:rPr>
              <w:t>）</w:t>
            </w:r>
            <w:r>
              <w:rPr>
                <w:color w:val="auto"/>
                <w:sz w:val="24"/>
                <w:u w:val="single"/>
              </w:rPr>
              <w:t>=200kg</w:t>
            </w:r>
            <w:r>
              <w:rPr>
                <w:rFonts w:hAnsi="宋体"/>
                <w:color w:val="auto"/>
                <w:sz w:val="24"/>
                <w:u w:val="single"/>
              </w:rPr>
              <w:t>石渣产品，数次实验结果</w:t>
            </w:r>
            <w:r>
              <w:rPr>
                <w:color w:val="auto"/>
                <w:sz w:val="24"/>
                <w:u w:val="single"/>
              </w:rPr>
              <w:t>[</w:t>
            </w:r>
            <w:r>
              <w:rPr>
                <w:rFonts w:hAnsi="宋体"/>
                <w:color w:val="auto"/>
                <w:sz w:val="24"/>
                <w:u w:val="single"/>
              </w:rPr>
              <w:t>注：聂国朝，采石场大气污染物源强分析研究，资源调查与环境，</w:t>
            </w:r>
            <w:r>
              <w:rPr>
                <w:color w:val="auto"/>
                <w:sz w:val="24"/>
                <w:u w:val="single"/>
              </w:rPr>
              <w:t>2004</w:t>
            </w:r>
            <w:r>
              <w:rPr>
                <w:rFonts w:hAnsi="宋体"/>
                <w:color w:val="auto"/>
                <w:sz w:val="24"/>
                <w:u w:val="single"/>
              </w:rPr>
              <w:t>（</w:t>
            </w:r>
            <w:r>
              <w:rPr>
                <w:color w:val="auto"/>
                <w:sz w:val="24"/>
                <w:u w:val="single"/>
              </w:rPr>
              <w:t>3</w:t>
            </w:r>
            <w:r>
              <w:rPr>
                <w:rFonts w:hAnsi="宋体"/>
                <w:color w:val="auto"/>
                <w:sz w:val="24"/>
                <w:u w:val="single"/>
              </w:rPr>
              <w:t>）</w:t>
            </w:r>
            <w:r>
              <w:rPr>
                <w:color w:val="auto"/>
                <w:sz w:val="24"/>
                <w:u w:val="single"/>
              </w:rPr>
              <w:t>]</w:t>
            </w:r>
            <w:r>
              <w:rPr>
                <w:rFonts w:hAnsi="宋体"/>
                <w:color w:val="auto"/>
                <w:sz w:val="24"/>
                <w:u w:val="single"/>
              </w:rPr>
              <w:t>，其在干燥物料条件下，筛分粉尘量为</w:t>
            </w:r>
            <w:r>
              <w:rPr>
                <w:color w:val="auto"/>
                <w:sz w:val="24"/>
                <w:u w:val="single"/>
              </w:rPr>
              <w:t>0.25%</w:t>
            </w:r>
            <w:r>
              <w:rPr>
                <w:rFonts w:hAnsi="宋体"/>
                <w:color w:val="auto"/>
                <w:sz w:val="24"/>
                <w:u w:val="single"/>
              </w:rPr>
              <w:t>；</w:t>
            </w:r>
            <w:r>
              <w:rPr>
                <w:rFonts w:hint="eastAsia" w:hAnsi="宋体"/>
                <w:color w:val="auto"/>
                <w:sz w:val="24"/>
                <w:u w:val="single"/>
              </w:rPr>
              <w:t>本项目土壤含有一定量的水分约15%左右，产生量会降低90%，产尘量按0.025%计算，</w:t>
            </w:r>
            <w:r>
              <w:rPr>
                <w:rFonts w:hAnsi="宋体"/>
                <w:color w:val="auto"/>
                <w:sz w:val="24"/>
                <w:u w:val="single"/>
              </w:rPr>
              <w:t>本项目开挖、筛分土壤约</w:t>
            </w:r>
            <w:r>
              <w:rPr>
                <w:rFonts w:hint="eastAsia"/>
                <w:color w:val="auto"/>
                <w:sz w:val="24"/>
                <w:szCs w:val="24"/>
                <w:u w:val="single"/>
              </w:rPr>
              <w:t>25785.147</w:t>
            </w:r>
            <w:r>
              <w:rPr>
                <w:color w:val="auto"/>
                <w:sz w:val="24"/>
                <w:u w:val="single"/>
              </w:rPr>
              <w:t>t</w:t>
            </w:r>
            <w:r>
              <w:rPr>
                <w:rFonts w:hAnsi="宋体"/>
                <w:color w:val="auto"/>
                <w:sz w:val="24"/>
                <w:szCs w:val="24"/>
                <w:u w:val="single"/>
              </w:rPr>
              <w:t>（</w:t>
            </w:r>
            <w:r>
              <w:rPr>
                <w:color w:val="auto"/>
                <w:sz w:val="24"/>
                <w:u w:val="single"/>
              </w:rPr>
              <w:t>43524.3</w:t>
            </w:r>
            <w:r>
              <w:rPr>
                <w:color w:val="auto"/>
                <w:sz w:val="24"/>
                <w:szCs w:val="24"/>
                <w:u w:val="single"/>
              </w:rPr>
              <w:t>m</w:t>
            </w:r>
            <w:r>
              <w:rPr>
                <w:color w:val="auto"/>
                <w:sz w:val="24"/>
                <w:szCs w:val="24"/>
                <w:u w:val="single"/>
                <w:vertAlign w:val="superscript"/>
              </w:rPr>
              <w:t>3</w:t>
            </w:r>
            <w:r>
              <w:rPr>
                <w:rFonts w:hAnsi="宋体"/>
                <w:color w:val="auto"/>
                <w:sz w:val="24"/>
                <w:szCs w:val="24"/>
                <w:u w:val="single"/>
              </w:rPr>
              <w:t>）</w:t>
            </w:r>
            <w:r>
              <w:rPr>
                <w:rFonts w:hAnsi="宋体"/>
                <w:color w:val="auto"/>
                <w:sz w:val="24"/>
                <w:u w:val="single"/>
              </w:rPr>
              <w:t>，则粉尘产生量约为</w:t>
            </w:r>
            <w:r>
              <w:rPr>
                <w:rFonts w:hint="eastAsia"/>
                <w:color w:val="auto"/>
                <w:sz w:val="24"/>
                <w:u w:val="single"/>
              </w:rPr>
              <w:t>6.446</w:t>
            </w:r>
            <w:r>
              <w:rPr>
                <w:color w:val="auto"/>
                <w:sz w:val="24"/>
                <w:u w:val="single"/>
              </w:rPr>
              <w:t>t</w:t>
            </w:r>
            <w:r>
              <w:rPr>
                <w:rFonts w:hAnsi="宋体"/>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Ansi="宋体"/>
                <w:color w:val="auto"/>
                <w:sz w:val="24"/>
                <w:u w:val="single"/>
              </w:rPr>
              <w:t>根据施工进度，项目开挖与修复过程对土壤扰动的时间约</w:t>
            </w:r>
            <w:r>
              <w:rPr>
                <w:rFonts w:hint="eastAsia"/>
                <w:color w:val="auto"/>
                <w:sz w:val="24"/>
                <w:u w:val="single"/>
              </w:rPr>
              <w:t>80</w:t>
            </w:r>
            <w:r>
              <w:rPr>
                <w:rFonts w:hAnsi="宋体"/>
                <w:color w:val="auto"/>
                <w:sz w:val="24"/>
                <w:u w:val="single"/>
              </w:rPr>
              <w:t>天（</w:t>
            </w:r>
            <w:r>
              <w:rPr>
                <w:rFonts w:hint="eastAsia" w:hAnsi="宋体"/>
                <w:color w:val="auto"/>
                <w:sz w:val="24"/>
                <w:u w:val="single"/>
              </w:rPr>
              <w:t>负压大棚</w:t>
            </w:r>
            <w:r>
              <w:rPr>
                <w:rFonts w:hAnsi="宋体"/>
                <w:color w:val="auto"/>
                <w:sz w:val="24"/>
                <w:u w:val="single"/>
              </w:rPr>
              <w:t>的土壤日处理规模为</w:t>
            </w:r>
            <w:r>
              <w:rPr>
                <w:rFonts w:hint="eastAsia"/>
                <w:color w:val="auto"/>
                <w:sz w:val="24"/>
                <w:u w:val="single"/>
              </w:rPr>
              <w:t>269.8</w:t>
            </w:r>
            <w:r>
              <w:rPr>
                <w:color w:val="auto"/>
                <w:sz w:val="24"/>
                <w:u w:val="single"/>
              </w:rPr>
              <w:t>m</w:t>
            </w:r>
            <w:r>
              <w:rPr>
                <w:color w:val="auto"/>
                <w:sz w:val="24"/>
                <w:u w:val="single"/>
                <w:vertAlign w:val="superscript"/>
              </w:rPr>
              <w:t>3</w:t>
            </w:r>
            <w:r>
              <w:rPr>
                <w:color w:val="auto"/>
                <w:sz w:val="24"/>
                <w:u w:val="single"/>
              </w:rPr>
              <w:t>/d</w:t>
            </w:r>
            <w:r>
              <w:rPr>
                <w:rFonts w:hAnsi="宋体"/>
                <w:color w:val="auto"/>
                <w:sz w:val="24"/>
                <w:u w:val="single"/>
              </w:rPr>
              <w:t>，每天运行时间</w:t>
            </w:r>
            <w:r>
              <w:rPr>
                <w:color w:val="auto"/>
                <w:sz w:val="24"/>
                <w:u w:val="single"/>
              </w:rPr>
              <w:t>12h</w:t>
            </w:r>
            <w:r>
              <w:rPr>
                <w:rFonts w:hAnsi="宋体"/>
                <w:color w:val="auto"/>
                <w:sz w:val="24"/>
                <w:u w:val="single"/>
              </w:rPr>
              <w:t>），则粉尘产生速率为</w:t>
            </w:r>
            <w:r>
              <w:rPr>
                <w:rFonts w:hint="eastAsia"/>
                <w:color w:val="auto"/>
                <w:sz w:val="24"/>
                <w:u w:val="single"/>
              </w:rPr>
              <w:t>6.7146</w:t>
            </w:r>
            <w:r>
              <w:rPr>
                <w:color w:val="auto"/>
                <w:sz w:val="24"/>
                <w:u w:val="single"/>
              </w:rPr>
              <w:t>kg/h</w:t>
            </w:r>
            <w:r>
              <w:rPr>
                <w:rFonts w:hAnsi="宋体"/>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Ansi="宋体"/>
                <w:color w:val="auto"/>
                <w:sz w:val="24"/>
                <w:u w:val="single"/>
              </w:rPr>
              <w:t>结合调查报告中土壤中</w:t>
            </w:r>
            <w:r>
              <w:rPr>
                <w:rFonts w:hint="eastAsia" w:hAnsi="宋体"/>
                <w:color w:val="auto"/>
                <w:sz w:val="24"/>
                <w:u w:val="single"/>
              </w:rPr>
              <w:t>有机物</w:t>
            </w:r>
            <w:r>
              <w:rPr>
                <w:rFonts w:hAnsi="宋体"/>
                <w:color w:val="auto"/>
                <w:sz w:val="24"/>
                <w:u w:val="single"/>
              </w:rPr>
              <w:t>的含量监测结果，估算项目土壤修复过程中扬尘中的</w:t>
            </w:r>
            <w:r>
              <w:rPr>
                <w:rFonts w:hint="eastAsia" w:hAnsi="宋体"/>
                <w:color w:val="auto"/>
                <w:sz w:val="24"/>
                <w:u w:val="single"/>
              </w:rPr>
              <w:t>有机物</w:t>
            </w:r>
            <w:r>
              <w:rPr>
                <w:rFonts w:hAnsi="宋体"/>
                <w:color w:val="auto"/>
                <w:sz w:val="24"/>
                <w:u w:val="single"/>
              </w:rPr>
              <w:t>含量，具体见下表。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w:t>
            </w:r>
            <w:r>
              <w:rPr>
                <w:rFonts w:hint="eastAsia" w:hAnsi="宋体"/>
                <w:b/>
                <w:bCs/>
                <w:color w:val="auto"/>
                <w:u w:val="single"/>
                <w:lang w:val="en-US" w:eastAsia="zh-CN"/>
              </w:rPr>
              <w:t>30</w:t>
            </w:r>
            <w:r>
              <w:rPr>
                <w:rFonts w:hint="eastAsia" w:hAnsi="宋体"/>
                <w:b/>
                <w:bCs/>
                <w:color w:val="auto"/>
                <w:u w:val="single"/>
              </w:rPr>
              <w:t xml:space="preserve">  </w:t>
            </w:r>
            <w:r>
              <w:rPr>
                <w:rFonts w:hAnsi="宋体"/>
                <w:b/>
                <w:bCs/>
                <w:color w:val="auto"/>
                <w:u w:val="single"/>
              </w:rPr>
              <w:t>项目</w:t>
            </w:r>
            <w:r>
              <w:rPr>
                <w:rFonts w:hint="eastAsia" w:hAnsi="宋体"/>
                <w:b/>
                <w:bCs/>
                <w:color w:val="auto"/>
                <w:u w:val="single"/>
              </w:rPr>
              <w:t>土壤修复扬尘中有机物量</w:t>
            </w:r>
            <w:r>
              <w:rPr>
                <w:rFonts w:hAnsi="宋体"/>
                <w:b/>
                <w:bCs/>
                <w:color w:val="auto"/>
                <w:u w:val="single"/>
              </w:rPr>
              <w:t>分析表</w:t>
            </w:r>
          </w:p>
          <w:tbl>
            <w:tblPr>
              <w:tblStyle w:val="31"/>
              <w:tblW w:w="906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86"/>
              <w:gridCol w:w="1419"/>
              <w:gridCol w:w="1276"/>
              <w:gridCol w:w="1624"/>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2686" w:type="dxa"/>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污染因子</w:t>
                  </w:r>
                </w:p>
              </w:tc>
              <w:tc>
                <w:tcPr>
                  <w:tcW w:w="2695" w:type="dxa"/>
                  <w:gridSpan w:val="2"/>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扬尘</w:t>
                  </w:r>
                </w:p>
              </w:tc>
              <w:tc>
                <w:tcPr>
                  <w:tcW w:w="1624" w:type="dxa"/>
                  <w:tcBorders>
                    <w:tl2br w:val="nil"/>
                    <w:tr2bl w:val="nil"/>
                  </w:tcBorders>
                  <w:vAlign w:val="center"/>
                </w:tcPr>
                <w:p>
                  <w:pPr>
                    <w:spacing w:before="100" w:beforeAutospacing="1" w:after="100" w:afterAutospacing="1"/>
                    <w:jc w:val="center"/>
                    <w:rPr>
                      <w:color w:val="auto"/>
                      <w:sz w:val="21"/>
                      <w:szCs w:val="21"/>
                      <w:u w:val="single"/>
                    </w:rPr>
                  </w:pPr>
                  <w:r>
                    <w:rPr>
                      <w:rFonts w:hint="eastAsia" w:hAnsi="宋体"/>
                      <w:color w:val="auto"/>
                      <w:sz w:val="21"/>
                      <w:szCs w:val="21"/>
                      <w:u w:val="single"/>
                    </w:rPr>
                    <w:t>六六六</w:t>
                  </w:r>
                </w:p>
              </w:tc>
              <w:tc>
                <w:tcPr>
                  <w:tcW w:w="2055" w:type="dxa"/>
                  <w:tcBorders>
                    <w:tl2br w:val="nil"/>
                    <w:tr2bl w:val="nil"/>
                  </w:tcBorders>
                  <w:vAlign w:val="center"/>
                </w:tcPr>
                <w:p>
                  <w:pPr>
                    <w:spacing w:before="100" w:beforeAutospacing="1" w:after="100" w:afterAutospacing="1"/>
                    <w:jc w:val="center"/>
                    <w:rPr>
                      <w:color w:val="auto"/>
                      <w:sz w:val="21"/>
                      <w:szCs w:val="21"/>
                      <w:u w:val="single"/>
                    </w:rPr>
                  </w:pPr>
                  <w:r>
                    <w:rPr>
                      <w:rFonts w:hint="eastAsia" w:hAnsi="宋体"/>
                      <w:color w:val="auto"/>
                      <w:sz w:val="21"/>
                      <w:szCs w:val="21"/>
                      <w:u w:val="single"/>
                    </w:rPr>
                    <w:t>滴滴涕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2686" w:type="dxa"/>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含量（</w:t>
                  </w:r>
                  <w:r>
                    <w:rPr>
                      <w:color w:val="auto"/>
                      <w:sz w:val="21"/>
                      <w:szCs w:val="21"/>
                      <w:u w:val="single"/>
                    </w:rPr>
                    <w:t>mg/kg</w:t>
                  </w:r>
                  <w:r>
                    <w:rPr>
                      <w:rFonts w:hAnsi="宋体"/>
                      <w:color w:val="auto"/>
                      <w:sz w:val="21"/>
                      <w:szCs w:val="21"/>
                      <w:u w:val="single"/>
                    </w:rPr>
                    <w:t>）</w:t>
                  </w:r>
                </w:p>
              </w:tc>
              <w:tc>
                <w:tcPr>
                  <w:tcW w:w="1419" w:type="dxa"/>
                  <w:tcBorders>
                    <w:tl2br w:val="nil"/>
                    <w:tr2bl w:val="nil"/>
                  </w:tcBorders>
                  <w:vAlign w:val="center"/>
                </w:tcPr>
                <w:p>
                  <w:pPr>
                    <w:spacing w:before="100" w:beforeAutospacing="1" w:after="100" w:afterAutospacing="1"/>
                    <w:jc w:val="center"/>
                    <w:rPr>
                      <w:color w:val="auto"/>
                      <w:sz w:val="21"/>
                      <w:szCs w:val="21"/>
                      <w:u w:val="single"/>
                    </w:rPr>
                  </w:pPr>
                  <w:r>
                    <w:rPr>
                      <w:color w:val="auto"/>
                      <w:sz w:val="21"/>
                      <w:szCs w:val="21"/>
                      <w:u w:val="single"/>
                    </w:rPr>
                    <w:t>/</w:t>
                  </w:r>
                </w:p>
              </w:tc>
              <w:tc>
                <w:tcPr>
                  <w:tcW w:w="1276"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w:t>
                  </w:r>
                </w:p>
              </w:tc>
              <w:tc>
                <w:tcPr>
                  <w:tcW w:w="1624"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5.22</w:t>
                  </w:r>
                </w:p>
              </w:tc>
              <w:tc>
                <w:tcPr>
                  <w:tcW w:w="2055"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5.26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trPr>
              <w:tc>
                <w:tcPr>
                  <w:tcW w:w="2686" w:type="dxa"/>
                  <w:tcBorders>
                    <w:tl2br w:val="nil"/>
                    <w:tr2bl w:val="nil"/>
                  </w:tcBorders>
                  <w:vAlign w:val="center"/>
                </w:tcPr>
                <w:p>
                  <w:pPr>
                    <w:spacing w:before="100" w:beforeAutospacing="1" w:after="100" w:afterAutospacing="1"/>
                    <w:jc w:val="center"/>
                    <w:rPr>
                      <w:color w:val="auto"/>
                      <w:sz w:val="21"/>
                      <w:szCs w:val="21"/>
                      <w:u w:val="single"/>
                    </w:rPr>
                  </w:pPr>
                  <w:r>
                    <w:rPr>
                      <w:rFonts w:hAnsi="宋体"/>
                      <w:color w:val="auto"/>
                      <w:sz w:val="21"/>
                      <w:szCs w:val="21"/>
                      <w:u w:val="single"/>
                    </w:rPr>
                    <w:t>估算产生量（</w:t>
                  </w:r>
                  <w:r>
                    <w:rPr>
                      <w:color w:val="auto"/>
                      <w:sz w:val="21"/>
                      <w:szCs w:val="21"/>
                      <w:u w:val="single"/>
                    </w:rPr>
                    <w:t>kg</w:t>
                  </w:r>
                  <w:r>
                    <w:rPr>
                      <w:rFonts w:hAnsi="宋体"/>
                      <w:color w:val="auto"/>
                      <w:sz w:val="21"/>
                      <w:szCs w:val="21"/>
                      <w:u w:val="single"/>
                    </w:rPr>
                    <w:t>）</w:t>
                  </w:r>
                </w:p>
              </w:tc>
              <w:tc>
                <w:tcPr>
                  <w:tcW w:w="1419"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开挖运输0.774</w:t>
                  </w:r>
                </w:p>
              </w:tc>
              <w:tc>
                <w:tcPr>
                  <w:tcW w:w="1276" w:type="dxa"/>
                  <w:tcBorders>
                    <w:tl2br w:val="nil"/>
                    <w:tr2bl w:val="nil"/>
                  </w:tcBorders>
                  <w:vAlign w:val="center"/>
                </w:tcPr>
                <w:p>
                  <w:pPr>
                    <w:spacing w:before="100" w:beforeAutospacing="1" w:after="100" w:afterAutospacing="1"/>
                    <w:jc w:val="center"/>
                    <w:rPr>
                      <w:color w:val="auto"/>
                      <w:sz w:val="21"/>
                      <w:szCs w:val="21"/>
                      <w:u w:val="single"/>
                    </w:rPr>
                  </w:pPr>
                  <w:r>
                    <w:rPr>
                      <w:rFonts w:hint="eastAsia"/>
                      <w:color w:val="auto"/>
                      <w:sz w:val="21"/>
                      <w:szCs w:val="21"/>
                      <w:u w:val="single"/>
                    </w:rPr>
                    <w:t>大棚内6446</w:t>
                  </w:r>
                </w:p>
              </w:tc>
              <w:tc>
                <w:tcPr>
                  <w:tcW w:w="1624" w:type="dxa"/>
                  <w:tcBorders>
                    <w:tl2br w:val="nil"/>
                    <w:tr2bl w:val="nil"/>
                  </w:tcBorders>
                  <w:vAlign w:val="center"/>
                </w:tcPr>
                <w:p>
                  <w:pPr>
                    <w:jc w:val="center"/>
                    <w:rPr>
                      <w:color w:val="auto"/>
                      <w:sz w:val="21"/>
                      <w:szCs w:val="21"/>
                      <w:u w:val="single"/>
                    </w:rPr>
                  </w:pPr>
                  <w:r>
                    <w:rPr>
                      <w:rFonts w:hint="eastAsia"/>
                      <w:color w:val="auto"/>
                      <w:sz w:val="21"/>
                      <w:szCs w:val="21"/>
                      <w:u w:val="single"/>
                    </w:rPr>
                    <w:t>0.0336</w:t>
                  </w:r>
                </w:p>
              </w:tc>
              <w:tc>
                <w:tcPr>
                  <w:tcW w:w="2055" w:type="dxa"/>
                  <w:tcBorders>
                    <w:tl2br w:val="nil"/>
                    <w:tr2bl w:val="nil"/>
                  </w:tcBorders>
                  <w:vAlign w:val="center"/>
                </w:tcPr>
                <w:p>
                  <w:pPr>
                    <w:jc w:val="center"/>
                    <w:rPr>
                      <w:color w:val="auto"/>
                      <w:sz w:val="21"/>
                      <w:szCs w:val="21"/>
                      <w:u w:val="single"/>
                    </w:rPr>
                  </w:pPr>
                  <w:r>
                    <w:rPr>
                      <w:rFonts w:hint="eastAsia"/>
                      <w:color w:val="auto"/>
                      <w:sz w:val="21"/>
                      <w:szCs w:val="21"/>
                      <w:u w:val="single"/>
                    </w:rPr>
                    <w:t>0.03396</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jc w:val="both"/>
              <w:textAlignment w:val="auto"/>
              <w:outlineLvl w:val="9"/>
              <w:rPr>
                <w:rFonts w:hAnsi="宋体"/>
                <w:color w:val="auto"/>
                <w:sz w:val="24"/>
                <w:u w:val="single"/>
              </w:rPr>
            </w:pPr>
            <w:r>
              <w:rPr>
                <w:rFonts w:hint="eastAsia" w:hAnsi="宋体"/>
                <w:color w:val="auto"/>
                <w:sz w:val="24"/>
                <w:u w:val="single"/>
              </w:rPr>
              <w:t>大棚内产生的废气先经过过滤除尘器再经过活性炭吸附后通过1根15米高排气筒排放。收集的粉尘及时收集直接回用于药剂混合环节，对粉尘的处理效率为99.9%，对有机废气的处理效率为80%，风机风量为</w:t>
            </w:r>
            <w:r>
              <w:rPr>
                <w:rFonts w:hint="eastAsia" w:hAnsi="宋体"/>
                <w:color w:val="auto"/>
                <w:sz w:val="24"/>
                <w:u w:val="single"/>
                <w:lang w:val="en-US" w:eastAsia="zh-CN"/>
              </w:rPr>
              <w:t>5</w:t>
            </w:r>
            <w:r>
              <w:rPr>
                <w:rFonts w:hint="eastAsia" w:hAnsi="宋体"/>
                <w:color w:val="auto"/>
                <w:sz w:val="24"/>
                <w:u w:val="single"/>
              </w:rPr>
              <w:t>000m</w:t>
            </w:r>
            <w:r>
              <w:rPr>
                <w:rFonts w:hint="eastAsia" w:hAnsi="宋体"/>
                <w:color w:val="auto"/>
                <w:sz w:val="24"/>
                <w:u w:val="single"/>
                <w:vertAlign w:val="superscript"/>
              </w:rPr>
              <w:t>3</w:t>
            </w:r>
            <w:r>
              <w:rPr>
                <w:rFonts w:hint="eastAsia" w:hAnsi="宋体"/>
                <w:color w:val="auto"/>
                <w:sz w:val="24"/>
                <w:u w:val="single"/>
              </w:rPr>
              <w:t>/h，则扬尘排放速率为0.0067</w:t>
            </w:r>
            <w:r>
              <w:rPr>
                <w:color w:val="auto"/>
                <w:sz w:val="24"/>
                <w:u w:val="single"/>
              </w:rPr>
              <w:t>kg/h</w:t>
            </w:r>
            <w:r>
              <w:rPr>
                <w:rFonts w:hint="eastAsia"/>
                <w:color w:val="auto"/>
                <w:sz w:val="24"/>
                <w:u w:val="single"/>
              </w:rPr>
              <w:t>，对应污染物排放浓度为：粉尘：1.679mg/</w:t>
            </w:r>
            <w:r>
              <w:rPr>
                <w:rFonts w:hint="eastAsia" w:hAnsi="宋体"/>
                <w:color w:val="auto"/>
                <w:sz w:val="24"/>
                <w:u w:val="single"/>
              </w:rPr>
              <w:t>m</w:t>
            </w:r>
            <w:r>
              <w:rPr>
                <w:rFonts w:hint="eastAsia" w:hAnsi="宋体"/>
                <w:color w:val="auto"/>
                <w:sz w:val="24"/>
                <w:u w:val="single"/>
                <w:vertAlign w:val="superscript"/>
              </w:rPr>
              <w:t>3</w:t>
            </w:r>
            <w:r>
              <w:rPr>
                <w:rFonts w:hint="eastAsia" w:hAnsi="宋体"/>
                <w:color w:val="auto"/>
                <w:sz w:val="24"/>
                <w:u w:val="single"/>
              </w:rPr>
              <w:t>，六六六：</w:t>
            </w:r>
            <w:r>
              <w:rPr>
                <w:rFonts w:hint="eastAsia"/>
                <w:color w:val="auto"/>
                <w:sz w:val="24"/>
                <w:u w:val="single"/>
              </w:rPr>
              <w:t>0.00168mg/</w:t>
            </w:r>
            <w:r>
              <w:rPr>
                <w:rFonts w:hint="eastAsia" w:hAnsi="宋体"/>
                <w:color w:val="auto"/>
                <w:sz w:val="24"/>
                <w:u w:val="single"/>
              </w:rPr>
              <w:t>m</w:t>
            </w:r>
            <w:r>
              <w:rPr>
                <w:rFonts w:hint="eastAsia" w:hAnsi="宋体"/>
                <w:color w:val="auto"/>
                <w:sz w:val="24"/>
                <w:u w:val="single"/>
                <w:vertAlign w:val="superscript"/>
              </w:rPr>
              <w:t>3</w:t>
            </w:r>
            <w:r>
              <w:rPr>
                <w:rFonts w:hint="eastAsia" w:hAnsi="宋体"/>
                <w:color w:val="auto"/>
                <w:sz w:val="24"/>
                <w:u w:val="single"/>
              </w:rPr>
              <w:t>，滴滴涕：</w:t>
            </w:r>
            <w:r>
              <w:rPr>
                <w:rFonts w:hint="eastAsia"/>
                <w:color w:val="auto"/>
                <w:sz w:val="24"/>
                <w:u w:val="single"/>
              </w:rPr>
              <w:t>0.00170mg/</w:t>
            </w:r>
            <w:r>
              <w:rPr>
                <w:rFonts w:hint="eastAsia" w:hAnsi="宋体"/>
                <w:color w:val="auto"/>
                <w:sz w:val="24"/>
                <w:u w:val="single"/>
              </w:rPr>
              <w:t>m</w:t>
            </w:r>
            <w:r>
              <w:rPr>
                <w:rFonts w:hint="eastAsia" w:hAnsi="宋体"/>
                <w:color w:val="auto"/>
                <w:sz w:val="24"/>
                <w:u w:val="single"/>
                <w:vertAlign w:val="superscript"/>
              </w:rPr>
              <w:t>3</w:t>
            </w:r>
            <w:r>
              <w:rPr>
                <w:rFonts w:hint="eastAsia" w:hAnsi="宋体"/>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jc w:val="both"/>
              <w:textAlignment w:val="auto"/>
              <w:outlineLvl w:val="9"/>
              <w:rPr>
                <w:color w:val="auto"/>
                <w:sz w:val="24"/>
                <w:u w:val="single"/>
              </w:rPr>
            </w:pPr>
            <w:r>
              <w:rPr>
                <w:rFonts w:hint="eastAsia" w:hAnsi="宋体"/>
                <w:color w:val="auto"/>
                <w:sz w:val="24"/>
                <w:u w:val="single"/>
              </w:rPr>
              <w:t>根据以上分析可知</w:t>
            </w:r>
            <w:r>
              <w:rPr>
                <w:rFonts w:hAnsi="宋体"/>
                <w:color w:val="auto"/>
                <w:sz w:val="24"/>
                <w:u w:val="single"/>
              </w:rPr>
              <w:t>由上表可见，项目土壤修复过程</w:t>
            </w:r>
            <w:r>
              <w:rPr>
                <w:rFonts w:hint="eastAsia" w:hAnsi="宋体"/>
                <w:color w:val="auto"/>
                <w:sz w:val="24"/>
                <w:u w:val="single"/>
              </w:rPr>
              <w:t>排放</w:t>
            </w:r>
            <w:r>
              <w:rPr>
                <w:rFonts w:hAnsi="宋体"/>
                <w:color w:val="auto"/>
                <w:sz w:val="24"/>
                <w:u w:val="single"/>
              </w:rPr>
              <w:t>中扬尘中的</w:t>
            </w:r>
            <w:r>
              <w:rPr>
                <w:rFonts w:hint="eastAsia" w:hAnsi="宋体"/>
                <w:color w:val="auto"/>
                <w:sz w:val="24"/>
                <w:u w:val="single"/>
              </w:rPr>
              <w:t>六六六、滴滴涕有机物的</w:t>
            </w:r>
            <w:r>
              <w:rPr>
                <w:rFonts w:hAnsi="宋体"/>
                <w:color w:val="auto"/>
                <w:sz w:val="24"/>
                <w:u w:val="single"/>
              </w:rPr>
              <w:t>含量</w:t>
            </w:r>
            <w:r>
              <w:rPr>
                <w:rFonts w:hint="eastAsia" w:hAnsi="宋体"/>
                <w:color w:val="auto"/>
                <w:sz w:val="24"/>
                <w:u w:val="single"/>
              </w:rPr>
              <w:t>很低</w:t>
            </w:r>
            <w:r>
              <w:rPr>
                <w:rFonts w:hAnsi="宋体"/>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jc w:val="both"/>
              <w:textAlignment w:val="auto"/>
              <w:outlineLvl w:val="9"/>
              <w:rPr>
                <w:color w:val="auto"/>
                <w:sz w:val="24"/>
                <w:u w:val="single"/>
              </w:rPr>
            </w:pPr>
            <w:r>
              <w:rPr>
                <w:rFonts w:hAnsi="宋体"/>
                <w:color w:val="auto"/>
                <w:sz w:val="24"/>
                <w:u w:val="single"/>
              </w:rPr>
              <w:t>③堆场扬尘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jc w:val="both"/>
              <w:textAlignment w:val="auto"/>
              <w:outlineLvl w:val="9"/>
              <w:rPr>
                <w:color w:val="auto"/>
                <w:sz w:val="24"/>
                <w:u w:val="single"/>
              </w:rPr>
            </w:pPr>
            <w:r>
              <w:rPr>
                <w:rFonts w:hAnsi="宋体"/>
                <w:color w:val="auto"/>
                <w:sz w:val="24"/>
                <w:u w:val="single"/>
              </w:rPr>
              <w:t>开挖土壤堆放，当空气干燥或者起风时会产生少量扬尘。</w:t>
            </w:r>
            <w:r>
              <w:rPr>
                <w:rFonts w:hAnsi="宋体"/>
                <w:bCs/>
                <w:color w:val="auto"/>
                <w:sz w:val="24"/>
                <w:u w:val="single"/>
              </w:rPr>
              <w:t>根据有关调研资料分析，堆场主要的大气环境问题是粒径较小的物料在风力作用下引起，会对下风向大气环境造成污染。堆场中的颗粒只有达到一定风速才会起尘，这种临界风速成为起动风速，它主要同颗粒直径及物料含水率有关。对于露天堆场来说，一般认为，堆场的起动风速为</w:t>
            </w:r>
            <w:r>
              <w:rPr>
                <w:bCs/>
                <w:color w:val="auto"/>
                <w:sz w:val="24"/>
                <w:u w:val="single"/>
              </w:rPr>
              <w:t>4.4m/s</w:t>
            </w:r>
            <w:r>
              <w:rPr>
                <w:rFonts w:hAnsi="宋体"/>
                <w:bCs/>
                <w:color w:val="auto"/>
                <w:sz w:val="24"/>
                <w:u w:val="single"/>
              </w:rPr>
              <w:t>（</w:t>
            </w:r>
            <w:r>
              <w:rPr>
                <w:bCs/>
                <w:color w:val="auto"/>
                <w:sz w:val="24"/>
                <w:u w:val="single"/>
              </w:rPr>
              <w:t>50m</w:t>
            </w:r>
            <w:r>
              <w:rPr>
                <w:rFonts w:hAnsi="宋体"/>
                <w:bCs/>
                <w:color w:val="auto"/>
                <w:sz w:val="24"/>
                <w:u w:val="single"/>
              </w:rPr>
              <w:t>高处），则其地面风速应为</w:t>
            </w:r>
            <w:r>
              <w:rPr>
                <w:bCs/>
                <w:color w:val="auto"/>
                <w:sz w:val="24"/>
                <w:u w:val="single"/>
              </w:rPr>
              <w:t>2.94m/s</w:t>
            </w:r>
            <w:r>
              <w:rPr>
                <w:rFonts w:hAnsi="宋体"/>
                <w:bCs/>
                <w:color w:val="auto"/>
                <w:sz w:val="24"/>
                <w:u w:val="single"/>
              </w:rPr>
              <w:t>。岳阳市多年来平均风速</w:t>
            </w:r>
            <w:r>
              <w:rPr>
                <w:bCs/>
                <w:color w:val="auto"/>
                <w:sz w:val="24"/>
                <w:u w:val="single"/>
              </w:rPr>
              <w:t>2.9m/s</w:t>
            </w:r>
            <w:r>
              <w:rPr>
                <w:rFonts w:hAnsi="宋体"/>
                <w:bCs/>
                <w:color w:val="auto"/>
                <w:sz w:val="24"/>
                <w:u w:val="single"/>
              </w:rPr>
              <w:t>，小于起动风速，则堆场起尘量较少。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2" w:firstLineChars="180"/>
              <w:jc w:val="both"/>
              <w:textAlignment w:val="auto"/>
              <w:outlineLvl w:val="9"/>
              <w:rPr>
                <w:color w:val="auto"/>
                <w:sz w:val="24"/>
                <w:u w:val="single"/>
              </w:rPr>
            </w:pPr>
            <w:r>
              <w:rPr>
                <w:rFonts w:hint="eastAsia" w:ascii="宋体" w:hAnsi="宋体"/>
                <w:color w:val="auto"/>
                <w:sz w:val="24"/>
                <w:u w:val="single"/>
              </w:rPr>
              <w:t>④</w:t>
            </w:r>
            <w:r>
              <w:rPr>
                <w:rFonts w:hAnsi="宋体"/>
                <w:color w:val="auto"/>
                <w:sz w:val="24"/>
                <w:u w:val="single"/>
              </w:rPr>
              <w:t>汽车装卸料扬尘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bCs/>
                <w:color w:val="auto"/>
                <w:sz w:val="24"/>
                <w:u w:val="single"/>
              </w:rPr>
            </w:pPr>
            <w:r>
              <w:rPr>
                <w:rFonts w:hAnsi="宋体"/>
                <w:color w:val="auto"/>
                <w:sz w:val="24"/>
                <w:u w:val="single"/>
              </w:rPr>
              <w:t>项目土壤装车、卸料过程会产生扬尘。</w:t>
            </w:r>
            <w:r>
              <w:rPr>
                <w:rFonts w:hAnsi="宋体"/>
                <w:bCs/>
                <w:color w:val="auto"/>
                <w:sz w:val="24"/>
                <w:u w:val="single"/>
              </w:rPr>
              <w:t>汽车装卸料起尘量参考以下经验公式计算：</w:t>
            </w:r>
            <w:r>
              <w:rPr>
                <w:bCs/>
                <w:color w:val="auto"/>
                <w:sz w:val="24"/>
                <w:u w:val="single"/>
              </w:rPr>
              <w:br w:type="textWrapping"/>
            </w:r>
            <w:r>
              <w:rPr>
                <w:bCs/>
                <w:color w:val="auto"/>
                <w:sz w:val="24"/>
                <w:u w:val="single"/>
              </w:rPr>
              <w:t>Q=e</w:t>
            </w:r>
            <w:r>
              <w:rPr>
                <w:bCs/>
                <w:color w:val="auto"/>
                <w:sz w:val="24"/>
                <w:u w:val="single"/>
                <w:vertAlign w:val="superscript"/>
              </w:rPr>
              <w:t>0.61u</w:t>
            </w:r>
            <w:r>
              <w:rPr>
                <w:bCs/>
                <w:color w:val="auto"/>
                <w:sz w:val="24"/>
                <w:u w:val="single"/>
              </w:rPr>
              <w:t>M</w:t>
            </w:r>
            <w:r>
              <w:rPr>
                <w:b/>
                <w:bCs/>
                <w:color w:val="auto"/>
                <w:sz w:val="24"/>
                <w:u w:val="single"/>
              </w:rPr>
              <w:t>/</w:t>
            </w:r>
            <w:r>
              <w:rPr>
                <w:bCs/>
                <w:color w:val="auto"/>
                <w:sz w:val="24"/>
                <w:u w:val="single"/>
              </w:rPr>
              <w:t>13.5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u w:val="single"/>
              </w:rPr>
            </w:pPr>
            <w:r>
              <w:rPr>
                <w:rFonts w:hAnsi="宋体"/>
                <w:bCs/>
                <w:color w:val="auto"/>
                <w:sz w:val="24"/>
                <w:u w:val="single"/>
              </w:rPr>
              <w:t>式中：</w:t>
            </w:r>
            <w:r>
              <w:rPr>
                <w:bCs/>
                <w:color w:val="auto"/>
                <w:sz w:val="24"/>
                <w:u w:val="single"/>
              </w:rPr>
              <w:t>Q—</w:t>
            </w:r>
            <w:r>
              <w:rPr>
                <w:rFonts w:hAnsi="宋体"/>
                <w:bCs/>
                <w:color w:val="auto"/>
                <w:sz w:val="24"/>
                <w:u w:val="single"/>
              </w:rPr>
              <w:t>自卸汽车装卸料起尘量，</w:t>
            </w:r>
            <w:r>
              <w:rPr>
                <w:bCs/>
                <w:color w:val="auto"/>
                <w:sz w:val="24"/>
                <w:u w:val="single"/>
              </w:rPr>
              <w:t>g/</w:t>
            </w:r>
            <w:r>
              <w:rPr>
                <w:rFonts w:hAnsi="宋体"/>
                <w:bCs/>
                <w:color w:val="auto"/>
                <w:sz w:val="24"/>
                <w:u w:val="single"/>
              </w:rPr>
              <w:t>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bCs/>
                <w:color w:val="auto"/>
                <w:sz w:val="24"/>
                <w:u w:val="single"/>
              </w:rPr>
            </w:pPr>
            <w:r>
              <w:rPr>
                <w:bCs/>
                <w:color w:val="auto"/>
                <w:sz w:val="24"/>
                <w:u w:val="single"/>
              </w:rPr>
              <w:t>U—</w:t>
            </w:r>
            <w:r>
              <w:rPr>
                <w:rFonts w:hAnsi="宋体"/>
                <w:bCs/>
                <w:color w:val="auto"/>
                <w:sz w:val="24"/>
                <w:u w:val="single"/>
              </w:rPr>
              <w:t>平均风速，取</w:t>
            </w:r>
            <w:r>
              <w:rPr>
                <w:bCs/>
                <w:color w:val="auto"/>
                <w:sz w:val="24"/>
                <w:u w:val="single"/>
              </w:rPr>
              <w:t>2.9m/s</w:t>
            </w:r>
            <w:r>
              <w:rPr>
                <w:rFonts w:hAnsi="宋体"/>
                <w:bCs/>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jc w:val="both"/>
              <w:textAlignment w:val="auto"/>
              <w:outlineLvl w:val="9"/>
              <w:rPr>
                <w:bCs/>
                <w:color w:val="auto"/>
                <w:sz w:val="24"/>
                <w:u w:val="single"/>
              </w:rPr>
            </w:pPr>
            <w:r>
              <w:rPr>
                <w:bCs/>
                <w:color w:val="auto"/>
                <w:sz w:val="24"/>
                <w:u w:val="single"/>
              </w:rPr>
              <w:t>M—</w:t>
            </w:r>
            <w:r>
              <w:rPr>
                <w:rFonts w:hAnsi="宋体"/>
                <w:bCs/>
                <w:color w:val="auto"/>
                <w:sz w:val="24"/>
                <w:u w:val="single"/>
              </w:rPr>
              <w:t>汽车卸料量，</w:t>
            </w:r>
            <w:r>
              <w:rPr>
                <w:bCs/>
                <w:color w:val="auto"/>
                <w:sz w:val="24"/>
                <w:u w:val="single"/>
              </w:rPr>
              <w:t>t</w:t>
            </w:r>
            <w:r>
              <w:rPr>
                <w:rFonts w:hAnsi="宋体"/>
                <w:bCs/>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u w:val="single"/>
              </w:rPr>
            </w:pPr>
            <w:r>
              <w:rPr>
                <w:rFonts w:hAnsi="宋体"/>
                <w:bCs/>
                <w:color w:val="auto"/>
                <w:sz w:val="24"/>
                <w:u w:val="single"/>
              </w:rPr>
              <w:t>项目土壤的运输量约为</w:t>
            </w:r>
            <w:r>
              <w:rPr>
                <w:rFonts w:hint="eastAsia"/>
                <w:color w:val="auto"/>
                <w:sz w:val="24"/>
                <w:szCs w:val="24"/>
                <w:u w:val="single"/>
              </w:rPr>
              <w:t>25785.147</w:t>
            </w:r>
            <w:r>
              <w:rPr>
                <w:rFonts w:hAnsi="宋体"/>
                <w:bCs/>
                <w:color w:val="auto"/>
                <w:sz w:val="24"/>
                <w:u w:val="single"/>
              </w:rPr>
              <w:t>吨，自卸汽车车型以</w:t>
            </w:r>
            <w:r>
              <w:rPr>
                <w:bCs/>
                <w:color w:val="auto"/>
                <w:sz w:val="24"/>
                <w:u w:val="single"/>
              </w:rPr>
              <w:t>10</w:t>
            </w:r>
            <w:r>
              <w:rPr>
                <w:rFonts w:hAnsi="宋体"/>
                <w:bCs/>
                <w:color w:val="auto"/>
                <w:sz w:val="24"/>
                <w:u w:val="single"/>
              </w:rPr>
              <w:t>吨为主，则项目需装、卸车共</w:t>
            </w:r>
            <w:r>
              <w:rPr>
                <w:rFonts w:hint="eastAsia"/>
                <w:bCs/>
                <w:color w:val="auto"/>
                <w:sz w:val="24"/>
                <w:u w:val="single"/>
              </w:rPr>
              <w:t>0.5156</w:t>
            </w:r>
            <w:r>
              <w:rPr>
                <w:rFonts w:hAnsi="宋体"/>
                <w:bCs/>
                <w:color w:val="auto"/>
                <w:sz w:val="24"/>
                <w:u w:val="single"/>
              </w:rPr>
              <w:t>万辆次。根据上述经验公式计算可得自卸汽车装卸料起尘量为</w:t>
            </w:r>
            <w:r>
              <w:rPr>
                <w:rFonts w:hint="eastAsia"/>
                <w:bCs/>
                <w:color w:val="auto"/>
                <w:sz w:val="24"/>
                <w:u w:val="single"/>
              </w:rPr>
              <w:t>3.404</w:t>
            </w:r>
            <w:r>
              <w:rPr>
                <w:bCs/>
                <w:color w:val="auto"/>
                <w:sz w:val="24"/>
                <w:u w:val="single"/>
              </w:rPr>
              <w:t>g/</w:t>
            </w:r>
            <w:r>
              <w:rPr>
                <w:rFonts w:hAnsi="宋体"/>
                <w:bCs/>
                <w:color w:val="auto"/>
                <w:sz w:val="24"/>
                <w:u w:val="single"/>
              </w:rPr>
              <w:t>次，则总起尘量为</w:t>
            </w:r>
            <w:r>
              <w:rPr>
                <w:rFonts w:hint="eastAsia"/>
                <w:bCs/>
                <w:color w:val="auto"/>
                <w:sz w:val="24"/>
                <w:u w:val="single"/>
              </w:rPr>
              <w:t>0.0224</w:t>
            </w:r>
            <w:r>
              <w:rPr>
                <w:bCs/>
                <w:color w:val="auto"/>
                <w:sz w:val="24"/>
                <w:u w:val="single"/>
              </w:rPr>
              <w:t>t/a</w:t>
            </w:r>
            <w:r>
              <w:rPr>
                <w:rFonts w:hAnsi="宋体"/>
                <w:bCs/>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2</w:t>
            </w:r>
            <w:r>
              <w:rPr>
                <w:rFonts w:hAnsi="宋体"/>
                <w:color w:val="auto"/>
                <w:sz w:val="24"/>
              </w:rPr>
              <w:t>）施工机械及运输车辆尾气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施工机械及运输车辆燃油排放尾气中的主要污染物有</w:t>
            </w:r>
            <w:r>
              <w:rPr>
                <w:color w:val="auto"/>
                <w:sz w:val="24"/>
              </w:rPr>
              <w:t>CO</w:t>
            </w:r>
            <w:r>
              <w:rPr>
                <w:rFonts w:hAnsi="宋体"/>
                <w:color w:val="auto"/>
                <w:sz w:val="24"/>
              </w:rPr>
              <w:t>、</w:t>
            </w:r>
            <w:r>
              <w:rPr>
                <w:color w:val="auto"/>
                <w:sz w:val="24"/>
              </w:rPr>
              <w:t>NO</w:t>
            </w:r>
            <w:r>
              <w:rPr>
                <w:color w:val="auto"/>
                <w:sz w:val="24"/>
                <w:vertAlign w:val="subscript"/>
              </w:rPr>
              <w:t>2</w:t>
            </w:r>
            <w:r>
              <w:rPr>
                <w:rFonts w:hAnsi="宋体"/>
                <w:color w:val="auto"/>
                <w:sz w:val="24"/>
              </w:rPr>
              <w:t>、</w:t>
            </w:r>
            <w:r>
              <w:rPr>
                <w:color w:val="auto"/>
                <w:sz w:val="24"/>
              </w:rPr>
              <w:t>THC</w:t>
            </w:r>
            <w:r>
              <w:rPr>
                <w:rFonts w:hAnsi="宋体"/>
                <w:color w:val="auto"/>
                <w:sz w:val="24"/>
              </w:rPr>
              <w:t>等，该部分废气量较小。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3</w:t>
            </w:r>
            <w:r>
              <w:rPr>
                <w:rFonts w:hAnsi="宋体"/>
                <w:color w:val="auto"/>
                <w:sz w:val="24"/>
              </w:rPr>
              <w:t>）柴油发电机尾气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项目配备</w:t>
            </w:r>
            <w:r>
              <w:rPr>
                <w:color w:val="auto"/>
                <w:sz w:val="24"/>
              </w:rPr>
              <w:t>2</w:t>
            </w:r>
            <w:r>
              <w:rPr>
                <w:rFonts w:hAnsi="宋体"/>
                <w:color w:val="auto"/>
                <w:sz w:val="24"/>
              </w:rPr>
              <w:t>台</w:t>
            </w:r>
            <w:r>
              <w:rPr>
                <w:color w:val="auto"/>
                <w:sz w:val="24"/>
              </w:rPr>
              <w:t>250kW</w:t>
            </w:r>
            <w:r>
              <w:rPr>
                <w:rFonts w:hAnsi="宋体"/>
                <w:color w:val="auto"/>
                <w:sz w:val="24"/>
              </w:rPr>
              <w:t>柴油发电机，一备一用。</w:t>
            </w:r>
            <w:r>
              <w:rPr>
                <w:color w:val="auto"/>
                <w:sz w:val="24"/>
              </w:rPr>
              <w:t>250kW</w:t>
            </w:r>
            <w:r>
              <w:rPr>
                <w:rFonts w:hAnsi="宋体"/>
                <w:color w:val="auto"/>
                <w:sz w:val="24"/>
              </w:rPr>
              <w:t>发电机燃油</w:t>
            </w:r>
            <w:r>
              <w:rPr>
                <w:color w:val="auto"/>
                <w:sz w:val="24"/>
              </w:rPr>
              <w:t>(</w:t>
            </w:r>
            <w:r>
              <w:rPr>
                <w:rFonts w:hAnsi="宋体"/>
                <w:color w:val="auto"/>
                <w:sz w:val="24"/>
              </w:rPr>
              <w:t>轻质柴油</w:t>
            </w:r>
            <w:r>
              <w:rPr>
                <w:color w:val="auto"/>
                <w:sz w:val="24"/>
              </w:rPr>
              <w:t>)75L/h</w:t>
            </w:r>
            <w:r>
              <w:rPr>
                <w:rFonts w:hAnsi="宋体"/>
                <w:color w:val="auto"/>
                <w:sz w:val="24"/>
              </w:rPr>
              <w:t>，燃料选用</w:t>
            </w:r>
            <w:r>
              <w:rPr>
                <w:color w:val="auto"/>
                <w:sz w:val="24"/>
              </w:rPr>
              <w:t>0</w:t>
            </w:r>
            <w:r>
              <w:rPr>
                <w:rFonts w:hAnsi="宋体"/>
                <w:color w:val="auto"/>
                <w:sz w:val="24"/>
              </w:rPr>
              <w:t>＃轻柴油，含硫量小于</w:t>
            </w:r>
            <w:r>
              <w:rPr>
                <w:color w:val="auto"/>
                <w:sz w:val="24"/>
              </w:rPr>
              <w:t>0.035%</w:t>
            </w:r>
            <w:r>
              <w:rPr>
                <w:rFonts w:hAnsi="宋体"/>
                <w:color w:val="auto"/>
                <w:sz w:val="24"/>
              </w:rPr>
              <w:t>。柴油发电机只在停电时用，停电的可能性极小，预计项目实施过程中柴油发电机共使用</w:t>
            </w:r>
            <w:r>
              <w:rPr>
                <w:color w:val="auto"/>
                <w:sz w:val="24"/>
              </w:rPr>
              <w:t>2</w:t>
            </w:r>
            <w:r>
              <w:rPr>
                <w:rFonts w:hAnsi="宋体"/>
                <w:color w:val="auto"/>
                <w:sz w:val="24"/>
              </w:rPr>
              <w:t>次</w:t>
            </w:r>
            <w:r>
              <w:rPr>
                <w:color w:val="auto"/>
                <w:sz w:val="24"/>
              </w:rPr>
              <w:t>(</w:t>
            </w:r>
            <w:r>
              <w:rPr>
                <w:rFonts w:hAnsi="宋体"/>
                <w:color w:val="auto"/>
                <w:sz w:val="24"/>
              </w:rPr>
              <w:t>每次</w:t>
            </w:r>
            <w:r>
              <w:rPr>
                <w:color w:val="auto"/>
                <w:sz w:val="24"/>
              </w:rPr>
              <w:t>4</w:t>
            </w:r>
            <w:r>
              <w:rPr>
                <w:rFonts w:hAnsi="宋体"/>
                <w:color w:val="auto"/>
                <w:sz w:val="24"/>
              </w:rPr>
              <w:t>小时</w:t>
            </w:r>
            <w:r>
              <w:rPr>
                <w:color w:val="auto"/>
                <w:sz w:val="24"/>
              </w:rPr>
              <w:t>)</w:t>
            </w:r>
            <w:r>
              <w:rPr>
                <w:rFonts w:hAnsi="宋体"/>
                <w:color w:val="auto"/>
                <w:sz w:val="24"/>
              </w:rPr>
              <w:t>，一年使用</w:t>
            </w:r>
            <w:r>
              <w:rPr>
                <w:color w:val="auto"/>
                <w:sz w:val="24"/>
              </w:rPr>
              <w:t>8</w:t>
            </w:r>
            <w:r>
              <w:rPr>
                <w:rFonts w:hAnsi="宋体"/>
                <w:color w:val="auto"/>
                <w:sz w:val="24"/>
              </w:rPr>
              <w:t>小时。则本项目年使用柴油量约为</w:t>
            </w:r>
            <w:r>
              <w:rPr>
                <w:color w:val="auto"/>
                <w:sz w:val="24"/>
              </w:rPr>
              <w:t>0.612t/a</w:t>
            </w:r>
            <w:r>
              <w:rPr>
                <w:rFonts w:hAnsi="宋体"/>
                <w:color w:val="auto"/>
                <w:sz w:val="24"/>
              </w:rPr>
              <w:t>。根据《环境保护计算手册》排污系数计算可得柴油发电机的尾气污染物排放情况见表</w:t>
            </w:r>
            <w:r>
              <w:rPr>
                <w:rFonts w:hint="eastAsia"/>
                <w:color w:val="auto"/>
                <w:sz w:val="24"/>
              </w:rPr>
              <w:t>3</w:t>
            </w:r>
            <w:r>
              <w:rPr>
                <w:rFonts w:hint="eastAsia"/>
                <w:color w:val="auto"/>
                <w:sz w:val="24"/>
                <w:lang w:val="en-US" w:eastAsia="zh-CN"/>
              </w:rPr>
              <w:t>1</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w:t>
            </w:r>
            <w:r>
              <w:rPr>
                <w:rFonts w:hint="eastAsia" w:hAnsi="宋体"/>
                <w:b/>
                <w:bCs/>
                <w:color w:val="auto"/>
                <w:u w:val="single"/>
              </w:rPr>
              <w:t>3</w:t>
            </w:r>
            <w:r>
              <w:rPr>
                <w:rFonts w:hint="eastAsia" w:hAnsi="宋体"/>
                <w:b/>
                <w:bCs/>
                <w:color w:val="auto"/>
                <w:u w:val="single"/>
                <w:lang w:val="en-US" w:eastAsia="zh-CN"/>
              </w:rPr>
              <w:t xml:space="preserve">1  </w:t>
            </w:r>
            <w:r>
              <w:rPr>
                <w:rFonts w:hAnsi="宋体"/>
                <w:b/>
                <w:bCs/>
                <w:color w:val="auto"/>
                <w:u w:val="single"/>
              </w:rPr>
              <w:t>柴油发电机尾气污染物汇总表</w:t>
            </w:r>
          </w:p>
          <w:tbl>
            <w:tblPr>
              <w:tblStyle w:val="30"/>
              <w:tblW w:w="9070" w:type="dxa"/>
              <w:jc w:val="center"/>
              <w:tblInd w:w="0" w:type="dxa"/>
              <w:tblLayout w:type="fixed"/>
              <w:tblCellMar>
                <w:top w:w="0" w:type="dxa"/>
                <w:left w:w="0" w:type="dxa"/>
                <w:bottom w:w="0" w:type="dxa"/>
                <w:right w:w="0" w:type="dxa"/>
              </w:tblCellMar>
            </w:tblPr>
            <w:tblGrid>
              <w:gridCol w:w="1090"/>
              <w:gridCol w:w="1920"/>
              <w:gridCol w:w="1510"/>
              <w:gridCol w:w="1532"/>
              <w:gridCol w:w="1509"/>
              <w:gridCol w:w="1509"/>
            </w:tblGrid>
            <w:tr>
              <w:tblPrEx>
                <w:tblLayout w:type="fixed"/>
                <w:tblCellMar>
                  <w:top w:w="0" w:type="dxa"/>
                  <w:left w:w="0" w:type="dxa"/>
                  <w:bottom w:w="0" w:type="dxa"/>
                  <w:right w:w="0" w:type="dxa"/>
                </w:tblCellMar>
              </w:tblPrEx>
              <w:trPr>
                <w:trHeight w:val="23" w:hRule="atLeast"/>
                <w:jc w:val="center"/>
              </w:trPr>
              <w:tc>
                <w:tcPr>
                  <w:tcW w:w="1090" w:type="dxa"/>
                  <w:tcBorders>
                    <w:top w:val="single" w:color="auto" w:sz="12" w:space="0"/>
                    <w:left w:val="nil"/>
                    <w:bottom w:val="single" w:color="auto" w:sz="8" w:space="0"/>
                    <w:right w:val="single" w:color="auto" w:sz="8" w:space="0"/>
                  </w:tcBorders>
                  <w:vAlign w:val="center"/>
                </w:tcPr>
                <w:p>
                  <w:pPr>
                    <w:widowControl/>
                    <w:jc w:val="center"/>
                    <w:rPr>
                      <w:color w:val="auto"/>
                      <w:kern w:val="0"/>
                      <w:sz w:val="21"/>
                      <w:szCs w:val="21"/>
                    </w:rPr>
                  </w:pPr>
                  <w:r>
                    <w:rPr>
                      <w:rFonts w:hAnsi="宋体"/>
                      <w:color w:val="auto"/>
                      <w:kern w:val="0"/>
                      <w:sz w:val="21"/>
                      <w:szCs w:val="21"/>
                    </w:rPr>
                    <w:t>污染物</w:t>
                  </w:r>
                </w:p>
              </w:tc>
              <w:tc>
                <w:tcPr>
                  <w:tcW w:w="1920" w:type="dxa"/>
                  <w:tcBorders>
                    <w:top w:val="single" w:color="auto" w:sz="12" w:space="0"/>
                    <w:left w:val="nil"/>
                    <w:bottom w:val="single" w:color="auto" w:sz="8" w:space="0"/>
                    <w:right w:val="single" w:color="auto" w:sz="8" w:space="0"/>
                  </w:tcBorders>
                  <w:vAlign w:val="center"/>
                </w:tcPr>
                <w:p>
                  <w:pPr>
                    <w:widowControl/>
                    <w:jc w:val="center"/>
                    <w:rPr>
                      <w:color w:val="auto"/>
                      <w:kern w:val="0"/>
                      <w:sz w:val="21"/>
                      <w:szCs w:val="21"/>
                    </w:rPr>
                  </w:pPr>
                  <w:r>
                    <w:rPr>
                      <w:rFonts w:hAnsi="宋体"/>
                      <w:color w:val="auto"/>
                      <w:kern w:val="0"/>
                      <w:sz w:val="21"/>
                      <w:szCs w:val="21"/>
                    </w:rPr>
                    <w:t>排污系数</w:t>
                  </w:r>
                  <w:r>
                    <w:rPr>
                      <w:color w:val="auto"/>
                      <w:kern w:val="0"/>
                      <w:sz w:val="21"/>
                      <w:szCs w:val="21"/>
                    </w:rPr>
                    <w:t>(kg/t)</w:t>
                  </w:r>
                </w:p>
              </w:tc>
              <w:tc>
                <w:tcPr>
                  <w:tcW w:w="1510" w:type="dxa"/>
                  <w:tcBorders>
                    <w:top w:val="single" w:color="auto" w:sz="12" w:space="0"/>
                    <w:left w:val="nil"/>
                    <w:bottom w:val="single" w:color="auto" w:sz="8" w:space="0"/>
                    <w:right w:val="single" w:color="auto" w:sz="8" w:space="0"/>
                  </w:tcBorders>
                  <w:vAlign w:val="center"/>
                </w:tcPr>
                <w:p>
                  <w:pPr>
                    <w:widowControl/>
                    <w:jc w:val="center"/>
                    <w:rPr>
                      <w:color w:val="auto"/>
                      <w:kern w:val="0"/>
                      <w:sz w:val="21"/>
                      <w:szCs w:val="21"/>
                    </w:rPr>
                  </w:pPr>
                  <w:r>
                    <w:rPr>
                      <w:rFonts w:hAnsi="宋体"/>
                      <w:color w:val="auto"/>
                      <w:kern w:val="0"/>
                      <w:sz w:val="21"/>
                      <w:szCs w:val="21"/>
                    </w:rPr>
                    <w:t>产生浓度</w:t>
                  </w:r>
                  <w:r>
                    <w:rPr>
                      <w:color w:val="auto"/>
                      <w:kern w:val="0"/>
                      <w:sz w:val="21"/>
                      <w:szCs w:val="21"/>
                    </w:rPr>
                    <w:t>(mg/m</w:t>
                  </w:r>
                  <w:r>
                    <w:rPr>
                      <w:color w:val="auto"/>
                      <w:kern w:val="0"/>
                      <w:sz w:val="21"/>
                      <w:szCs w:val="21"/>
                      <w:vertAlign w:val="superscript"/>
                    </w:rPr>
                    <w:t>3</w:t>
                  </w:r>
                  <w:r>
                    <w:rPr>
                      <w:color w:val="auto"/>
                      <w:kern w:val="0"/>
                      <w:sz w:val="21"/>
                      <w:szCs w:val="21"/>
                    </w:rPr>
                    <w:t>)</w:t>
                  </w:r>
                </w:p>
              </w:tc>
              <w:tc>
                <w:tcPr>
                  <w:tcW w:w="1532" w:type="dxa"/>
                  <w:tcBorders>
                    <w:top w:val="single" w:color="auto" w:sz="12" w:space="0"/>
                    <w:left w:val="nil"/>
                    <w:bottom w:val="single" w:color="auto" w:sz="8" w:space="0"/>
                    <w:right w:val="single" w:color="auto" w:sz="8" w:space="0"/>
                  </w:tcBorders>
                  <w:vAlign w:val="center"/>
                </w:tcPr>
                <w:p>
                  <w:pPr>
                    <w:widowControl/>
                    <w:jc w:val="center"/>
                    <w:rPr>
                      <w:color w:val="auto"/>
                      <w:kern w:val="0"/>
                      <w:sz w:val="21"/>
                      <w:szCs w:val="21"/>
                    </w:rPr>
                  </w:pPr>
                  <w:r>
                    <w:rPr>
                      <w:rFonts w:hAnsi="宋体"/>
                      <w:color w:val="auto"/>
                      <w:kern w:val="0"/>
                      <w:sz w:val="21"/>
                      <w:szCs w:val="21"/>
                    </w:rPr>
                    <w:t>产生量</w:t>
                  </w:r>
                  <w:r>
                    <w:rPr>
                      <w:color w:val="auto"/>
                      <w:kern w:val="0"/>
                      <w:sz w:val="21"/>
                      <w:szCs w:val="21"/>
                    </w:rPr>
                    <w:t>(t)</w:t>
                  </w:r>
                </w:p>
              </w:tc>
              <w:tc>
                <w:tcPr>
                  <w:tcW w:w="1509" w:type="dxa"/>
                  <w:tcBorders>
                    <w:top w:val="single" w:color="auto" w:sz="12" w:space="0"/>
                    <w:left w:val="nil"/>
                    <w:bottom w:val="single" w:color="auto" w:sz="8" w:space="0"/>
                    <w:right w:val="single" w:color="auto" w:sz="4" w:space="0"/>
                  </w:tcBorders>
                  <w:vAlign w:val="center"/>
                </w:tcPr>
                <w:p>
                  <w:pPr>
                    <w:widowControl/>
                    <w:jc w:val="center"/>
                    <w:rPr>
                      <w:color w:val="auto"/>
                      <w:kern w:val="0"/>
                      <w:sz w:val="21"/>
                      <w:szCs w:val="21"/>
                    </w:rPr>
                  </w:pPr>
                  <w:r>
                    <w:rPr>
                      <w:rFonts w:hAnsi="宋体"/>
                      <w:color w:val="auto"/>
                      <w:kern w:val="0"/>
                      <w:sz w:val="21"/>
                      <w:szCs w:val="21"/>
                    </w:rPr>
                    <w:t>排放浓度</w:t>
                  </w:r>
                  <w:r>
                    <w:rPr>
                      <w:color w:val="auto"/>
                      <w:kern w:val="0"/>
                      <w:sz w:val="21"/>
                      <w:szCs w:val="21"/>
                    </w:rPr>
                    <w:t>(mg/m</w:t>
                  </w:r>
                  <w:r>
                    <w:rPr>
                      <w:color w:val="auto"/>
                      <w:kern w:val="0"/>
                      <w:sz w:val="21"/>
                      <w:szCs w:val="21"/>
                      <w:vertAlign w:val="superscript"/>
                    </w:rPr>
                    <w:t>3</w:t>
                  </w:r>
                  <w:r>
                    <w:rPr>
                      <w:color w:val="auto"/>
                      <w:kern w:val="0"/>
                      <w:sz w:val="21"/>
                      <w:szCs w:val="21"/>
                    </w:rPr>
                    <w:t>)</w:t>
                  </w:r>
                </w:p>
              </w:tc>
              <w:tc>
                <w:tcPr>
                  <w:tcW w:w="1509" w:type="dxa"/>
                  <w:tcBorders>
                    <w:top w:val="single" w:color="auto" w:sz="12" w:space="0"/>
                    <w:left w:val="single" w:color="auto" w:sz="4" w:space="0"/>
                    <w:bottom w:val="single" w:color="auto" w:sz="8" w:space="0"/>
                    <w:right w:val="nil"/>
                  </w:tcBorders>
                  <w:vAlign w:val="center"/>
                </w:tcPr>
                <w:p>
                  <w:pPr>
                    <w:widowControl/>
                    <w:jc w:val="center"/>
                    <w:rPr>
                      <w:color w:val="auto"/>
                      <w:kern w:val="0"/>
                      <w:sz w:val="21"/>
                      <w:szCs w:val="21"/>
                    </w:rPr>
                  </w:pPr>
                  <w:r>
                    <w:rPr>
                      <w:rFonts w:hAnsi="宋体"/>
                      <w:color w:val="auto"/>
                      <w:kern w:val="0"/>
                      <w:sz w:val="21"/>
                      <w:szCs w:val="21"/>
                    </w:rPr>
                    <w:t>排放量</w:t>
                  </w:r>
                  <w:r>
                    <w:rPr>
                      <w:color w:val="auto"/>
                      <w:kern w:val="0"/>
                      <w:sz w:val="21"/>
                      <w:szCs w:val="21"/>
                    </w:rPr>
                    <w:t>(t)</w:t>
                  </w:r>
                </w:p>
              </w:tc>
            </w:tr>
            <w:tr>
              <w:tblPrEx>
                <w:tblLayout w:type="fixed"/>
                <w:tblCellMar>
                  <w:top w:w="0" w:type="dxa"/>
                  <w:left w:w="0" w:type="dxa"/>
                  <w:bottom w:w="0" w:type="dxa"/>
                  <w:right w:w="0" w:type="dxa"/>
                </w:tblCellMar>
              </w:tblPrEx>
              <w:trPr>
                <w:trHeight w:val="23" w:hRule="atLeast"/>
                <w:jc w:val="center"/>
              </w:trPr>
              <w:tc>
                <w:tcPr>
                  <w:tcW w:w="109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SO</w:t>
                  </w:r>
                  <w:r>
                    <w:rPr>
                      <w:color w:val="auto"/>
                      <w:sz w:val="21"/>
                      <w:szCs w:val="21"/>
                      <w:vertAlign w:val="subscript"/>
                    </w:rPr>
                    <w:t>2</w:t>
                  </w:r>
                </w:p>
              </w:tc>
              <w:tc>
                <w:tcPr>
                  <w:tcW w:w="192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20S*(kg/t)</w:t>
                  </w:r>
                </w:p>
              </w:tc>
              <w:tc>
                <w:tcPr>
                  <w:tcW w:w="151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35</w:t>
                  </w:r>
                </w:p>
              </w:tc>
              <w:tc>
                <w:tcPr>
                  <w:tcW w:w="1532"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 xml:space="preserve">0.0004 </w:t>
                  </w:r>
                </w:p>
              </w:tc>
              <w:tc>
                <w:tcPr>
                  <w:tcW w:w="1509" w:type="dxa"/>
                  <w:tcBorders>
                    <w:top w:val="single" w:color="auto" w:sz="8" w:space="0"/>
                    <w:left w:val="nil"/>
                    <w:bottom w:val="single" w:color="auto" w:sz="8" w:space="0"/>
                    <w:right w:val="single" w:color="auto" w:sz="4" w:space="0"/>
                  </w:tcBorders>
                  <w:vAlign w:val="center"/>
                </w:tcPr>
                <w:p>
                  <w:pPr>
                    <w:jc w:val="center"/>
                    <w:rPr>
                      <w:color w:val="auto"/>
                      <w:sz w:val="21"/>
                      <w:szCs w:val="21"/>
                    </w:rPr>
                  </w:pPr>
                  <w:r>
                    <w:rPr>
                      <w:color w:val="auto"/>
                      <w:sz w:val="21"/>
                      <w:szCs w:val="21"/>
                    </w:rPr>
                    <w:t>35</w:t>
                  </w:r>
                </w:p>
              </w:tc>
              <w:tc>
                <w:tcPr>
                  <w:tcW w:w="1509" w:type="dxa"/>
                  <w:tcBorders>
                    <w:top w:val="nil"/>
                    <w:left w:val="single" w:color="auto" w:sz="4" w:space="0"/>
                    <w:bottom w:val="single" w:color="auto" w:sz="8" w:space="0"/>
                    <w:right w:val="nil"/>
                  </w:tcBorders>
                  <w:vAlign w:val="center"/>
                </w:tcPr>
                <w:p>
                  <w:pPr>
                    <w:jc w:val="center"/>
                    <w:rPr>
                      <w:color w:val="auto"/>
                      <w:sz w:val="21"/>
                      <w:szCs w:val="21"/>
                    </w:rPr>
                  </w:pPr>
                  <w:r>
                    <w:rPr>
                      <w:color w:val="auto"/>
                      <w:sz w:val="21"/>
                      <w:szCs w:val="21"/>
                    </w:rPr>
                    <w:t xml:space="preserve">0.0004 </w:t>
                  </w:r>
                </w:p>
              </w:tc>
            </w:tr>
            <w:tr>
              <w:tblPrEx>
                <w:tblLayout w:type="fixed"/>
                <w:tblCellMar>
                  <w:top w:w="0" w:type="dxa"/>
                  <w:left w:w="0" w:type="dxa"/>
                  <w:bottom w:w="0" w:type="dxa"/>
                  <w:right w:w="0" w:type="dxa"/>
                </w:tblCellMar>
              </w:tblPrEx>
              <w:trPr>
                <w:trHeight w:val="23" w:hRule="atLeast"/>
                <w:jc w:val="center"/>
              </w:trPr>
              <w:tc>
                <w:tcPr>
                  <w:tcW w:w="109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NO</w:t>
                  </w:r>
                  <w:r>
                    <w:rPr>
                      <w:color w:val="auto"/>
                      <w:sz w:val="21"/>
                      <w:szCs w:val="21"/>
                      <w:vertAlign w:val="subscript"/>
                    </w:rPr>
                    <w:t>X</w:t>
                  </w:r>
                </w:p>
              </w:tc>
              <w:tc>
                <w:tcPr>
                  <w:tcW w:w="192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3.36(kg/t)</w:t>
                  </w:r>
                </w:p>
              </w:tc>
              <w:tc>
                <w:tcPr>
                  <w:tcW w:w="151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168</w:t>
                  </w:r>
                </w:p>
              </w:tc>
              <w:tc>
                <w:tcPr>
                  <w:tcW w:w="1532"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 xml:space="preserve">0.0021 </w:t>
                  </w:r>
                </w:p>
              </w:tc>
              <w:tc>
                <w:tcPr>
                  <w:tcW w:w="1509" w:type="dxa"/>
                  <w:tcBorders>
                    <w:top w:val="single" w:color="auto" w:sz="8" w:space="0"/>
                    <w:left w:val="nil"/>
                    <w:bottom w:val="single" w:color="auto" w:sz="8" w:space="0"/>
                    <w:right w:val="single" w:color="auto" w:sz="4" w:space="0"/>
                  </w:tcBorders>
                  <w:vAlign w:val="center"/>
                </w:tcPr>
                <w:p>
                  <w:pPr>
                    <w:jc w:val="center"/>
                    <w:rPr>
                      <w:color w:val="auto"/>
                      <w:sz w:val="21"/>
                      <w:szCs w:val="21"/>
                    </w:rPr>
                  </w:pPr>
                  <w:r>
                    <w:rPr>
                      <w:color w:val="auto"/>
                      <w:sz w:val="21"/>
                      <w:szCs w:val="21"/>
                    </w:rPr>
                    <w:t>168</w:t>
                  </w:r>
                </w:p>
              </w:tc>
              <w:tc>
                <w:tcPr>
                  <w:tcW w:w="1509" w:type="dxa"/>
                  <w:tcBorders>
                    <w:top w:val="nil"/>
                    <w:left w:val="single" w:color="auto" w:sz="4" w:space="0"/>
                    <w:bottom w:val="single" w:color="auto" w:sz="8" w:space="0"/>
                    <w:right w:val="nil"/>
                  </w:tcBorders>
                  <w:vAlign w:val="center"/>
                </w:tcPr>
                <w:p>
                  <w:pPr>
                    <w:jc w:val="center"/>
                    <w:rPr>
                      <w:color w:val="auto"/>
                      <w:sz w:val="21"/>
                      <w:szCs w:val="21"/>
                    </w:rPr>
                  </w:pPr>
                  <w:r>
                    <w:rPr>
                      <w:color w:val="auto"/>
                      <w:sz w:val="21"/>
                      <w:szCs w:val="21"/>
                    </w:rPr>
                    <w:t xml:space="preserve">0.0021 </w:t>
                  </w:r>
                </w:p>
              </w:tc>
            </w:tr>
            <w:tr>
              <w:tblPrEx>
                <w:tblLayout w:type="fixed"/>
                <w:tblCellMar>
                  <w:top w:w="0" w:type="dxa"/>
                  <w:left w:w="0" w:type="dxa"/>
                  <w:bottom w:w="0" w:type="dxa"/>
                  <w:right w:w="0" w:type="dxa"/>
                </w:tblCellMar>
              </w:tblPrEx>
              <w:trPr>
                <w:trHeight w:val="23" w:hRule="atLeast"/>
                <w:jc w:val="center"/>
              </w:trPr>
              <w:tc>
                <w:tcPr>
                  <w:tcW w:w="1090" w:type="dxa"/>
                  <w:tcBorders>
                    <w:top w:val="nil"/>
                    <w:left w:val="nil"/>
                    <w:bottom w:val="single" w:color="auto" w:sz="8" w:space="0"/>
                    <w:right w:val="single" w:color="auto" w:sz="8" w:space="0"/>
                  </w:tcBorders>
                  <w:vAlign w:val="center"/>
                </w:tcPr>
                <w:p>
                  <w:pPr>
                    <w:jc w:val="center"/>
                    <w:rPr>
                      <w:color w:val="auto"/>
                      <w:sz w:val="21"/>
                      <w:szCs w:val="21"/>
                    </w:rPr>
                  </w:pPr>
                  <w:r>
                    <w:rPr>
                      <w:rFonts w:hAnsi="宋体"/>
                      <w:color w:val="auto"/>
                      <w:sz w:val="21"/>
                      <w:szCs w:val="21"/>
                    </w:rPr>
                    <w:t>烟尘</w:t>
                  </w:r>
                </w:p>
              </w:tc>
              <w:tc>
                <w:tcPr>
                  <w:tcW w:w="192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2.2(kg/t)</w:t>
                  </w:r>
                </w:p>
              </w:tc>
              <w:tc>
                <w:tcPr>
                  <w:tcW w:w="1510"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110</w:t>
                  </w:r>
                </w:p>
              </w:tc>
              <w:tc>
                <w:tcPr>
                  <w:tcW w:w="1532" w:type="dxa"/>
                  <w:tcBorders>
                    <w:top w:val="nil"/>
                    <w:left w:val="nil"/>
                    <w:bottom w:val="single" w:color="auto" w:sz="8" w:space="0"/>
                    <w:right w:val="single" w:color="auto" w:sz="8" w:space="0"/>
                  </w:tcBorders>
                  <w:vAlign w:val="center"/>
                </w:tcPr>
                <w:p>
                  <w:pPr>
                    <w:jc w:val="center"/>
                    <w:rPr>
                      <w:color w:val="auto"/>
                      <w:sz w:val="21"/>
                      <w:szCs w:val="21"/>
                    </w:rPr>
                  </w:pPr>
                  <w:r>
                    <w:rPr>
                      <w:color w:val="auto"/>
                      <w:sz w:val="21"/>
                      <w:szCs w:val="21"/>
                    </w:rPr>
                    <w:t xml:space="preserve">0.0013 </w:t>
                  </w:r>
                </w:p>
              </w:tc>
              <w:tc>
                <w:tcPr>
                  <w:tcW w:w="1509" w:type="dxa"/>
                  <w:tcBorders>
                    <w:top w:val="single" w:color="auto" w:sz="8" w:space="0"/>
                    <w:left w:val="nil"/>
                    <w:bottom w:val="single" w:color="auto" w:sz="8" w:space="0"/>
                    <w:right w:val="single" w:color="auto" w:sz="4" w:space="0"/>
                  </w:tcBorders>
                  <w:vAlign w:val="center"/>
                </w:tcPr>
                <w:p>
                  <w:pPr>
                    <w:jc w:val="center"/>
                    <w:rPr>
                      <w:color w:val="auto"/>
                      <w:sz w:val="21"/>
                      <w:szCs w:val="21"/>
                    </w:rPr>
                  </w:pPr>
                  <w:r>
                    <w:rPr>
                      <w:color w:val="auto"/>
                      <w:sz w:val="21"/>
                      <w:szCs w:val="21"/>
                    </w:rPr>
                    <w:t>110</w:t>
                  </w:r>
                </w:p>
              </w:tc>
              <w:tc>
                <w:tcPr>
                  <w:tcW w:w="1509" w:type="dxa"/>
                  <w:tcBorders>
                    <w:top w:val="nil"/>
                    <w:left w:val="single" w:color="auto" w:sz="4" w:space="0"/>
                    <w:bottom w:val="single" w:color="auto" w:sz="8" w:space="0"/>
                    <w:right w:val="nil"/>
                  </w:tcBorders>
                  <w:vAlign w:val="center"/>
                </w:tcPr>
                <w:p>
                  <w:pPr>
                    <w:jc w:val="center"/>
                    <w:rPr>
                      <w:color w:val="auto"/>
                      <w:sz w:val="21"/>
                      <w:szCs w:val="21"/>
                    </w:rPr>
                  </w:pPr>
                  <w:r>
                    <w:rPr>
                      <w:color w:val="auto"/>
                      <w:sz w:val="21"/>
                      <w:szCs w:val="21"/>
                    </w:rPr>
                    <w:t xml:space="preserve">0.0013 </w:t>
                  </w:r>
                </w:p>
              </w:tc>
            </w:tr>
            <w:tr>
              <w:tblPrEx>
                <w:tblLayout w:type="fixed"/>
                <w:tblCellMar>
                  <w:top w:w="0" w:type="dxa"/>
                  <w:left w:w="0" w:type="dxa"/>
                  <w:bottom w:w="0" w:type="dxa"/>
                  <w:right w:w="0" w:type="dxa"/>
                </w:tblCellMar>
              </w:tblPrEx>
              <w:trPr>
                <w:trHeight w:val="23" w:hRule="atLeast"/>
                <w:jc w:val="center"/>
              </w:trPr>
              <w:tc>
                <w:tcPr>
                  <w:tcW w:w="1090" w:type="dxa"/>
                  <w:tcBorders>
                    <w:top w:val="nil"/>
                    <w:left w:val="nil"/>
                    <w:bottom w:val="single" w:color="auto" w:sz="12" w:space="0"/>
                    <w:right w:val="single" w:color="auto" w:sz="8" w:space="0"/>
                  </w:tcBorders>
                  <w:vAlign w:val="center"/>
                </w:tcPr>
                <w:p>
                  <w:pPr>
                    <w:jc w:val="center"/>
                    <w:rPr>
                      <w:color w:val="auto"/>
                      <w:sz w:val="21"/>
                      <w:szCs w:val="21"/>
                    </w:rPr>
                  </w:pPr>
                  <w:r>
                    <w:rPr>
                      <w:rFonts w:hAnsi="宋体"/>
                      <w:color w:val="auto"/>
                      <w:sz w:val="21"/>
                      <w:szCs w:val="21"/>
                    </w:rPr>
                    <w:t>烟气量</w:t>
                  </w:r>
                </w:p>
              </w:tc>
              <w:tc>
                <w:tcPr>
                  <w:tcW w:w="1920" w:type="dxa"/>
                  <w:tcBorders>
                    <w:top w:val="nil"/>
                    <w:left w:val="nil"/>
                    <w:bottom w:val="single" w:color="auto" w:sz="12" w:space="0"/>
                    <w:right w:val="single" w:color="auto" w:sz="8" w:space="0"/>
                  </w:tcBorders>
                  <w:vAlign w:val="center"/>
                </w:tcPr>
                <w:p>
                  <w:pPr>
                    <w:jc w:val="center"/>
                    <w:rPr>
                      <w:color w:val="auto"/>
                      <w:sz w:val="21"/>
                      <w:szCs w:val="21"/>
                    </w:rPr>
                  </w:pPr>
                  <w:r>
                    <w:rPr>
                      <w:color w:val="auto"/>
                      <w:sz w:val="21"/>
                      <w:szCs w:val="21"/>
                    </w:rPr>
                    <w:t>20000(Nm</w:t>
                  </w:r>
                  <w:r>
                    <w:rPr>
                      <w:color w:val="auto"/>
                      <w:sz w:val="21"/>
                      <w:szCs w:val="21"/>
                      <w:vertAlign w:val="superscript"/>
                    </w:rPr>
                    <w:t>3</w:t>
                  </w:r>
                  <w:r>
                    <w:rPr>
                      <w:color w:val="auto"/>
                      <w:sz w:val="21"/>
                      <w:szCs w:val="21"/>
                    </w:rPr>
                    <w:t>/t)</w:t>
                  </w:r>
                </w:p>
              </w:tc>
              <w:tc>
                <w:tcPr>
                  <w:tcW w:w="1510" w:type="dxa"/>
                  <w:tcBorders>
                    <w:top w:val="nil"/>
                    <w:left w:val="nil"/>
                    <w:bottom w:val="single" w:color="auto" w:sz="12" w:space="0"/>
                    <w:right w:val="single" w:color="auto" w:sz="8" w:space="0"/>
                  </w:tcBorders>
                  <w:vAlign w:val="center"/>
                </w:tcPr>
                <w:p>
                  <w:pPr>
                    <w:jc w:val="center"/>
                    <w:rPr>
                      <w:color w:val="auto"/>
                      <w:sz w:val="21"/>
                      <w:szCs w:val="21"/>
                    </w:rPr>
                  </w:pPr>
                  <w:r>
                    <w:rPr>
                      <w:color w:val="auto"/>
                      <w:sz w:val="21"/>
                      <w:szCs w:val="21"/>
                    </w:rPr>
                    <w:t>/</w:t>
                  </w:r>
                </w:p>
              </w:tc>
              <w:tc>
                <w:tcPr>
                  <w:tcW w:w="1532" w:type="dxa"/>
                  <w:tcBorders>
                    <w:top w:val="nil"/>
                    <w:left w:val="nil"/>
                    <w:bottom w:val="single" w:color="auto" w:sz="12" w:space="0"/>
                    <w:right w:val="single" w:color="auto" w:sz="8" w:space="0"/>
                  </w:tcBorders>
                  <w:vAlign w:val="center"/>
                </w:tcPr>
                <w:p>
                  <w:pPr>
                    <w:jc w:val="center"/>
                    <w:rPr>
                      <w:color w:val="auto"/>
                      <w:sz w:val="21"/>
                      <w:szCs w:val="21"/>
                    </w:rPr>
                  </w:pPr>
                  <w:r>
                    <w:rPr>
                      <w:color w:val="auto"/>
                      <w:sz w:val="21"/>
                      <w:szCs w:val="21"/>
                    </w:rPr>
                    <w:t>12240Nm</w:t>
                  </w:r>
                  <w:r>
                    <w:rPr>
                      <w:color w:val="auto"/>
                      <w:sz w:val="21"/>
                      <w:szCs w:val="21"/>
                      <w:vertAlign w:val="superscript"/>
                    </w:rPr>
                    <w:t>3</w:t>
                  </w:r>
                </w:p>
              </w:tc>
              <w:tc>
                <w:tcPr>
                  <w:tcW w:w="1509" w:type="dxa"/>
                  <w:tcBorders>
                    <w:top w:val="single" w:color="auto" w:sz="8" w:space="0"/>
                    <w:left w:val="nil"/>
                    <w:bottom w:val="single" w:color="auto" w:sz="12" w:space="0"/>
                    <w:right w:val="single" w:color="auto" w:sz="4" w:space="0"/>
                  </w:tcBorders>
                  <w:vAlign w:val="center"/>
                </w:tcPr>
                <w:p>
                  <w:pPr>
                    <w:jc w:val="center"/>
                    <w:rPr>
                      <w:color w:val="auto"/>
                      <w:sz w:val="21"/>
                      <w:szCs w:val="21"/>
                    </w:rPr>
                  </w:pPr>
                  <w:r>
                    <w:rPr>
                      <w:color w:val="auto"/>
                      <w:sz w:val="21"/>
                      <w:szCs w:val="21"/>
                    </w:rPr>
                    <w:t>/</w:t>
                  </w:r>
                </w:p>
              </w:tc>
              <w:tc>
                <w:tcPr>
                  <w:tcW w:w="1509" w:type="dxa"/>
                  <w:tcBorders>
                    <w:top w:val="nil"/>
                    <w:left w:val="single" w:color="auto" w:sz="4" w:space="0"/>
                    <w:bottom w:val="single" w:color="auto" w:sz="12" w:space="0"/>
                    <w:right w:val="nil"/>
                  </w:tcBorders>
                  <w:vAlign w:val="center"/>
                </w:tcPr>
                <w:p>
                  <w:pPr>
                    <w:jc w:val="center"/>
                    <w:rPr>
                      <w:color w:val="auto"/>
                      <w:sz w:val="21"/>
                      <w:szCs w:val="21"/>
                    </w:rPr>
                  </w:pPr>
                  <w:r>
                    <w:rPr>
                      <w:color w:val="auto"/>
                      <w:sz w:val="21"/>
                      <w:szCs w:val="21"/>
                    </w:rPr>
                    <w:t>12240Nm</w:t>
                  </w:r>
                  <w:r>
                    <w:rPr>
                      <w:color w:val="auto"/>
                      <w:sz w:val="21"/>
                      <w:szCs w:val="21"/>
                      <w:vertAlign w:val="superscript"/>
                    </w:rPr>
                    <w:t>3</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Ansi="宋体"/>
                <w:color w:val="auto"/>
                <w:sz w:val="24"/>
              </w:rPr>
            </w:pPr>
            <w:r>
              <w:rPr>
                <w:rFonts w:hAnsi="宋体"/>
                <w:color w:val="auto"/>
                <w:sz w:val="24"/>
              </w:rPr>
              <w:t>柴油发电机产生的各污染物均可达到《大气污染物综合排放标准》</w:t>
            </w:r>
            <w:r>
              <w:rPr>
                <w:color w:val="auto"/>
                <w:sz w:val="24"/>
              </w:rPr>
              <w:t>(GB16297-1996)</w:t>
            </w:r>
            <w:r>
              <w:rPr>
                <w:rFonts w:hAnsi="宋体"/>
                <w:color w:val="auto"/>
                <w:sz w:val="24"/>
              </w:rPr>
              <w:t>中新污染源大气污染物排放限值，不会对周围环境产生明显的影响。</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color w:val="auto"/>
                <w:sz w:val="24"/>
                <w:szCs w:val="24"/>
                <w:u w:val="single"/>
                <w:lang w:eastAsia="zh-CN"/>
              </w:rPr>
            </w:pPr>
            <w:r>
              <w:rPr>
                <w:rFonts w:hint="eastAsia" w:hAnsi="宋体"/>
                <w:color w:val="auto"/>
                <w:sz w:val="24"/>
                <w:szCs w:val="24"/>
                <w:u w:val="single"/>
                <w:lang w:eastAsia="zh-CN"/>
              </w:rPr>
              <w:t>负压大棚废气</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eastAsia="宋体"/>
                <w:color w:val="auto"/>
                <w:kern w:val="0"/>
                <w:sz w:val="24"/>
                <w:u w:val="single"/>
                <w:lang w:eastAsia="zh-CN" w:bidi="ar"/>
              </w:rPr>
            </w:pPr>
            <w:r>
              <w:rPr>
                <w:rFonts w:hint="eastAsia"/>
                <w:color w:val="auto"/>
                <w:kern w:val="0"/>
                <w:sz w:val="24"/>
                <w:u w:val="single"/>
                <w:lang w:eastAsia="zh-CN" w:bidi="ar"/>
              </w:rPr>
              <w:t>根据建设单位提供的资料可知，本项目负压大棚内预处理车间、氧化还原车间及其他大棚内点源主要为异味、扬尘、</w:t>
            </w:r>
            <w:r>
              <w:rPr>
                <w:rFonts w:hint="eastAsia"/>
                <w:color w:val="auto"/>
                <w:kern w:val="0"/>
                <w:sz w:val="24"/>
                <w:u w:val="single"/>
                <w:lang w:val="en-US" w:eastAsia="zh-CN" w:bidi="ar"/>
              </w:rPr>
              <w:t>VOCs废气，其废气主要通过集气设备收集后通过负压大棚尾气处理装置进行处理，因此项目负压大棚内各污染点源不会直接对外环境造成影响。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color w:val="auto"/>
                <w:kern w:val="0"/>
                <w:sz w:val="24"/>
                <w:u w:val="single"/>
                <w:lang w:bidi="ar"/>
              </w:rPr>
            </w:pPr>
            <w:r>
              <w:rPr>
                <w:color w:val="auto"/>
                <w:kern w:val="0"/>
                <w:sz w:val="24"/>
                <w:u w:val="single"/>
                <w:lang w:bidi="ar"/>
              </w:rPr>
              <w:t>根据《场地调查报告》</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lang w:val="en-US" w:eastAsia="zh-CN"/>
              </w:rPr>
              <w:t>2017年</w:t>
            </w:r>
            <w:r>
              <w:rPr>
                <w:rFonts w:hint="eastAsia" w:cs="Times New Roman"/>
                <w:color w:val="auto"/>
                <w:sz w:val="24"/>
                <w:u w:val="single"/>
                <w:lang w:val="en-US" w:eastAsia="zh-CN"/>
              </w:rPr>
              <w:t>2</w:t>
            </w:r>
            <w:r>
              <w:rPr>
                <w:rFonts w:hint="default" w:ascii="Times New Roman" w:hAnsi="Times New Roman" w:cs="Times New Roman"/>
                <w:color w:val="auto"/>
                <w:sz w:val="24"/>
                <w:u w:val="single"/>
                <w:lang w:val="en-US" w:eastAsia="zh-CN"/>
              </w:rPr>
              <w:t>月</w:t>
            </w:r>
            <w:r>
              <w:rPr>
                <w:rFonts w:hint="default" w:ascii="Times New Roman" w:hAnsi="Times New Roman" w:cs="Times New Roman"/>
                <w:color w:val="auto"/>
                <w:sz w:val="24"/>
                <w:u w:val="single"/>
                <w:lang w:eastAsia="zh-CN"/>
              </w:rPr>
              <w:t>）</w:t>
            </w:r>
            <w:r>
              <w:rPr>
                <w:color w:val="auto"/>
                <w:kern w:val="0"/>
                <w:sz w:val="24"/>
                <w:u w:val="single"/>
                <w:lang w:bidi="ar"/>
              </w:rPr>
              <w:t>可知，本项目场地主要污染物为</w:t>
            </w:r>
            <w:r>
              <w:rPr>
                <w:rFonts w:hint="eastAsia"/>
                <w:color w:val="auto"/>
                <w:kern w:val="0"/>
                <w:sz w:val="24"/>
                <w:u w:val="single"/>
                <w:lang w:eastAsia="zh-CN" w:bidi="ar"/>
              </w:rPr>
              <w:t>六六六、</w:t>
            </w:r>
            <w:r>
              <w:rPr>
                <w:rFonts w:hint="eastAsia"/>
                <w:color w:val="auto"/>
                <w:kern w:val="0"/>
                <w:sz w:val="24"/>
                <w:u w:val="single"/>
                <w:lang w:val="en-US" w:eastAsia="zh-CN" w:bidi="ar"/>
              </w:rPr>
              <w:t>DDT</w:t>
            </w:r>
            <w:r>
              <w:rPr>
                <w:color w:val="auto"/>
                <w:kern w:val="0"/>
                <w:sz w:val="24"/>
                <w:u w:val="single"/>
                <w:lang w:bidi="ar"/>
              </w:rPr>
              <w:t>。项目场地开挖、破碎等过程中有机污染物会有少部分从土壤中解吸并挥发出来进入大气，从而对周围环境产生一定的影响。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color w:val="auto"/>
                <w:kern w:val="0"/>
                <w:sz w:val="24"/>
                <w:u w:val="single"/>
                <w:lang w:bidi="ar"/>
              </w:rPr>
            </w:pPr>
            <w:r>
              <w:rPr>
                <w:color w:val="auto"/>
                <w:kern w:val="0"/>
                <w:sz w:val="24"/>
                <w:u w:val="single"/>
                <w:lang w:bidi="ar"/>
              </w:rPr>
              <w:t>①无组织有机废气产排分析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color w:val="auto"/>
                <w:sz w:val="24"/>
                <w:u w:val="single"/>
              </w:rPr>
            </w:pPr>
            <w:r>
              <w:rPr>
                <w:color w:val="auto"/>
                <w:sz w:val="24"/>
                <w:u w:val="single"/>
              </w:rPr>
              <w:t>根据有机物在土壤中的迁移规律，有机物进入土壤后，经过静电吸附、配位体交换、氢键作用、阳离子键桥、熵值效应等作用与土壤胶体结合，从而被土壤吸附固定，土壤对有机物的吸附能力与土壤颗粒比表面积、颗粒粒径大小等因素有关。项目场地土壤开挖对土壤的粒径比表面积、粒径大小等影响不大，因此有机物从土壤中解吸挥发出的量较少。</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color w:val="auto"/>
                <w:kern w:val="0"/>
                <w:sz w:val="24"/>
                <w:u w:val="single"/>
                <w:lang w:bidi="ar"/>
              </w:rPr>
            </w:pPr>
            <w:r>
              <w:rPr>
                <w:color w:val="auto"/>
                <w:sz w:val="24"/>
                <w:u w:val="single"/>
              </w:rPr>
              <w:t>本项目在挖掘过程中采用AC-645气味抑制剂进行喷洒，可以迅速控制灰尘、气味及有机废气的的挥发。开挖的土方立即运往处置场进行处理，减少土方停留时间。因此本项目</w:t>
            </w:r>
            <w:r>
              <w:rPr>
                <w:rFonts w:hint="eastAsia"/>
                <w:color w:val="auto"/>
                <w:sz w:val="24"/>
                <w:u w:val="single"/>
                <w:lang w:eastAsia="zh-CN"/>
              </w:rPr>
              <w:t>在挖掘过程中</w:t>
            </w:r>
            <w:r>
              <w:rPr>
                <w:color w:val="auto"/>
                <w:sz w:val="24"/>
                <w:u w:val="single"/>
              </w:rPr>
              <w:t>无组织有机废气可达到相关厂界控制浓度</w:t>
            </w:r>
            <w:r>
              <w:rPr>
                <w:rFonts w:hint="eastAsia"/>
                <w:color w:val="auto"/>
                <w:sz w:val="24"/>
                <w:u w:val="singl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kern w:val="0"/>
                <w:sz w:val="24"/>
                <w:u w:val="single"/>
                <w:lang w:bidi="ar"/>
              </w:rPr>
            </w:pPr>
            <w:r>
              <w:rPr>
                <w:color w:val="auto"/>
                <w:kern w:val="0"/>
                <w:sz w:val="24"/>
                <w:u w:val="single"/>
                <w:lang w:bidi="ar"/>
              </w:rPr>
              <w:t>②有组织有机废气产排分析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kern w:val="0"/>
                <w:sz w:val="24"/>
                <w:u w:val="single"/>
                <w:lang w:val="en-US" w:eastAsia="zh-CN" w:bidi="ar"/>
              </w:rPr>
            </w:pPr>
            <w:r>
              <w:rPr>
                <w:color w:val="auto"/>
                <w:kern w:val="0"/>
                <w:sz w:val="24"/>
                <w:u w:val="single"/>
                <w:lang w:bidi="ar"/>
              </w:rPr>
              <w:t>项目有机污染物在氧化处置过程中会有一定量的有机污染物挥发出去。土壤修复场地均设置在负压密闭大棚，污染土壤堆置于负压密闭大棚内，配套相应集气装置和</w:t>
            </w:r>
            <w:r>
              <w:rPr>
                <w:rFonts w:hint="eastAsia"/>
                <w:color w:val="auto"/>
                <w:kern w:val="0"/>
                <w:sz w:val="24"/>
                <w:u w:val="single"/>
                <w:lang w:eastAsia="zh-CN" w:bidi="ar"/>
              </w:rPr>
              <w:t>活性炭吸附</w:t>
            </w:r>
            <w:r>
              <w:rPr>
                <w:color w:val="auto"/>
                <w:kern w:val="0"/>
                <w:sz w:val="24"/>
                <w:u w:val="single"/>
                <w:lang w:bidi="ar"/>
              </w:rPr>
              <w:t>装置，对有机污染物废气进行集气后送至</w:t>
            </w:r>
            <w:r>
              <w:rPr>
                <w:rFonts w:hint="eastAsia"/>
                <w:color w:val="auto"/>
                <w:kern w:val="0"/>
                <w:sz w:val="24"/>
                <w:u w:val="single"/>
                <w:lang w:eastAsia="zh-CN" w:bidi="ar"/>
              </w:rPr>
              <w:t>活性炭吸附</w:t>
            </w:r>
            <w:r>
              <w:rPr>
                <w:color w:val="auto"/>
                <w:kern w:val="0"/>
                <w:sz w:val="24"/>
                <w:u w:val="single"/>
                <w:lang w:bidi="ar"/>
              </w:rPr>
              <w:t>装置，设计集气风</w:t>
            </w:r>
            <w:r>
              <w:rPr>
                <w:rFonts w:hint="eastAsia"/>
                <w:color w:val="auto"/>
                <w:kern w:val="0"/>
                <w:sz w:val="24"/>
                <w:u w:val="single"/>
                <w:lang w:val="en-US" w:eastAsia="zh-CN" w:bidi="ar"/>
              </w:rPr>
              <w:t>5</w:t>
            </w:r>
            <w:r>
              <w:rPr>
                <w:color w:val="auto"/>
                <w:kern w:val="0"/>
                <w:sz w:val="24"/>
                <w:u w:val="single"/>
                <w:lang w:bidi="ar"/>
              </w:rPr>
              <w:t>000m</w:t>
            </w:r>
            <w:r>
              <w:rPr>
                <w:color w:val="auto"/>
                <w:kern w:val="0"/>
                <w:sz w:val="24"/>
                <w:u w:val="single"/>
                <w:vertAlign w:val="superscript"/>
                <w:lang w:bidi="ar"/>
              </w:rPr>
              <w:t>3</w:t>
            </w:r>
            <w:r>
              <w:rPr>
                <w:color w:val="auto"/>
                <w:kern w:val="0"/>
                <w:sz w:val="24"/>
                <w:u w:val="single"/>
                <w:lang w:bidi="ar"/>
              </w:rPr>
              <w:t>/h，</w:t>
            </w:r>
            <w:r>
              <w:rPr>
                <w:rFonts w:hint="eastAsia"/>
                <w:color w:val="auto"/>
                <w:kern w:val="0"/>
                <w:sz w:val="24"/>
                <w:u w:val="single"/>
                <w:lang w:eastAsia="zh-CN" w:bidi="ar"/>
              </w:rPr>
              <w:t>活性炭吸附装置</w:t>
            </w:r>
            <w:r>
              <w:rPr>
                <w:color w:val="auto"/>
                <w:kern w:val="0"/>
                <w:sz w:val="24"/>
                <w:u w:val="single"/>
                <w:lang w:bidi="ar"/>
              </w:rPr>
              <w:t>对有机污染物去除效率达98%以上，可以对有机污染物进行有效去除。</w:t>
            </w:r>
            <w:r>
              <w:rPr>
                <w:rFonts w:hint="eastAsia"/>
                <w:color w:val="auto"/>
                <w:kern w:val="0"/>
                <w:sz w:val="24"/>
                <w:u w:val="single"/>
                <w:lang w:eastAsia="zh-CN" w:bidi="ar"/>
              </w:rPr>
              <w:t>其中负压密闭大棚内因土壤修复过程中将使用</w:t>
            </w:r>
            <w:r>
              <w:rPr>
                <w:rFonts w:hint="eastAsia"/>
                <w:color w:val="auto"/>
                <w:kern w:val="0"/>
                <w:sz w:val="24"/>
                <w:u w:val="single"/>
                <w:lang w:val="en-US" w:eastAsia="zh-CN" w:bidi="ar"/>
              </w:rPr>
              <w:t>硫酸亚铁试剂，有一定的抑尘作用，产生的扬尘还将经过除尘器，外排的粉尘极小。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auto"/>
                <w:sz w:val="24"/>
                <w:szCs w:val="24"/>
                <w:u w:val="single"/>
                <w:lang w:val="en-US" w:eastAsia="zh-CN"/>
              </w:rPr>
            </w:pPr>
            <w:r>
              <w:rPr>
                <w:rFonts w:hint="eastAsia"/>
                <w:color w:val="auto"/>
                <w:sz w:val="24"/>
                <w:szCs w:val="24"/>
                <w:u w:val="single"/>
                <w:vertAlign w:val="baseline"/>
                <w:lang w:val="en-US" w:eastAsia="zh-CN"/>
              </w:rPr>
              <w:t>根据相关资料可知，</w:t>
            </w:r>
            <w:r>
              <w:rPr>
                <w:color w:val="auto"/>
                <w:sz w:val="24"/>
                <w:szCs w:val="24"/>
                <w:u w:val="single"/>
              </w:rPr>
              <w:t>PAH</w:t>
            </w:r>
            <w:r>
              <w:rPr>
                <w:rFonts w:hint="eastAsia"/>
                <w:color w:val="auto"/>
                <w:sz w:val="24"/>
                <w:szCs w:val="24"/>
                <w:u w:val="single"/>
                <w:lang w:val="en-US" w:eastAsia="zh-CN"/>
              </w:rPr>
              <w:t>s（</w:t>
            </w:r>
            <w:r>
              <w:rPr>
                <w:rFonts w:hint="eastAsia"/>
                <w:sz w:val="24"/>
                <w:szCs w:val="24"/>
                <w:u w:val="single"/>
                <w:vertAlign w:val="baseline"/>
                <w:lang w:val="en-US" w:eastAsia="zh-CN"/>
              </w:rPr>
              <w:t>多环芳烃</w:t>
            </w:r>
            <w:r>
              <w:rPr>
                <w:rFonts w:hint="eastAsia"/>
                <w:color w:val="auto"/>
                <w:sz w:val="24"/>
                <w:szCs w:val="24"/>
                <w:u w:val="single"/>
                <w:lang w:val="en-US" w:eastAsia="zh-CN"/>
              </w:rPr>
              <w:t>）包含 1,4-二氯苯、六六六、邻苯二甲酸双（2-乙基己基）酯、萘、菲、苯并(a)蒽、苯并(b)荧蒽、苯并(a)芘、茚并(1,2,3-cd)芘、二苯并(a,h)蒽、DDT等，其</w:t>
            </w:r>
            <w:r>
              <w:rPr>
                <w:color w:val="auto"/>
                <w:sz w:val="24"/>
                <w:szCs w:val="24"/>
                <w:u w:val="single"/>
              </w:rPr>
              <w:t>PAH</w:t>
            </w:r>
            <w:r>
              <w:rPr>
                <w:rFonts w:hint="eastAsia"/>
                <w:color w:val="auto"/>
                <w:sz w:val="24"/>
                <w:szCs w:val="24"/>
                <w:u w:val="single"/>
                <w:lang w:val="en-US" w:eastAsia="zh-CN"/>
              </w:rPr>
              <w:t>s属于SVOCs（半挥发性有机物），挥发程度较低。</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sz w:val="24"/>
                <w:szCs w:val="24"/>
                <w:u w:val="single"/>
                <w:vertAlign w:val="baseline"/>
                <w:lang w:val="en-US" w:eastAsia="zh-CN"/>
              </w:rPr>
            </w:pPr>
            <w:r>
              <w:rPr>
                <w:rFonts w:hint="eastAsia"/>
                <w:color w:val="auto"/>
                <w:sz w:val="24"/>
                <w:szCs w:val="24"/>
                <w:u w:val="single"/>
                <w:lang w:val="en-US" w:eastAsia="zh-CN"/>
              </w:rPr>
              <w:t>根据《实施方案》第五章第5.5节技术可行性评估可知，</w:t>
            </w:r>
            <w:r>
              <w:rPr>
                <w:rFonts w:hint="eastAsia"/>
                <w:sz w:val="24"/>
                <w:szCs w:val="24"/>
                <w:u w:val="single"/>
                <w:vertAlign w:val="baseline"/>
                <w:lang w:val="en-US" w:eastAsia="zh-CN"/>
              </w:rPr>
              <w:t>按重度污染土壤样品DDT浓度为2.47~5.22mg/kg、六六六浓度为2.21~5.26mg/kg计算，则对</w:t>
            </w:r>
            <w:r>
              <w:rPr>
                <w:rFonts w:hint="eastAsia"/>
                <w:color w:val="auto"/>
                <w:sz w:val="24"/>
                <w:szCs w:val="24"/>
                <w:u w:val="single"/>
                <w:lang w:val="en-US" w:eastAsia="zh-CN"/>
              </w:rPr>
              <w:t>本项目所使用最佳配比的硫酸亚铁对</w:t>
            </w:r>
            <w:r>
              <w:rPr>
                <w:rFonts w:hint="eastAsia"/>
                <w:sz w:val="24"/>
                <w:szCs w:val="24"/>
                <w:u w:val="single"/>
                <w:vertAlign w:val="baseline"/>
                <w:lang w:val="en-US" w:eastAsia="zh-CN"/>
              </w:rPr>
              <w:t>DDT、六六六进行处理，去除效率分别为78.95~90.04%、84.62~93.54%。本环评从严原则出发，本项目重度污染土壤的DDT、六六六去除率分别取值75%、80%，另由于本项目在实施过程中不可避免的出现重度与中轻度土壤混合的现象，因此本环评从严原则出发，避免出现因混合现象导致污染土壤处理不到位，故本评价污染土壤</w:t>
            </w:r>
            <w:r>
              <w:rPr>
                <w:rFonts w:hint="eastAsia"/>
                <w:sz w:val="24"/>
                <w:szCs w:val="24"/>
                <w:u w:val="single"/>
                <w:lang w:val="en-US" w:eastAsia="zh-CN"/>
              </w:rPr>
              <w:t>六六六均</w:t>
            </w:r>
            <w:r>
              <w:rPr>
                <w:color w:val="auto"/>
                <w:sz w:val="24"/>
                <w:u w:val="none"/>
              </w:rPr>
              <w:t>按最大值</w:t>
            </w:r>
            <w:r>
              <w:rPr>
                <w:rFonts w:hint="eastAsia"/>
                <w:color w:val="auto"/>
                <w:sz w:val="24"/>
                <w:u w:val="none"/>
                <w:lang w:val="en-US" w:eastAsia="zh-CN"/>
              </w:rPr>
              <w:t>5.22</w:t>
            </w:r>
            <w:r>
              <w:rPr>
                <w:color w:val="auto"/>
                <w:sz w:val="24"/>
                <w:u w:val="none"/>
              </w:rPr>
              <w:t>mg/</w:t>
            </w:r>
            <w:r>
              <w:rPr>
                <w:rFonts w:hint="eastAsia"/>
                <w:color w:val="auto"/>
                <w:sz w:val="24"/>
                <w:u w:val="none"/>
                <w:lang w:val="en-US" w:eastAsia="zh-CN"/>
              </w:rPr>
              <w:t>k</w:t>
            </w:r>
            <w:r>
              <w:rPr>
                <w:color w:val="auto"/>
                <w:sz w:val="24"/>
                <w:u w:val="none"/>
              </w:rPr>
              <w:t>g计，</w:t>
            </w:r>
            <w:r>
              <w:rPr>
                <w:rFonts w:hint="eastAsia"/>
                <w:color w:val="auto"/>
                <w:sz w:val="24"/>
                <w:u w:val="none"/>
                <w:lang w:val="en-US" w:eastAsia="zh-CN"/>
              </w:rPr>
              <w:t>DDT</w:t>
            </w:r>
            <w:r>
              <w:rPr>
                <w:rFonts w:hint="eastAsia"/>
                <w:sz w:val="24"/>
                <w:szCs w:val="24"/>
                <w:u w:val="single"/>
                <w:lang w:val="en-US" w:eastAsia="zh-CN"/>
              </w:rPr>
              <w:t>均</w:t>
            </w:r>
            <w:r>
              <w:rPr>
                <w:color w:val="auto"/>
                <w:sz w:val="24"/>
                <w:u w:val="none"/>
              </w:rPr>
              <w:t>按最大值</w:t>
            </w:r>
            <w:r>
              <w:rPr>
                <w:rFonts w:hint="eastAsia"/>
                <w:color w:val="auto"/>
                <w:sz w:val="24"/>
                <w:u w:val="none"/>
                <w:lang w:val="en-US" w:eastAsia="zh-CN"/>
              </w:rPr>
              <w:t>5.26</w:t>
            </w:r>
            <w:r>
              <w:rPr>
                <w:color w:val="auto"/>
                <w:sz w:val="24"/>
                <w:u w:val="none"/>
              </w:rPr>
              <w:t>mg/</w:t>
            </w:r>
            <w:r>
              <w:rPr>
                <w:rFonts w:hint="eastAsia"/>
                <w:color w:val="auto"/>
                <w:sz w:val="24"/>
                <w:u w:val="none"/>
                <w:lang w:val="en-US" w:eastAsia="zh-CN"/>
              </w:rPr>
              <w:t>k</w:t>
            </w:r>
            <w:r>
              <w:rPr>
                <w:color w:val="auto"/>
                <w:sz w:val="24"/>
                <w:u w:val="none"/>
              </w:rPr>
              <w:t>g计。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color w:val="auto"/>
                <w:sz w:val="24"/>
                <w:u w:val="single"/>
              </w:rPr>
              <w:t>参考类似项目《南宁化工集团有限公司搬迁的款土壤治理修复工程建设项目环境影响评价报告》</w:t>
            </w:r>
            <w:r>
              <w:rPr>
                <w:rFonts w:hint="eastAsia" w:ascii="Times New Roman" w:hAnsi="Times New Roman" w:cs="Times New Roman"/>
                <w:color w:val="auto"/>
                <w:sz w:val="24"/>
                <w:highlight w:val="none"/>
                <w:u w:val="single"/>
                <w:lang w:eastAsia="zh-CN"/>
              </w:rPr>
              <w:t>（</w:t>
            </w:r>
            <w:r>
              <w:rPr>
                <w:rFonts w:hint="eastAsia" w:ascii="Times New Roman" w:hAnsi="Times New Roman" w:cs="Times New Roman"/>
                <w:color w:val="auto"/>
                <w:sz w:val="24"/>
                <w:highlight w:val="none"/>
                <w:u w:val="single"/>
                <w:lang w:val="en-US" w:eastAsia="zh-CN"/>
              </w:rPr>
              <w:t>2016年6月</w:t>
            </w:r>
            <w:r>
              <w:rPr>
                <w:rFonts w:hint="eastAsia" w:ascii="Times New Roman" w:hAnsi="Times New Roman" w:cs="Times New Roman"/>
                <w:color w:val="auto"/>
                <w:sz w:val="24"/>
                <w:highlight w:val="none"/>
                <w:u w:val="single"/>
                <w:lang w:eastAsia="zh-CN"/>
              </w:rPr>
              <w:t>）</w:t>
            </w:r>
            <w:r>
              <w:rPr>
                <w:rFonts w:hint="eastAsia" w:cs="Times New Roman"/>
                <w:color w:val="auto"/>
                <w:sz w:val="24"/>
                <w:highlight w:val="none"/>
                <w:u w:val="single"/>
                <w:lang w:eastAsia="zh-CN"/>
              </w:rPr>
              <w:t>可知</w:t>
            </w:r>
            <w:r>
              <w:rPr>
                <w:color w:val="auto"/>
                <w:sz w:val="24"/>
                <w:u w:val="single"/>
              </w:rPr>
              <w:t>，</w:t>
            </w:r>
            <w:r>
              <w:rPr>
                <w:rFonts w:hint="eastAsia"/>
                <w:color w:val="auto"/>
                <w:sz w:val="24"/>
                <w:u w:val="single"/>
                <w:lang w:eastAsia="zh-CN"/>
              </w:rPr>
              <w:t>在处理受</w:t>
            </w:r>
            <w:r>
              <w:rPr>
                <w:color w:val="auto"/>
                <w:sz w:val="24"/>
                <w:szCs w:val="24"/>
                <w:u w:val="single"/>
              </w:rPr>
              <w:t>PAH</w:t>
            </w:r>
            <w:r>
              <w:rPr>
                <w:rFonts w:hint="eastAsia"/>
                <w:color w:val="auto"/>
                <w:sz w:val="24"/>
                <w:szCs w:val="24"/>
                <w:u w:val="single"/>
                <w:lang w:val="en-US" w:eastAsia="zh-CN"/>
              </w:rPr>
              <w:t>s污染的土壤过程中每次处理约有1.5%</w:t>
            </w:r>
            <w:r>
              <w:rPr>
                <w:color w:val="auto"/>
                <w:sz w:val="24"/>
                <w:u w:val="single"/>
              </w:rPr>
              <w:t>以气体形式逸散</w:t>
            </w:r>
            <w:r>
              <w:rPr>
                <w:rFonts w:hint="eastAsia"/>
                <w:color w:val="auto"/>
                <w:sz w:val="24"/>
                <w:u w:val="single"/>
                <w:lang w:eastAsia="zh-CN"/>
              </w:rPr>
              <w:t>，则可知本项目处理</w:t>
            </w:r>
            <w:r>
              <w:rPr>
                <w:rFonts w:hint="eastAsia"/>
                <w:color w:val="auto"/>
                <w:sz w:val="24"/>
                <w:u w:val="single"/>
                <w:lang w:val="en-US" w:eastAsia="zh-CN"/>
              </w:rPr>
              <w:t>DDT、六六六时约遗留23.5%、18.5%</w:t>
            </w:r>
            <w:r>
              <w:rPr>
                <w:color w:val="auto"/>
                <w:sz w:val="24"/>
                <w:u w:val="single"/>
              </w:rPr>
              <w:t>。</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color w:val="auto"/>
                <w:u w:val="single"/>
              </w:rPr>
            </w:pPr>
            <w:r>
              <w:rPr>
                <w:rFonts w:hint="eastAsia"/>
                <w:color w:val="auto"/>
                <w:sz w:val="24"/>
                <w:u w:val="single"/>
                <w:lang w:eastAsia="zh-CN"/>
              </w:rPr>
              <w:t>综上所述并结合</w:t>
            </w:r>
            <w:r>
              <w:rPr>
                <w:color w:val="auto"/>
                <w:sz w:val="24"/>
                <w:u w:val="single"/>
              </w:rPr>
              <w:t>工程计算可知，本项目土壤污染在修复过程中有组织有机废气产生排放量去向平衡如下图所示。</w:t>
            </w:r>
          </w:p>
          <w:p>
            <w:pPr>
              <w:spacing w:line="360" w:lineRule="auto"/>
              <w:jc w:val="center"/>
              <w:rPr>
                <w:b/>
                <w:color w:val="auto"/>
                <w:szCs w:val="21"/>
                <w:u w:val="single"/>
              </w:rPr>
            </w:pPr>
            <w:r>
              <w:rPr>
                <w:b/>
                <w:color w:val="auto"/>
                <w:szCs w:val="21"/>
                <w:u w:val="single"/>
              </w:rPr>
              <w:object>
                <v:shape id="_x0000_i1025" o:spt="75" type="#_x0000_t75" style="height:236.25pt;width:411.75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pPr>
              <w:jc w:val="center"/>
              <w:rPr>
                <w:b/>
                <w:color w:val="auto"/>
                <w:szCs w:val="21"/>
                <w:u w:val="single"/>
              </w:rPr>
            </w:pPr>
            <w:r>
              <w:rPr>
                <w:b/>
                <w:color w:val="auto"/>
                <w:szCs w:val="21"/>
                <w:u w:val="single"/>
              </w:rPr>
              <w:t xml:space="preserve">图5  </w:t>
            </w:r>
            <w:r>
              <w:rPr>
                <w:rFonts w:hint="eastAsia"/>
                <w:b/>
                <w:color w:val="auto"/>
                <w:szCs w:val="21"/>
                <w:u w:val="single"/>
                <w:lang w:val="en-US" w:eastAsia="zh-CN"/>
              </w:rPr>
              <w:t>DDT</w:t>
            </w:r>
            <w:r>
              <w:rPr>
                <w:b/>
                <w:color w:val="auto"/>
                <w:szCs w:val="21"/>
                <w:u w:val="single"/>
              </w:rPr>
              <w:t>去向平衡分析图  单位：mg/Kg</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color w:val="auto"/>
                <w:sz w:val="24"/>
                <w:szCs w:val="22"/>
                <w:u w:val="single"/>
                <w:lang w:val="en-US" w:eastAsia="zh-CN"/>
              </w:rPr>
            </w:pPr>
            <w:r>
              <w:rPr>
                <w:rFonts w:hint="eastAsia"/>
                <w:color w:val="auto"/>
                <w:sz w:val="24"/>
                <w:szCs w:val="22"/>
                <w:u w:val="single"/>
                <w:lang w:eastAsia="zh-CN"/>
              </w:rPr>
              <w:t>从上述分析可知，本项目受污染土壤中的</w:t>
            </w:r>
            <w:r>
              <w:rPr>
                <w:rFonts w:hint="eastAsia"/>
                <w:color w:val="auto"/>
                <w:sz w:val="24"/>
                <w:szCs w:val="22"/>
                <w:u w:val="single"/>
                <w:lang w:val="en-US" w:eastAsia="zh-CN"/>
              </w:rPr>
              <w:t>DDT一次还无法完全达到修复目标值，需进行两次，因此本项目受污染土壤中的六六六也将进行两次处理，具体情况如下所示。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right="0" w:rightChars="0"/>
              <w:jc w:val="center"/>
              <w:textAlignment w:val="auto"/>
              <w:outlineLvl w:val="9"/>
              <w:rPr>
                <w:rFonts w:hint="eastAsia"/>
                <w:color w:val="auto"/>
                <w:sz w:val="24"/>
                <w:szCs w:val="22"/>
                <w:u w:val="single"/>
                <w:lang w:val="en-US" w:eastAsia="zh-CN"/>
              </w:rPr>
            </w:pPr>
            <w:r>
              <w:rPr>
                <w:b/>
                <w:color w:val="auto"/>
                <w:szCs w:val="21"/>
                <w:u w:val="single"/>
              </w:rPr>
              <w:object>
                <v:shape id="_x0000_i1026" o:spt="75" type="#_x0000_t75" style="height:236.25pt;width:411.75pt;" o:ole="t" filled="f" o:preferrelative="t" stroked="f" coordsize="21600,21600">
                  <v:path/>
                  <v:fill on="f" focussize="0,0"/>
                  <v:stroke on="f"/>
                  <v:imagedata r:id="rId18" o:title=""/>
                  <o:lock v:ext="edit" aspectratio="f"/>
                  <w10:wrap type="none"/>
                  <w10:anchorlock/>
                </v:shape>
                <o:OLEObject Type="Embed" ProgID="Visio.Drawing.11" ShapeID="_x0000_i1026" DrawAspect="Content" ObjectID="_1468075726" r:id="rId17">
                  <o:LockedField>false</o:LockedField>
                </o:OLEObject>
              </w:object>
            </w:r>
          </w:p>
          <w:p>
            <w:pPr>
              <w:pStyle w:val="2"/>
              <w:jc w:val="center"/>
              <w:rPr>
                <w:b/>
                <w:color w:val="auto"/>
                <w:szCs w:val="21"/>
                <w:u w:val="single"/>
              </w:rPr>
            </w:pPr>
            <w:r>
              <w:rPr>
                <w:b/>
                <w:color w:val="auto"/>
                <w:szCs w:val="21"/>
                <w:u w:val="single"/>
              </w:rPr>
              <w:t>图</w:t>
            </w:r>
            <w:r>
              <w:rPr>
                <w:rFonts w:hint="eastAsia"/>
                <w:b/>
                <w:color w:val="auto"/>
                <w:szCs w:val="21"/>
                <w:u w:val="single"/>
                <w:lang w:val="en-US" w:eastAsia="zh-CN"/>
              </w:rPr>
              <w:t>6</w:t>
            </w:r>
            <w:r>
              <w:rPr>
                <w:b/>
                <w:color w:val="auto"/>
                <w:szCs w:val="21"/>
                <w:u w:val="single"/>
              </w:rPr>
              <w:t xml:space="preserve">  </w:t>
            </w:r>
            <w:r>
              <w:rPr>
                <w:rFonts w:hint="eastAsia"/>
                <w:b/>
                <w:color w:val="auto"/>
                <w:szCs w:val="21"/>
                <w:u w:val="single"/>
                <w:lang w:eastAsia="zh-CN"/>
              </w:rPr>
              <w:t>六六六</w:t>
            </w:r>
            <w:r>
              <w:rPr>
                <w:b/>
                <w:color w:val="auto"/>
                <w:szCs w:val="21"/>
                <w:u w:val="single"/>
              </w:rPr>
              <w:t>去向平衡分析图  单位：mg/Kg</w:t>
            </w:r>
          </w:p>
          <w:p>
            <w:pPr>
              <w:spacing w:line="360" w:lineRule="auto"/>
              <w:rPr>
                <w:b/>
                <w:bCs/>
                <w:color w:val="auto"/>
                <w:sz w:val="24"/>
                <w:u w:val="single"/>
              </w:rPr>
            </w:pPr>
            <w:r>
              <w:rPr>
                <w:b/>
                <w:bCs/>
                <w:color w:val="auto"/>
                <w:sz w:val="24"/>
                <w:u w:val="single"/>
              </w:rPr>
              <w:t>有机物的排放情况分析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color w:val="auto"/>
                <w:kern w:val="0"/>
                <w:sz w:val="24"/>
                <w:u w:val="single"/>
                <w:lang w:bidi="ar"/>
              </w:rPr>
            </w:pPr>
            <w:r>
              <w:rPr>
                <w:rFonts w:hint="eastAsia"/>
                <w:color w:val="auto"/>
                <w:kern w:val="0"/>
                <w:sz w:val="24"/>
                <w:u w:val="single"/>
                <w:lang w:eastAsia="zh-CN" w:bidi="ar"/>
              </w:rPr>
              <w:t>由于</w:t>
            </w:r>
            <w:r>
              <w:rPr>
                <w:rFonts w:hint="eastAsia"/>
                <w:color w:val="auto"/>
                <w:kern w:val="0"/>
                <w:sz w:val="24"/>
                <w:u w:val="single"/>
                <w:lang w:bidi="ar"/>
              </w:rPr>
              <w:t>土壤中</w:t>
            </w:r>
            <w:r>
              <w:rPr>
                <w:rFonts w:hint="eastAsia"/>
                <w:color w:val="auto"/>
                <w:kern w:val="0"/>
                <w:sz w:val="24"/>
                <w:u w:val="single"/>
                <w:lang w:eastAsia="zh-CN" w:bidi="ar"/>
              </w:rPr>
              <w:t>主要污染物为</w:t>
            </w:r>
            <w:r>
              <w:rPr>
                <w:rFonts w:hint="eastAsia"/>
                <w:color w:val="auto"/>
                <w:kern w:val="0"/>
                <w:sz w:val="24"/>
                <w:u w:val="single"/>
                <w:lang w:val="en-US" w:eastAsia="zh-CN" w:bidi="ar"/>
              </w:rPr>
              <w:t>DDT和六六六</w:t>
            </w:r>
            <w:r>
              <w:rPr>
                <w:rFonts w:hint="eastAsia"/>
                <w:color w:val="auto"/>
                <w:kern w:val="0"/>
                <w:sz w:val="24"/>
                <w:u w:val="single"/>
                <w:lang w:bidi="ar"/>
              </w:rPr>
              <w:t>，且</w:t>
            </w:r>
            <w:r>
              <w:rPr>
                <w:rFonts w:hint="eastAsia"/>
                <w:color w:val="auto"/>
                <w:kern w:val="0"/>
                <w:sz w:val="24"/>
                <w:u w:val="single"/>
                <w:lang w:eastAsia="zh-CN" w:bidi="ar"/>
              </w:rPr>
              <w:t>无大气污染物排放标准</w:t>
            </w:r>
            <w:r>
              <w:rPr>
                <w:rFonts w:hint="eastAsia"/>
                <w:color w:val="auto"/>
                <w:kern w:val="0"/>
                <w:sz w:val="24"/>
                <w:u w:val="single"/>
                <w:lang w:bidi="ar"/>
              </w:rPr>
              <w:t>，因此</w:t>
            </w:r>
            <w:r>
              <w:rPr>
                <w:rFonts w:hint="eastAsia"/>
                <w:color w:val="auto"/>
                <w:kern w:val="0"/>
                <w:sz w:val="24"/>
                <w:u w:val="single"/>
                <w:lang w:eastAsia="zh-CN" w:bidi="ar"/>
              </w:rPr>
              <w:t>本</w:t>
            </w:r>
            <w:r>
              <w:rPr>
                <w:rFonts w:hint="eastAsia"/>
                <w:color w:val="auto"/>
                <w:kern w:val="0"/>
                <w:sz w:val="24"/>
                <w:u w:val="single"/>
                <w:lang w:bidi="ar"/>
              </w:rPr>
              <w:t>项目</w:t>
            </w:r>
            <w:r>
              <w:rPr>
                <w:rFonts w:hint="eastAsia"/>
                <w:color w:val="auto"/>
                <w:kern w:val="0"/>
                <w:sz w:val="24"/>
                <w:u w:val="single"/>
                <w:lang w:eastAsia="zh-CN" w:bidi="ar"/>
              </w:rPr>
              <w:t>以</w:t>
            </w:r>
            <w:r>
              <w:rPr>
                <w:rFonts w:hint="eastAsia"/>
                <w:color w:val="auto"/>
                <w:kern w:val="0"/>
                <w:sz w:val="24"/>
                <w:u w:val="single"/>
                <w:lang w:val="en-US" w:eastAsia="zh-CN" w:bidi="ar"/>
              </w:rPr>
              <w:t>DDT和六六六</w:t>
            </w:r>
            <w:r>
              <w:rPr>
                <w:rFonts w:hint="eastAsia"/>
                <w:color w:val="auto"/>
                <w:kern w:val="0"/>
                <w:sz w:val="24"/>
                <w:u w:val="single"/>
                <w:lang w:bidi="ar"/>
              </w:rPr>
              <w:t>进行土壤中VOCs的达标性分析。</w:t>
            </w:r>
            <w:r>
              <w:rPr>
                <w:rFonts w:hint="eastAsia"/>
                <w:color w:val="auto"/>
                <w:kern w:val="0"/>
                <w:sz w:val="24"/>
                <w:u w:val="single"/>
                <w:lang w:eastAsia="zh-CN" w:bidi="ar"/>
              </w:rPr>
              <w:t>同时处理</w:t>
            </w:r>
            <w:r>
              <w:rPr>
                <w:rFonts w:hint="eastAsia"/>
                <w:color w:val="auto"/>
                <w:kern w:val="0"/>
                <w:sz w:val="24"/>
                <w:u w:val="single"/>
                <w:lang w:val="en-US" w:eastAsia="zh-CN" w:bidi="ar"/>
              </w:rPr>
              <w:t>DDT和六六六的废气处理装置为同一套，则可知本项目受污染土壤中VOCs废气产生量约为0.131mg/kg，经处理后排放量约为0.003mg/kg。</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color w:val="auto"/>
                <w:sz w:val="24"/>
                <w:u w:val="none"/>
              </w:rPr>
            </w:pPr>
            <w:r>
              <w:rPr>
                <w:rFonts w:hint="eastAsia"/>
                <w:color w:val="auto"/>
                <w:kern w:val="0"/>
                <w:sz w:val="24"/>
                <w:u w:val="single"/>
                <w:lang w:eastAsia="zh-CN" w:bidi="ar"/>
              </w:rPr>
              <w:t>根据建设单位提供的资料可知，本项目需</w:t>
            </w:r>
            <w:r>
              <w:rPr>
                <w:rFonts w:hint="eastAsia" w:hAnsi="宋体"/>
                <w:color w:val="auto"/>
                <w:sz w:val="24"/>
                <w:u w:val="single"/>
              </w:rPr>
              <w:t>开挖</w:t>
            </w:r>
            <w:r>
              <w:rPr>
                <w:rFonts w:hint="eastAsia" w:hAnsi="宋体"/>
                <w:color w:val="auto"/>
                <w:sz w:val="24"/>
                <w:u w:val="single"/>
                <w:lang w:eastAsia="zh-CN"/>
              </w:rPr>
              <w:t>修复的</w:t>
            </w:r>
            <w:r>
              <w:rPr>
                <w:rFonts w:hint="eastAsia" w:hAnsi="宋体"/>
                <w:color w:val="auto"/>
                <w:sz w:val="24"/>
                <w:u w:val="single"/>
              </w:rPr>
              <w:t>土方量</w:t>
            </w:r>
            <w:r>
              <w:rPr>
                <w:rFonts w:hint="eastAsia" w:hAnsi="宋体"/>
                <w:color w:val="auto"/>
                <w:sz w:val="24"/>
                <w:u w:val="single"/>
                <w:lang w:eastAsia="zh-CN"/>
              </w:rPr>
              <w:t>约为</w:t>
            </w:r>
            <w:r>
              <w:rPr>
                <w:rFonts w:hint="eastAsia"/>
                <w:color w:val="auto"/>
                <w:sz w:val="24"/>
                <w:szCs w:val="24"/>
                <w:u w:val="single"/>
              </w:rPr>
              <w:t>25785.147</w:t>
            </w:r>
            <w:r>
              <w:rPr>
                <w:color w:val="auto"/>
                <w:sz w:val="24"/>
                <w:u w:val="single"/>
              </w:rPr>
              <w:t>t</w:t>
            </w:r>
            <w:r>
              <w:rPr>
                <w:rFonts w:hAnsi="宋体"/>
                <w:color w:val="auto"/>
                <w:sz w:val="24"/>
                <w:szCs w:val="24"/>
                <w:u w:val="single"/>
              </w:rPr>
              <w:t>（</w:t>
            </w:r>
            <w:r>
              <w:rPr>
                <w:color w:val="auto"/>
                <w:sz w:val="24"/>
                <w:u w:val="single"/>
              </w:rPr>
              <w:t>43524.3</w:t>
            </w:r>
            <w:r>
              <w:rPr>
                <w:color w:val="auto"/>
                <w:sz w:val="24"/>
                <w:szCs w:val="24"/>
                <w:u w:val="single"/>
              </w:rPr>
              <w:t>m</w:t>
            </w:r>
            <w:r>
              <w:rPr>
                <w:color w:val="auto"/>
                <w:sz w:val="24"/>
                <w:szCs w:val="24"/>
                <w:u w:val="single"/>
                <w:vertAlign w:val="superscript"/>
              </w:rPr>
              <w:t>3</w:t>
            </w:r>
            <w:r>
              <w:rPr>
                <w:rFonts w:hAnsi="宋体"/>
                <w:color w:val="auto"/>
                <w:sz w:val="24"/>
                <w:szCs w:val="24"/>
                <w:u w:val="single"/>
              </w:rPr>
              <w:t>）</w:t>
            </w:r>
            <w:r>
              <w:rPr>
                <w:rFonts w:hint="eastAsia"/>
                <w:color w:val="auto"/>
                <w:kern w:val="0"/>
                <w:sz w:val="24"/>
                <w:u w:val="single"/>
                <w:lang w:eastAsia="zh-CN" w:bidi="ar"/>
              </w:rPr>
              <w:t>，另</w:t>
            </w:r>
            <w:r>
              <w:rPr>
                <w:rFonts w:hAnsi="宋体"/>
                <w:color w:val="auto"/>
                <w:sz w:val="24"/>
                <w:u w:val="single"/>
              </w:rPr>
              <w:t>根据施工进度，项目开挖与修复过程对土壤扰动的时间约</w:t>
            </w:r>
            <w:r>
              <w:rPr>
                <w:rFonts w:hint="eastAsia"/>
                <w:color w:val="auto"/>
                <w:sz w:val="24"/>
                <w:u w:val="single"/>
              </w:rPr>
              <w:t>80</w:t>
            </w:r>
            <w:r>
              <w:rPr>
                <w:rFonts w:hAnsi="宋体"/>
                <w:color w:val="auto"/>
                <w:sz w:val="24"/>
                <w:u w:val="single"/>
              </w:rPr>
              <w:t>天（</w:t>
            </w:r>
            <w:r>
              <w:rPr>
                <w:rFonts w:hint="eastAsia" w:hAnsi="宋体"/>
                <w:color w:val="auto"/>
                <w:sz w:val="24"/>
                <w:u w:val="single"/>
              </w:rPr>
              <w:t>负压大棚</w:t>
            </w:r>
            <w:r>
              <w:rPr>
                <w:rFonts w:hAnsi="宋体"/>
                <w:color w:val="auto"/>
                <w:sz w:val="24"/>
                <w:u w:val="single"/>
              </w:rPr>
              <w:t>的土壤日处理规模为</w:t>
            </w:r>
            <w:r>
              <w:rPr>
                <w:rFonts w:hint="eastAsia"/>
                <w:color w:val="auto"/>
                <w:sz w:val="24"/>
                <w:u w:val="single"/>
              </w:rPr>
              <w:t>269.8</w:t>
            </w:r>
            <w:r>
              <w:rPr>
                <w:color w:val="auto"/>
                <w:sz w:val="24"/>
                <w:u w:val="single"/>
              </w:rPr>
              <w:t>m</w:t>
            </w:r>
            <w:r>
              <w:rPr>
                <w:color w:val="auto"/>
                <w:sz w:val="24"/>
                <w:u w:val="single"/>
                <w:vertAlign w:val="superscript"/>
              </w:rPr>
              <w:t>3</w:t>
            </w:r>
            <w:r>
              <w:rPr>
                <w:color w:val="auto"/>
                <w:sz w:val="24"/>
                <w:u w:val="single"/>
              </w:rPr>
              <w:t>/d</w:t>
            </w:r>
            <w:r>
              <w:rPr>
                <w:rFonts w:hAnsi="宋体"/>
                <w:color w:val="auto"/>
                <w:sz w:val="24"/>
                <w:u w:val="single"/>
              </w:rPr>
              <w:t>，每天运行时间</w:t>
            </w:r>
            <w:r>
              <w:rPr>
                <w:color w:val="auto"/>
                <w:sz w:val="24"/>
                <w:u w:val="single"/>
              </w:rPr>
              <w:t>12h</w:t>
            </w:r>
            <w:r>
              <w:rPr>
                <w:rFonts w:hAnsi="宋体"/>
                <w:color w:val="auto"/>
                <w:sz w:val="24"/>
                <w:u w:val="single"/>
              </w:rPr>
              <w:t>），</w:t>
            </w:r>
            <w:r>
              <w:rPr>
                <w:color w:val="auto"/>
                <w:kern w:val="0"/>
                <w:sz w:val="24"/>
                <w:u w:val="single"/>
                <w:lang w:bidi="ar"/>
              </w:rPr>
              <w:t>经工程计算可知</w:t>
            </w:r>
            <w:r>
              <w:rPr>
                <w:rFonts w:hint="eastAsia"/>
                <w:color w:val="auto"/>
                <w:sz w:val="24"/>
                <w:u w:val="single"/>
                <w:lang w:val="en-US" w:eastAsia="zh-CN"/>
              </w:rPr>
              <w:t>VOCs</w:t>
            </w:r>
            <w:r>
              <w:rPr>
                <w:color w:val="auto"/>
                <w:sz w:val="24"/>
                <w:u w:val="single"/>
              </w:rPr>
              <w:t>排放量为0.0</w:t>
            </w:r>
            <w:r>
              <w:rPr>
                <w:rFonts w:hint="eastAsia"/>
                <w:color w:val="auto"/>
                <w:sz w:val="24"/>
                <w:u w:val="single"/>
                <w:lang w:val="en-US" w:eastAsia="zh-CN"/>
              </w:rPr>
              <w:t>77</w:t>
            </w:r>
            <w:r>
              <w:rPr>
                <w:color w:val="auto"/>
                <w:sz w:val="24"/>
                <w:u w:val="single"/>
              </w:rPr>
              <w:t>Kg，排放速率为0.0</w:t>
            </w:r>
            <w:r>
              <w:rPr>
                <w:rFonts w:hint="eastAsia"/>
                <w:color w:val="auto"/>
                <w:sz w:val="24"/>
                <w:u w:val="single"/>
                <w:lang w:val="en-US" w:eastAsia="zh-CN"/>
              </w:rPr>
              <w:t>8</w:t>
            </w:r>
            <w:r>
              <w:rPr>
                <w:rFonts w:eastAsia="TimesNewRomanPSMT"/>
                <w:color w:val="auto"/>
                <w:sz w:val="24"/>
                <w:u w:val="single"/>
              </w:rPr>
              <w:t>×</w:t>
            </w:r>
            <w:r>
              <w:rPr>
                <w:color w:val="auto"/>
                <w:sz w:val="24"/>
                <w:u w:val="single"/>
              </w:rPr>
              <w:t>10</w:t>
            </w:r>
            <w:r>
              <w:rPr>
                <w:color w:val="auto"/>
                <w:sz w:val="24"/>
                <w:u w:val="single"/>
                <w:vertAlign w:val="superscript"/>
              </w:rPr>
              <w:t>-3</w:t>
            </w:r>
            <w:r>
              <w:rPr>
                <w:color w:val="auto"/>
                <w:sz w:val="24"/>
                <w:u w:val="single"/>
              </w:rPr>
              <w:t>Kg/h，排放浓度为</w:t>
            </w:r>
            <w:r>
              <w:rPr>
                <w:rFonts w:hint="eastAsia"/>
                <w:color w:val="auto"/>
                <w:sz w:val="24"/>
                <w:u w:val="single"/>
                <w:lang w:val="en-US" w:eastAsia="zh-CN"/>
              </w:rPr>
              <w:t>0.016</w:t>
            </w:r>
            <w:r>
              <w:rPr>
                <w:color w:val="auto"/>
                <w:sz w:val="24"/>
                <w:u w:val="single"/>
              </w:rPr>
              <w:t>mg/m</w:t>
            </w:r>
            <w:r>
              <w:rPr>
                <w:color w:val="auto"/>
                <w:sz w:val="24"/>
                <w:u w:val="single"/>
                <w:vertAlign w:val="superscript"/>
              </w:rPr>
              <w:t>3</w:t>
            </w:r>
            <w:r>
              <w:rPr>
                <w:color w:val="auto"/>
                <w:sz w:val="24"/>
                <w:u w:val="singl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outlineLvl w:val="9"/>
              <w:rPr>
                <w:color w:val="auto"/>
                <w:kern w:val="0"/>
                <w:sz w:val="24"/>
                <w:u w:val="single"/>
                <w:lang w:bidi="ar"/>
              </w:rPr>
            </w:pPr>
            <w:r>
              <w:rPr>
                <w:rFonts w:hint="eastAsia"/>
                <w:color w:val="auto"/>
                <w:kern w:val="0"/>
                <w:sz w:val="24"/>
                <w:u w:val="single"/>
                <w:lang w:eastAsia="zh-CN" w:bidi="ar"/>
              </w:rPr>
              <w:t>（</w:t>
            </w:r>
            <w:r>
              <w:rPr>
                <w:rFonts w:hint="eastAsia"/>
                <w:color w:val="auto"/>
                <w:kern w:val="0"/>
                <w:sz w:val="24"/>
                <w:u w:val="single"/>
                <w:lang w:val="en-US" w:eastAsia="zh-CN" w:bidi="ar"/>
              </w:rPr>
              <w:t>5</w:t>
            </w:r>
            <w:r>
              <w:rPr>
                <w:rFonts w:hint="eastAsia"/>
                <w:color w:val="auto"/>
                <w:kern w:val="0"/>
                <w:sz w:val="24"/>
                <w:u w:val="single"/>
                <w:lang w:eastAsia="zh-CN" w:bidi="ar"/>
              </w:rPr>
              <w:t>）</w:t>
            </w:r>
            <w:r>
              <w:rPr>
                <w:color w:val="auto"/>
                <w:kern w:val="0"/>
                <w:sz w:val="24"/>
                <w:u w:val="single"/>
                <w:lang w:bidi="ar"/>
              </w:rPr>
              <w:t>异味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kern w:val="0"/>
                <w:sz w:val="24"/>
                <w:u w:val="single"/>
                <w:lang w:bidi="ar"/>
              </w:rPr>
            </w:pPr>
            <w:r>
              <w:rPr>
                <w:color w:val="auto"/>
                <w:kern w:val="0"/>
                <w:sz w:val="24"/>
                <w:u w:val="single"/>
                <w:lang w:bidi="ar"/>
              </w:rPr>
              <w:t>由于项目污染土壤中存在</w:t>
            </w:r>
            <w:r>
              <w:rPr>
                <w:rFonts w:hint="eastAsia"/>
                <w:color w:val="auto"/>
                <w:kern w:val="0"/>
                <w:sz w:val="24"/>
                <w:u w:val="single"/>
                <w:lang w:eastAsia="zh-CN" w:bidi="ar"/>
              </w:rPr>
              <w:t>六六六、</w:t>
            </w:r>
            <w:r>
              <w:rPr>
                <w:rFonts w:hint="eastAsia"/>
                <w:color w:val="auto"/>
                <w:kern w:val="0"/>
                <w:sz w:val="24"/>
                <w:u w:val="single"/>
                <w:lang w:val="en-US" w:eastAsia="zh-CN" w:bidi="ar"/>
              </w:rPr>
              <w:t>DDT</w:t>
            </w:r>
            <w:r>
              <w:rPr>
                <w:color w:val="auto"/>
                <w:kern w:val="0"/>
                <w:sz w:val="24"/>
                <w:u w:val="single"/>
                <w:lang w:bidi="ar"/>
              </w:rPr>
              <w:t>，在挖掘过程中可能会有刺激性气味逸散，其排放方式为无组织排放面源。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kern w:val="0"/>
                <w:sz w:val="24"/>
                <w:u w:val="single"/>
                <w:lang w:bidi="ar"/>
              </w:rPr>
            </w:pPr>
            <w:r>
              <w:rPr>
                <w:color w:val="auto"/>
                <w:kern w:val="0"/>
                <w:sz w:val="24"/>
                <w:u w:val="single"/>
                <w:lang w:bidi="ar"/>
              </w:rPr>
              <w:t>由于本项目对污染物土壤挖掘期间挥发至大气的刺激性其他量较小，挖掘后立即转运至负压密闭大棚进行土壤修复，无挖掘土壤堆存。若出现一定量的刺激性气体，并对周边大气环境产生一定影响时，将对挖掘土壤及基坑喷洒AC-645气味抑制剂，可迅速控制气味及二苯并（a，h）蒽和甲苯的挥发，进而降低对周边大气环境的影响。</w:t>
            </w:r>
            <w:r>
              <w:rPr>
                <w:rFonts w:hint="eastAsia"/>
                <w:color w:val="auto"/>
                <w:kern w:val="0"/>
                <w:sz w:val="24"/>
                <w:u w:val="single"/>
                <w:lang w:eastAsia="zh-CN" w:bidi="ar"/>
              </w:rPr>
              <w:t>另</w:t>
            </w:r>
            <w:r>
              <w:rPr>
                <w:rStyle w:val="244"/>
                <w:rFonts w:hint="default" w:ascii="Times New Roman" w:hAnsi="Times New Roman" w:eastAsia="新宋体" w:cs="Times New Roman"/>
                <w:color w:val="auto"/>
                <w:sz w:val="24"/>
                <w:szCs w:val="24"/>
                <w:highlight w:val="none"/>
                <w:u w:val="single"/>
                <w:lang w:eastAsia="zh-CN"/>
              </w:rPr>
              <w:t>根据类似项目</w:t>
            </w:r>
            <w:r>
              <w:rPr>
                <w:rFonts w:hint="default" w:ascii="Times New Roman" w:hAnsi="Times New Roman" w:cs="Times New Roman"/>
                <w:color w:val="auto"/>
                <w:sz w:val="24"/>
                <w:highlight w:val="none"/>
                <w:u w:val="single"/>
              </w:rPr>
              <w:t>《南宁化工集团有限公司搬迁的款土壤治理修复工程建设项目环境影响评价报告》</w:t>
            </w:r>
            <w:r>
              <w:rPr>
                <w:rFonts w:hint="eastAsia" w:ascii="Times New Roman" w:hAnsi="Times New Roman" w:cs="Times New Roman"/>
                <w:color w:val="auto"/>
                <w:sz w:val="24"/>
                <w:highlight w:val="none"/>
                <w:u w:val="single"/>
                <w:lang w:eastAsia="zh-CN"/>
              </w:rPr>
              <w:t>（</w:t>
            </w:r>
            <w:r>
              <w:rPr>
                <w:rFonts w:hint="eastAsia" w:ascii="Times New Roman" w:hAnsi="Times New Roman" w:cs="Times New Roman"/>
                <w:color w:val="auto"/>
                <w:sz w:val="24"/>
                <w:highlight w:val="none"/>
                <w:u w:val="single"/>
                <w:lang w:val="en-US" w:eastAsia="zh-CN"/>
              </w:rPr>
              <w:t>2016年6月</w:t>
            </w:r>
            <w:r>
              <w:rPr>
                <w:rFonts w:hint="eastAsia" w:ascii="Times New Roman" w:hAnsi="Times New Roman" w:cs="Times New Roman"/>
                <w:color w:val="auto"/>
                <w:sz w:val="24"/>
                <w:highlight w:val="none"/>
                <w:u w:val="single"/>
                <w:lang w:eastAsia="zh-CN"/>
              </w:rPr>
              <w:t>）</w:t>
            </w:r>
            <w:r>
              <w:rPr>
                <w:rFonts w:hint="default" w:ascii="Times New Roman" w:hAnsi="Times New Roman" w:cs="Times New Roman"/>
                <w:color w:val="auto"/>
                <w:sz w:val="24"/>
                <w:highlight w:val="none"/>
                <w:u w:val="single"/>
                <w:lang w:eastAsia="zh-CN"/>
              </w:rPr>
              <w:t>类比可知</w:t>
            </w:r>
            <w:r>
              <w:rPr>
                <w:rFonts w:hint="eastAsia" w:ascii="Times New Roman" w:hAnsi="Times New Roman" w:cs="Times New Roman"/>
                <w:color w:val="auto"/>
                <w:sz w:val="24"/>
                <w:highlight w:val="none"/>
                <w:u w:val="single"/>
                <w:lang w:eastAsia="zh-CN"/>
              </w:rPr>
              <w:t>，在采取相关异味抑制措施后，对周边环境影响不大。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kern w:val="0"/>
                <w:sz w:val="24"/>
                <w:u w:val="single"/>
                <w:lang w:bidi="ar"/>
              </w:rPr>
            </w:pPr>
            <w:r>
              <w:rPr>
                <w:color w:val="auto"/>
                <w:kern w:val="0"/>
                <w:sz w:val="24"/>
                <w:u w:val="single"/>
                <w:lang w:bidi="ar"/>
              </w:rPr>
              <w:t>项目有机物污染土壤和复合污染土壤处置车间采用密闭大棚的形式，对废气进行收集后使用</w:t>
            </w:r>
            <w:r>
              <w:rPr>
                <w:rFonts w:hint="eastAsia"/>
                <w:color w:val="auto"/>
                <w:kern w:val="0"/>
                <w:sz w:val="24"/>
                <w:u w:val="single"/>
                <w:lang w:eastAsia="zh-CN" w:bidi="ar"/>
              </w:rPr>
              <w:t>活性炭吸附</w:t>
            </w:r>
            <w:r>
              <w:rPr>
                <w:color w:val="auto"/>
                <w:kern w:val="0"/>
                <w:sz w:val="24"/>
                <w:u w:val="single"/>
                <w:lang w:bidi="ar"/>
              </w:rPr>
              <w:t>处理，产生的异味很小。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rPr>
            </w:pPr>
            <w:r>
              <w:rPr>
                <w:b/>
                <w:color w:val="auto"/>
                <w:sz w:val="24"/>
                <w:szCs w:val="24"/>
              </w:rPr>
              <w:t>2</w:t>
            </w:r>
            <w:r>
              <w:rPr>
                <w:rFonts w:hAnsi="宋体"/>
                <w:b/>
                <w:color w:val="auto"/>
                <w:sz w:val="24"/>
                <w:szCs w:val="24"/>
              </w:rPr>
              <w:t>、水污染源分析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snapToGrid w:val="0"/>
                <w:color w:val="auto"/>
                <w:sz w:val="24"/>
                <w:szCs w:val="24"/>
              </w:rPr>
            </w:pPr>
            <w:r>
              <w:rPr>
                <w:rFonts w:hAnsi="宋体"/>
                <w:snapToGrid w:val="0"/>
                <w:color w:val="auto"/>
                <w:sz w:val="24"/>
                <w:szCs w:val="24"/>
              </w:rPr>
              <w:t>项目实施期间用水主要为施工用水</w:t>
            </w:r>
            <w:r>
              <w:rPr>
                <w:snapToGrid w:val="0"/>
                <w:color w:val="auto"/>
                <w:sz w:val="24"/>
                <w:szCs w:val="24"/>
              </w:rPr>
              <w:t>(</w:t>
            </w:r>
            <w:r>
              <w:rPr>
                <w:rFonts w:hAnsi="宋体"/>
                <w:snapToGrid w:val="0"/>
                <w:color w:val="auto"/>
                <w:sz w:val="24"/>
                <w:szCs w:val="24"/>
              </w:rPr>
              <w:t>包括洗车用水、降尘用水</w:t>
            </w:r>
            <w:r>
              <w:rPr>
                <w:snapToGrid w:val="0"/>
                <w:color w:val="auto"/>
                <w:sz w:val="24"/>
                <w:szCs w:val="24"/>
              </w:rPr>
              <w:t>)</w:t>
            </w:r>
            <w:r>
              <w:rPr>
                <w:rFonts w:hAnsi="宋体"/>
                <w:snapToGrid w:val="0"/>
                <w:color w:val="auto"/>
                <w:sz w:val="24"/>
                <w:szCs w:val="24"/>
              </w:rPr>
              <w:t>、员工用水等，产生的的废水主要包括施工废水</w:t>
            </w:r>
            <w:r>
              <w:rPr>
                <w:snapToGrid w:val="0"/>
                <w:color w:val="auto"/>
                <w:sz w:val="24"/>
                <w:szCs w:val="24"/>
              </w:rPr>
              <w:t>(</w:t>
            </w:r>
            <w:r>
              <w:rPr>
                <w:rFonts w:hAnsi="宋体"/>
                <w:snapToGrid w:val="0"/>
                <w:color w:val="auto"/>
                <w:sz w:val="24"/>
                <w:szCs w:val="24"/>
              </w:rPr>
              <w:t>包括</w:t>
            </w:r>
            <w:r>
              <w:rPr>
                <w:rFonts w:hint="eastAsia" w:hAnsi="宋体"/>
                <w:snapToGrid w:val="0"/>
                <w:color w:val="auto"/>
                <w:sz w:val="24"/>
                <w:szCs w:val="24"/>
              </w:rPr>
              <w:t>场地雨水、</w:t>
            </w:r>
            <w:r>
              <w:rPr>
                <w:rFonts w:hAnsi="宋体"/>
                <w:snapToGrid w:val="0"/>
                <w:color w:val="auto"/>
                <w:sz w:val="24"/>
                <w:szCs w:val="24"/>
              </w:rPr>
              <w:t>车辆清洗废水、基坑废水</w:t>
            </w:r>
            <w:r>
              <w:rPr>
                <w:snapToGrid w:val="0"/>
                <w:color w:val="auto"/>
                <w:sz w:val="24"/>
                <w:szCs w:val="24"/>
              </w:rPr>
              <w:t>)</w:t>
            </w:r>
            <w:r>
              <w:rPr>
                <w:rFonts w:hAnsi="宋体"/>
                <w:snapToGrid w:val="0"/>
                <w:color w:val="auto"/>
                <w:sz w:val="24"/>
                <w:szCs w:val="24"/>
              </w:rPr>
              <w:t>及员工生活污水。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2"/>
              </w:rPr>
            </w:pPr>
            <w:r>
              <w:rPr>
                <w:rFonts w:hAnsi="宋体"/>
                <w:color w:val="auto"/>
                <w:sz w:val="24"/>
                <w:szCs w:val="22"/>
              </w:rPr>
              <w:t>（</w:t>
            </w:r>
            <w:r>
              <w:rPr>
                <w:color w:val="auto"/>
                <w:sz w:val="24"/>
                <w:szCs w:val="22"/>
              </w:rPr>
              <w:t>1</w:t>
            </w:r>
            <w:r>
              <w:rPr>
                <w:rFonts w:hAnsi="宋体"/>
                <w:color w:val="auto"/>
                <w:sz w:val="24"/>
                <w:szCs w:val="22"/>
              </w:rPr>
              <w:t>）降尘用水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2"/>
              </w:rPr>
            </w:pPr>
            <w:r>
              <w:rPr>
                <w:rFonts w:hAnsi="宋体"/>
                <w:color w:val="auto"/>
                <w:sz w:val="24"/>
                <w:szCs w:val="22"/>
              </w:rPr>
              <w:t>本工程降尘用水包括对工程范围内区域性洒水降尘及对重要产尘点洒水降尘。</w:t>
            </w:r>
            <w:r>
              <w:rPr>
                <w:rFonts w:hAnsi="宋体"/>
                <w:color w:val="auto"/>
                <w:sz w:val="24"/>
                <w:szCs w:val="22"/>
                <w:u w:val="single"/>
              </w:rPr>
              <w:t>降尘用水量参考</w:t>
            </w:r>
            <w:r>
              <w:rPr>
                <w:color w:val="auto"/>
                <w:sz w:val="24"/>
                <w:szCs w:val="22"/>
                <w:u w:val="single"/>
              </w:rPr>
              <w:t>“</w:t>
            </w:r>
            <w:r>
              <w:rPr>
                <w:rFonts w:hAnsi="宋体"/>
                <w:color w:val="auto"/>
                <w:sz w:val="24"/>
                <w:szCs w:val="22"/>
                <w:u w:val="single"/>
              </w:rPr>
              <w:t>浇洒道路和场地</w:t>
            </w:r>
            <w:r>
              <w:rPr>
                <w:color w:val="auto"/>
                <w:sz w:val="24"/>
                <w:szCs w:val="22"/>
                <w:u w:val="single"/>
              </w:rPr>
              <w:t>”</w:t>
            </w:r>
            <w:r>
              <w:rPr>
                <w:rFonts w:hAnsi="宋体"/>
                <w:color w:val="auto"/>
                <w:sz w:val="24"/>
                <w:szCs w:val="22"/>
                <w:u w:val="single"/>
              </w:rPr>
              <w:t>用水定额取</w:t>
            </w:r>
            <w:r>
              <w:rPr>
                <w:color w:val="auto"/>
                <w:sz w:val="24"/>
                <w:szCs w:val="22"/>
                <w:u w:val="single"/>
              </w:rPr>
              <w:t>1.2L/m</w:t>
            </w:r>
            <w:r>
              <w:rPr>
                <w:color w:val="auto"/>
                <w:sz w:val="24"/>
                <w:szCs w:val="22"/>
                <w:u w:val="single"/>
                <w:vertAlign w:val="superscript"/>
              </w:rPr>
              <w:t>2</w:t>
            </w:r>
            <w:r>
              <w:rPr>
                <w:rFonts w:hAnsi="宋体"/>
                <w:color w:val="auto"/>
                <w:sz w:val="24"/>
                <w:szCs w:val="22"/>
                <w:u w:val="single"/>
              </w:rPr>
              <w:t>，本项目土壤修复区面积</w:t>
            </w:r>
            <w:r>
              <w:rPr>
                <w:rFonts w:hint="eastAsia"/>
                <w:color w:val="auto"/>
                <w:sz w:val="24"/>
                <w:szCs w:val="22"/>
                <w:u w:val="single"/>
              </w:rPr>
              <w:t>13539.777</w:t>
            </w:r>
            <w:r>
              <w:rPr>
                <w:color w:val="auto"/>
                <w:sz w:val="24"/>
                <w:szCs w:val="22"/>
                <w:u w:val="single"/>
              </w:rPr>
              <w:t>m</w:t>
            </w:r>
            <w:r>
              <w:rPr>
                <w:color w:val="auto"/>
                <w:sz w:val="24"/>
                <w:szCs w:val="22"/>
                <w:u w:val="single"/>
                <w:vertAlign w:val="superscript"/>
              </w:rPr>
              <w:t>2</w:t>
            </w:r>
            <w:r>
              <w:rPr>
                <w:rFonts w:hAnsi="宋体"/>
                <w:color w:val="auto"/>
                <w:sz w:val="24"/>
                <w:szCs w:val="22"/>
                <w:u w:val="single"/>
              </w:rPr>
              <w:t>，</w:t>
            </w:r>
            <w:r>
              <w:rPr>
                <w:rFonts w:hint="eastAsia" w:hAnsi="宋体"/>
                <w:color w:val="auto"/>
                <w:sz w:val="24"/>
                <w:szCs w:val="22"/>
                <w:u w:val="single"/>
              </w:rPr>
              <w:t>合格土壤临时堆置</w:t>
            </w:r>
            <w:r>
              <w:rPr>
                <w:rFonts w:hAnsi="宋体"/>
                <w:color w:val="auto"/>
                <w:sz w:val="24"/>
                <w:szCs w:val="22"/>
                <w:u w:val="single"/>
              </w:rPr>
              <w:t>面积</w:t>
            </w:r>
            <w:r>
              <w:rPr>
                <w:rFonts w:hint="eastAsia"/>
                <w:color w:val="auto"/>
                <w:sz w:val="24"/>
                <w:szCs w:val="22"/>
                <w:u w:val="single"/>
              </w:rPr>
              <w:t>300</w:t>
            </w:r>
            <w:r>
              <w:rPr>
                <w:color w:val="auto"/>
                <w:sz w:val="24"/>
                <w:szCs w:val="22"/>
                <w:u w:val="single"/>
              </w:rPr>
              <w:t>m</w:t>
            </w:r>
            <w:r>
              <w:rPr>
                <w:color w:val="auto"/>
                <w:sz w:val="24"/>
                <w:szCs w:val="22"/>
                <w:u w:val="single"/>
                <w:vertAlign w:val="superscript"/>
              </w:rPr>
              <w:t>2</w:t>
            </w:r>
            <w:r>
              <w:rPr>
                <w:rFonts w:hAnsi="宋体"/>
                <w:color w:val="auto"/>
                <w:sz w:val="24"/>
                <w:szCs w:val="22"/>
                <w:u w:val="single"/>
              </w:rPr>
              <w:t>，一日洒水</w:t>
            </w:r>
            <w:r>
              <w:rPr>
                <w:color w:val="auto"/>
                <w:sz w:val="24"/>
                <w:szCs w:val="22"/>
                <w:u w:val="single"/>
              </w:rPr>
              <w:t>6</w:t>
            </w:r>
            <w:r>
              <w:rPr>
                <w:rFonts w:hAnsi="宋体"/>
                <w:color w:val="auto"/>
                <w:sz w:val="24"/>
                <w:szCs w:val="22"/>
                <w:u w:val="single"/>
              </w:rPr>
              <w:t>次，按土壤修复期</w:t>
            </w:r>
            <w:r>
              <w:rPr>
                <w:rFonts w:hint="eastAsia"/>
                <w:color w:val="auto"/>
                <w:sz w:val="24"/>
                <w:szCs w:val="22"/>
                <w:u w:val="single"/>
              </w:rPr>
              <w:t>80</w:t>
            </w:r>
            <w:r>
              <w:rPr>
                <w:rFonts w:hAnsi="宋体"/>
                <w:color w:val="auto"/>
                <w:sz w:val="24"/>
                <w:szCs w:val="22"/>
                <w:u w:val="single"/>
              </w:rPr>
              <w:t>天计，则降尘用水量约</w:t>
            </w:r>
            <w:r>
              <w:rPr>
                <w:rFonts w:hint="eastAsia"/>
                <w:color w:val="auto"/>
                <w:sz w:val="24"/>
                <w:szCs w:val="22"/>
                <w:u w:val="single"/>
              </w:rPr>
              <w:t>93.437</w:t>
            </w:r>
            <w:r>
              <w:rPr>
                <w:color w:val="auto"/>
                <w:sz w:val="24"/>
                <w:u w:val="single"/>
                <w:lang w:val="zh-CN"/>
              </w:rPr>
              <w:t>m</w:t>
            </w:r>
            <w:r>
              <w:rPr>
                <w:color w:val="auto"/>
                <w:sz w:val="24"/>
                <w:u w:val="single"/>
                <w:vertAlign w:val="superscript"/>
                <w:lang w:val="zh-CN"/>
              </w:rPr>
              <w:t>3</w:t>
            </w:r>
            <w:r>
              <w:rPr>
                <w:color w:val="auto"/>
                <w:sz w:val="24"/>
                <w:u w:val="single"/>
                <w:lang w:val="zh-CN"/>
              </w:rPr>
              <w:t>/d</w:t>
            </w:r>
            <w:r>
              <w:rPr>
                <w:rFonts w:hAnsi="宋体"/>
                <w:color w:val="auto"/>
                <w:sz w:val="24"/>
                <w:szCs w:val="22"/>
                <w:u w:val="single"/>
              </w:rPr>
              <w:t>，合计</w:t>
            </w:r>
            <w:r>
              <w:rPr>
                <w:rFonts w:hint="eastAsia"/>
                <w:color w:val="auto"/>
                <w:sz w:val="24"/>
                <w:szCs w:val="22"/>
                <w:u w:val="single"/>
              </w:rPr>
              <w:t>7474.96</w:t>
            </w:r>
            <w:r>
              <w:rPr>
                <w:color w:val="auto"/>
                <w:sz w:val="24"/>
                <w:u w:val="single"/>
                <w:lang w:val="zh-CN"/>
              </w:rPr>
              <w:t>m</w:t>
            </w:r>
            <w:r>
              <w:rPr>
                <w:color w:val="auto"/>
                <w:sz w:val="24"/>
                <w:u w:val="single"/>
                <w:vertAlign w:val="superscript"/>
                <w:lang w:val="zh-CN"/>
              </w:rPr>
              <w:t>3</w:t>
            </w:r>
            <w:r>
              <w:rPr>
                <w:rFonts w:hAnsi="宋体"/>
                <w:color w:val="auto"/>
                <w:sz w:val="24"/>
                <w:szCs w:val="22"/>
                <w:u w:val="single"/>
              </w:rPr>
              <w:t>。降尘用水全部蒸发损耗，不外排。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rFonts w:hAnsi="宋体"/>
                <w:color w:val="auto"/>
                <w:sz w:val="24"/>
              </w:rPr>
              <w:t>（</w:t>
            </w:r>
            <w:r>
              <w:rPr>
                <w:color w:val="auto"/>
                <w:sz w:val="24"/>
              </w:rPr>
              <w:t>2</w:t>
            </w:r>
            <w:r>
              <w:rPr>
                <w:rFonts w:hAnsi="宋体"/>
                <w:color w:val="auto"/>
                <w:sz w:val="24"/>
              </w:rPr>
              <w:t>）车辆清洗废水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lang w:eastAsia="zh-CN"/>
              </w:rPr>
            </w:pPr>
            <w:r>
              <w:rPr>
                <w:rFonts w:hAnsi="宋体"/>
                <w:color w:val="auto"/>
                <w:sz w:val="24"/>
                <w:szCs w:val="22"/>
                <w:u w:val="single"/>
              </w:rPr>
              <w:t>项目施工机械每天需清洗的数量为</w:t>
            </w:r>
            <w:r>
              <w:rPr>
                <w:color w:val="auto"/>
                <w:sz w:val="24"/>
                <w:szCs w:val="22"/>
                <w:u w:val="single"/>
              </w:rPr>
              <w:t>7</w:t>
            </w:r>
            <w:r>
              <w:rPr>
                <w:rFonts w:hAnsi="宋体"/>
                <w:color w:val="auto"/>
                <w:sz w:val="24"/>
                <w:szCs w:val="22"/>
                <w:u w:val="single"/>
              </w:rPr>
              <w:t>台，包括</w:t>
            </w:r>
            <w:r>
              <w:rPr>
                <w:color w:val="auto"/>
                <w:sz w:val="24"/>
                <w:szCs w:val="22"/>
                <w:u w:val="single"/>
              </w:rPr>
              <w:t>3</w:t>
            </w:r>
            <w:r>
              <w:rPr>
                <w:rFonts w:hAnsi="宋体"/>
                <w:color w:val="auto"/>
                <w:sz w:val="24"/>
                <w:szCs w:val="22"/>
                <w:u w:val="single"/>
              </w:rPr>
              <w:t>台挖机和</w:t>
            </w:r>
            <w:r>
              <w:rPr>
                <w:color w:val="auto"/>
                <w:sz w:val="24"/>
                <w:szCs w:val="22"/>
                <w:u w:val="single"/>
              </w:rPr>
              <w:t>4</w:t>
            </w:r>
            <w:r>
              <w:rPr>
                <w:rFonts w:hAnsi="宋体"/>
                <w:color w:val="auto"/>
                <w:sz w:val="24"/>
                <w:szCs w:val="22"/>
                <w:u w:val="single"/>
              </w:rPr>
              <w:t>台运输车。挖机、货车车清洗用水量约</w:t>
            </w:r>
            <w:r>
              <w:rPr>
                <w:color w:val="auto"/>
                <w:sz w:val="24"/>
                <w:szCs w:val="22"/>
                <w:u w:val="single"/>
              </w:rPr>
              <w:t>100L/</w:t>
            </w:r>
            <w:r>
              <w:rPr>
                <w:rFonts w:hAnsi="宋体"/>
                <w:color w:val="auto"/>
                <w:sz w:val="24"/>
                <w:szCs w:val="22"/>
                <w:u w:val="single"/>
              </w:rPr>
              <w:t>辆</w:t>
            </w:r>
            <w:r>
              <w:rPr>
                <w:color w:val="auto"/>
                <w:sz w:val="24"/>
                <w:szCs w:val="22"/>
                <w:u w:val="single"/>
              </w:rPr>
              <w:t>·</w:t>
            </w:r>
            <w:r>
              <w:rPr>
                <w:rFonts w:hAnsi="宋体"/>
                <w:color w:val="auto"/>
                <w:sz w:val="24"/>
                <w:szCs w:val="22"/>
                <w:u w:val="single"/>
              </w:rPr>
              <w:t>次，按土壤开挖、修复</w:t>
            </w:r>
            <w:r>
              <w:rPr>
                <w:color w:val="auto"/>
                <w:sz w:val="24"/>
                <w:szCs w:val="22"/>
                <w:u w:val="single"/>
              </w:rPr>
              <w:t>75</w:t>
            </w:r>
            <w:r>
              <w:rPr>
                <w:rFonts w:hAnsi="宋体"/>
                <w:color w:val="auto"/>
                <w:sz w:val="24"/>
                <w:szCs w:val="22"/>
                <w:u w:val="single"/>
              </w:rPr>
              <w:t>天计，每天清洗</w:t>
            </w:r>
            <w:r>
              <w:rPr>
                <w:color w:val="auto"/>
                <w:sz w:val="24"/>
                <w:szCs w:val="22"/>
                <w:u w:val="single"/>
              </w:rPr>
              <w:t>2</w:t>
            </w:r>
            <w:r>
              <w:rPr>
                <w:rFonts w:hAnsi="宋体"/>
                <w:color w:val="auto"/>
                <w:sz w:val="24"/>
                <w:szCs w:val="22"/>
                <w:u w:val="single"/>
              </w:rPr>
              <w:t>次，则车辆冲洗用水量为</w:t>
            </w:r>
            <w:r>
              <w:rPr>
                <w:color w:val="auto"/>
                <w:sz w:val="24"/>
                <w:szCs w:val="22"/>
                <w:u w:val="single"/>
              </w:rPr>
              <w:t>1.4</w:t>
            </w:r>
            <w:r>
              <w:rPr>
                <w:color w:val="auto"/>
                <w:sz w:val="24"/>
                <w:u w:val="single"/>
                <w:lang w:val="zh-CN"/>
              </w:rPr>
              <w:t>m</w:t>
            </w:r>
            <w:r>
              <w:rPr>
                <w:color w:val="auto"/>
                <w:sz w:val="24"/>
                <w:u w:val="single"/>
                <w:vertAlign w:val="superscript"/>
                <w:lang w:val="zh-CN"/>
              </w:rPr>
              <w:t>3</w:t>
            </w:r>
            <w:r>
              <w:rPr>
                <w:color w:val="auto"/>
                <w:sz w:val="24"/>
                <w:u w:val="single"/>
                <w:lang w:val="zh-CN"/>
              </w:rPr>
              <w:t>/d</w:t>
            </w:r>
            <w:r>
              <w:rPr>
                <w:rFonts w:hAnsi="宋体"/>
                <w:color w:val="auto"/>
                <w:sz w:val="24"/>
                <w:szCs w:val="22"/>
                <w:u w:val="single"/>
              </w:rPr>
              <w:t>，共</w:t>
            </w:r>
            <w:r>
              <w:rPr>
                <w:color w:val="auto"/>
                <w:sz w:val="24"/>
                <w:szCs w:val="22"/>
                <w:u w:val="single"/>
              </w:rPr>
              <w:t>105</w:t>
            </w:r>
            <w:r>
              <w:rPr>
                <w:color w:val="auto"/>
                <w:sz w:val="24"/>
                <w:u w:val="single"/>
                <w:lang w:val="zh-CN"/>
              </w:rPr>
              <w:t>m</w:t>
            </w:r>
            <w:r>
              <w:rPr>
                <w:color w:val="auto"/>
                <w:sz w:val="24"/>
                <w:u w:val="single"/>
                <w:vertAlign w:val="superscript"/>
                <w:lang w:val="zh-CN"/>
              </w:rPr>
              <w:t>3</w:t>
            </w:r>
            <w:r>
              <w:rPr>
                <w:rFonts w:hAnsi="宋体"/>
                <w:color w:val="auto"/>
                <w:sz w:val="24"/>
                <w:szCs w:val="22"/>
                <w:u w:val="single"/>
              </w:rPr>
              <w:t>，废水产污系数按</w:t>
            </w:r>
            <w:r>
              <w:rPr>
                <w:color w:val="auto"/>
                <w:sz w:val="24"/>
                <w:szCs w:val="22"/>
                <w:u w:val="single"/>
              </w:rPr>
              <w:t>0.8</w:t>
            </w:r>
            <w:r>
              <w:rPr>
                <w:rFonts w:hAnsi="宋体"/>
                <w:color w:val="auto"/>
                <w:sz w:val="24"/>
                <w:szCs w:val="22"/>
                <w:u w:val="single"/>
              </w:rPr>
              <w:t>计，则洗车废水产生量为</w:t>
            </w:r>
            <w:r>
              <w:rPr>
                <w:color w:val="auto"/>
                <w:sz w:val="24"/>
                <w:szCs w:val="22"/>
                <w:u w:val="single"/>
              </w:rPr>
              <w:t>1.12</w:t>
            </w:r>
            <w:r>
              <w:rPr>
                <w:color w:val="auto"/>
                <w:sz w:val="24"/>
                <w:u w:val="single"/>
                <w:lang w:val="zh-CN"/>
              </w:rPr>
              <w:t>m</w:t>
            </w:r>
            <w:r>
              <w:rPr>
                <w:color w:val="auto"/>
                <w:sz w:val="24"/>
                <w:u w:val="single"/>
                <w:vertAlign w:val="superscript"/>
                <w:lang w:val="zh-CN"/>
              </w:rPr>
              <w:t>3</w:t>
            </w:r>
            <w:r>
              <w:rPr>
                <w:color w:val="auto"/>
                <w:sz w:val="24"/>
                <w:u w:val="single"/>
                <w:lang w:val="zh-CN"/>
              </w:rPr>
              <w:t>/d</w:t>
            </w:r>
            <w:r>
              <w:rPr>
                <w:rFonts w:hAnsi="宋体"/>
                <w:color w:val="auto"/>
                <w:sz w:val="24"/>
                <w:szCs w:val="22"/>
                <w:u w:val="single"/>
              </w:rPr>
              <w:t>，共</w:t>
            </w:r>
            <w:r>
              <w:rPr>
                <w:color w:val="auto"/>
                <w:sz w:val="24"/>
                <w:szCs w:val="22"/>
                <w:u w:val="single"/>
              </w:rPr>
              <w:t>84</w:t>
            </w:r>
            <w:r>
              <w:rPr>
                <w:color w:val="auto"/>
                <w:sz w:val="24"/>
                <w:u w:val="single"/>
                <w:lang w:val="zh-CN"/>
              </w:rPr>
              <w:t>m</w:t>
            </w:r>
            <w:r>
              <w:rPr>
                <w:color w:val="auto"/>
                <w:sz w:val="24"/>
                <w:u w:val="single"/>
                <w:vertAlign w:val="superscript"/>
                <w:lang w:val="zh-CN"/>
              </w:rPr>
              <w:t>3</w:t>
            </w:r>
            <w:r>
              <w:rPr>
                <w:rFonts w:hAnsi="宋体"/>
                <w:color w:val="auto"/>
                <w:sz w:val="24"/>
                <w:szCs w:val="22"/>
                <w:u w:val="single"/>
              </w:rPr>
              <w:t>。</w:t>
            </w:r>
            <w:r>
              <w:rPr>
                <w:rFonts w:hint="eastAsia" w:hAnsi="宋体"/>
                <w:color w:val="0000FF"/>
                <w:sz w:val="24"/>
                <w:szCs w:val="22"/>
                <w:u w:val="single"/>
                <w:lang w:eastAsia="zh-CN"/>
              </w:rPr>
              <w:t>根据相关资料可知，车辆清洗废水主要污染物为</w:t>
            </w:r>
            <w:r>
              <w:rPr>
                <w:rFonts w:hint="eastAsia" w:hAnsi="宋体"/>
                <w:color w:val="0000FF"/>
                <w:sz w:val="24"/>
                <w:szCs w:val="22"/>
                <w:u w:val="single"/>
                <w:lang w:val="en-US" w:eastAsia="zh-CN"/>
              </w:rPr>
              <w:t>SS、石油类，其浓度分别为500mg/L、25mg/L，产生量分别约为0.042t、0.002t，尽管六六六、滴滴涕不溶于水，但仍有可能本项目车辆清洗废水中含有极少量的六六六、滴滴涕。根据类似项目可知，本项目废水经两重沉淀后，SS、石油类浓度约为75mg/L、5mg/L，SS约为0.006t、石油类约为0.0004t，采用槽车转运至污水处理厂或企业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2"/>
              </w:rPr>
            </w:pPr>
            <w:r>
              <w:rPr>
                <w:rFonts w:hAnsi="宋体"/>
                <w:color w:val="auto"/>
                <w:sz w:val="24"/>
                <w:szCs w:val="22"/>
              </w:rPr>
              <w:t>（</w:t>
            </w:r>
            <w:r>
              <w:rPr>
                <w:color w:val="auto"/>
                <w:sz w:val="24"/>
                <w:szCs w:val="22"/>
              </w:rPr>
              <w:t>3</w:t>
            </w:r>
            <w:r>
              <w:rPr>
                <w:rFonts w:hAnsi="宋体"/>
                <w:color w:val="auto"/>
                <w:sz w:val="24"/>
                <w:szCs w:val="22"/>
              </w:rPr>
              <w:t>）</w:t>
            </w:r>
            <w:r>
              <w:rPr>
                <w:rFonts w:hint="eastAsia" w:hAnsi="宋体"/>
                <w:color w:val="auto"/>
                <w:sz w:val="24"/>
                <w:szCs w:val="22"/>
              </w:rPr>
              <w:t>场地雨水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auto"/>
                <w:sz w:val="24"/>
                <w:szCs w:val="22"/>
              </w:rPr>
              <w:t>项目施工</w:t>
            </w:r>
            <w:r>
              <w:rPr>
                <w:rFonts w:hAnsi="宋体"/>
                <w:color w:val="auto"/>
                <w:sz w:val="24"/>
                <w:szCs w:val="22"/>
              </w:rPr>
              <w:t>基坑废水主要</w:t>
            </w:r>
            <w:r>
              <w:rPr>
                <w:rFonts w:hint="eastAsia" w:hAnsi="宋体"/>
                <w:color w:val="auto"/>
                <w:sz w:val="24"/>
                <w:szCs w:val="22"/>
              </w:rPr>
              <w:t>由</w:t>
            </w:r>
            <w:r>
              <w:rPr>
                <w:rFonts w:hAnsi="宋体"/>
                <w:color w:val="auto"/>
                <w:sz w:val="24"/>
                <w:szCs w:val="22"/>
              </w:rPr>
              <w:t>厂区内</w:t>
            </w:r>
            <w:r>
              <w:rPr>
                <w:rFonts w:hint="eastAsia" w:hAnsi="宋体"/>
                <w:color w:val="auto"/>
                <w:sz w:val="24"/>
                <w:szCs w:val="22"/>
              </w:rPr>
              <w:t>降雨</w:t>
            </w:r>
            <w:r>
              <w:rPr>
                <w:rFonts w:hAnsi="宋体"/>
                <w:color w:val="auto"/>
                <w:sz w:val="24"/>
                <w:szCs w:val="22"/>
              </w:rPr>
              <w:t>积水、开挖时抽取的上层滞水</w:t>
            </w:r>
            <w:r>
              <w:rPr>
                <w:rFonts w:hint="eastAsia" w:hAnsi="宋体"/>
                <w:color w:val="auto"/>
                <w:sz w:val="24"/>
                <w:szCs w:val="22"/>
              </w:rPr>
              <w:t>等组成，废水量包含在场地雨水量中</w:t>
            </w:r>
            <w:r>
              <w:rPr>
                <w:rFonts w:hAnsi="宋体"/>
                <w:color w:val="auto"/>
                <w:sz w:val="24"/>
                <w:szCs w:val="22"/>
              </w:rPr>
              <w:t>。</w:t>
            </w:r>
            <w:r>
              <w:rPr>
                <w:rFonts w:ascii="宋体" w:hAnsi="宋体"/>
                <w:color w:val="auto"/>
                <w:sz w:val="24"/>
              </w:rPr>
              <w:t>场地雨水是在降雨形成地面径流后10</w:t>
            </w:r>
            <w:r>
              <w:rPr>
                <w:rFonts w:hint="eastAsia" w:ascii="宋体" w:hAnsi="宋体"/>
                <w:color w:val="auto"/>
                <w:sz w:val="24"/>
              </w:rPr>
              <w:t>～30</w:t>
            </w:r>
            <w:r>
              <w:rPr>
                <w:rFonts w:ascii="宋体" w:hAnsi="宋体"/>
                <w:color w:val="auto"/>
                <w:sz w:val="24"/>
              </w:rPr>
              <w:t>min的污染较大的雨水量。场地雨水与气象条件密切相关，具有间歇性、时间间隔变化大等特点。</w:t>
            </w:r>
            <w:r>
              <w:rPr>
                <w:rFonts w:hAnsi="宋体"/>
                <w:color w:val="auto"/>
                <w:sz w:val="24"/>
                <w:szCs w:val="22"/>
              </w:rPr>
              <w:t>根据</w:t>
            </w:r>
            <w:r>
              <w:rPr>
                <w:rFonts w:hAnsi="宋体"/>
                <w:color w:val="auto"/>
                <w:sz w:val="24"/>
              </w:rPr>
              <w:t>《</w:t>
            </w:r>
            <w:r>
              <w:rPr>
                <w:rFonts w:hint="eastAsia" w:hAnsi="宋体"/>
                <w:color w:val="auto"/>
                <w:sz w:val="24"/>
              </w:rPr>
              <w:t>平江县原三阳乡化学农药厂污染土壤治理项目</w:t>
            </w:r>
            <w:r>
              <w:rPr>
                <w:rFonts w:hAnsi="宋体"/>
                <w:color w:val="auto"/>
                <w:sz w:val="24"/>
              </w:rPr>
              <w:t>实施方案》</w:t>
            </w:r>
            <w:r>
              <w:rPr>
                <w:color w:val="auto"/>
                <w:sz w:val="24"/>
              </w:rPr>
              <w:t>(</w:t>
            </w:r>
            <w:r>
              <w:rPr>
                <w:rFonts w:hAnsi="宋体"/>
                <w:color w:val="auto"/>
                <w:sz w:val="24"/>
              </w:rPr>
              <w:t>湖南</w:t>
            </w:r>
            <w:r>
              <w:rPr>
                <w:rFonts w:hint="eastAsia" w:hAnsi="宋体"/>
                <w:color w:val="auto"/>
                <w:sz w:val="24"/>
              </w:rPr>
              <w:t>先瑞环境</w:t>
            </w:r>
            <w:r>
              <w:rPr>
                <w:rFonts w:hAnsi="宋体"/>
                <w:color w:val="auto"/>
                <w:sz w:val="24"/>
              </w:rPr>
              <w:t>科技</w:t>
            </w:r>
            <w:r>
              <w:rPr>
                <w:rFonts w:hAnsi="宋体"/>
                <w:color w:val="auto"/>
                <w:sz w:val="24"/>
                <w:szCs w:val="22"/>
              </w:rPr>
              <w:t>有限公司，</w:t>
            </w:r>
            <w:r>
              <w:rPr>
                <w:color w:val="auto"/>
                <w:sz w:val="24"/>
                <w:szCs w:val="22"/>
              </w:rPr>
              <w:t>2017</w:t>
            </w:r>
            <w:r>
              <w:rPr>
                <w:rFonts w:hAnsi="宋体"/>
                <w:color w:val="auto"/>
                <w:sz w:val="24"/>
                <w:szCs w:val="22"/>
              </w:rPr>
              <w:t>年</w:t>
            </w:r>
            <w:r>
              <w:rPr>
                <w:rFonts w:hint="eastAsia"/>
                <w:color w:val="auto"/>
                <w:sz w:val="24"/>
                <w:szCs w:val="22"/>
              </w:rPr>
              <w:t>2</w:t>
            </w:r>
            <w:r>
              <w:rPr>
                <w:rFonts w:hAnsi="宋体"/>
                <w:color w:val="auto"/>
                <w:sz w:val="24"/>
                <w:szCs w:val="22"/>
              </w:rPr>
              <w:t>月</w:t>
            </w:r>
            <w:r>
              <w:rPr>
                <w:color w:val="auto"/>
                <w:sz w:val="24"/>
                <w:szCs w:val="22"/>
              </w:rPr>
              <w:t>)</w:t>
            </w:r>
            <w:r>
              <w:rPr>
                <w:rFonts w:hAnsi="宋体"/>
                <w:color w:val="auto"/>
                <w:sz w:val="24"/>
                <w:szCs w:val="22"/>
              </w:rPr>
              <w:t>，</w:t>
            </w:r>
            <w:r>
              <w:rPr>
                <w:rFonts w:hint="eastAsia" w:hAnsi="宋体"/>
                <w:color w:val="auto"/>
                <w:sz w:val="24"/>
                <w:szCs w:val="22"/>
              </w:rPr>
              <w:t>场地雨水量与</w:t>
            </w:r>
            <w:r>
              <w:rPr>
                <w:rFonts w:hAnsi="宋体"/>
                <w:color w:val="auto"/>
                <w:sz w:val="24"/>
                <w:szCs w:val="22"/>
              </w:rPr>
              <w:t>当地多年降雨量及</w:t>
            </w:r>
            <w:r>
              <w:rPr>
                <w:rFonts w:hint="eastAsia" w:hAnsi="宋体"/>
                <w:color w:val="auto"/>
                <w:sz w:val="24"/>
                <w:szCs w:val="22"/>
              </w:rPr>
              <w:t>项目场地</w:t>
            </w:r>
            <w:r>
              <w:rPr>
                <w:rFonts w:hAnsi="宋体"/>
                <w:color w:val="auto"/>
                <w:sz w:val="24"/>
                <w:szCs w:val="22"/>
              </w:rPr>
              <w:t>面积</w:t>
            </w:r>
            <w:r>
              <w:rPr>
                <w:rFonts w:hint="eastAsia" w:hAnsi="宋体"/>
                <w:color w:val="auto"/>
                <w:sz w:val="24"/>
                <w:szCs w:val="22"/>
              </w:rPr>
              <w:t>有关。</w:t>
            </w:r>
            <w:r>
              <w:rPr>
                <w:rFonts w:hAnsi="宋体"/>
                <w:color w:val="auto"/>
                <w:sz w:val="24"/>
                <w:szCs w:val="22"/>
                <w:u w:val="single"/>
              </w:rPr>
              <w:t>岳阳市年降水量</w:t>
            </w:r>
            <w:r>
              <w:rPr>
                <w:color w:val="auto"/>
                <w:sz w:val="24"/>
                <w:szCs w:val="22"/>
                <w:u w:val="single"/>
              </w:rPr>
              <w:t>1289.8</w:t>
            </w:r>
            <w:r>
              <w:rPr>
                <w:rFonts w:hAnsi="宋体"/>
                <w:color w:val="auto"/>
                <w:sz w:val="24"/>
                <w:u w:val="single"/>
              </w:rPr>
              <w:t>〜</w:t>
            </w:r>
            <w:r>
              <w:rPr>
                <w:color w:val="auto"/>
                <w:sz w:val="24"/>
                <w:szCs w:val="22"/>
                <w:u w:val="single"/>
              </w:rPr>
              <w:t>1556.2mm</w:t>
            </w:r>
            <w:r>
              <w:rPr>
                <w:rFonts w:hAnsi="宋体"/>
                <w:color w:val="auto"/>
                <w:sz w:val="24"/>
                <w:u w:val="single"/>
              </w:rPr>
              <w:t>，降雨量取</w:t>
            </w:r>
            <w:r>
              <w:rPr>
                <w:rFonts w:hint="eastAsia"/>
                <w:color w:val="auto"/>
                <w:sz w:val="24"/>
                <w:szCs w:val="22"/>
                <w:u w:val="single"/>
              </w:rPr>
              <w:t>1418</w:t>
            </w:r>
            <w:r>
              <w:rPr>
                <w:color w:val="auto"/>
                <w:sz w:val="24"/>
                <w:szCs w:val="22"/>
                <w:u w:val="single"/>
              </w:rPr>
              <w:t>mm</w:t>
            </w:r>
            <w:r>
              <w:rPr>
                <w:rFonts w:hint="eastAsia" w:hAnsi="宋体"/>
                <w:color w:val="auto"/>
                <w:sz w:val="24"/>
                <w:u w:val="single"/>
              </w:rPr>
              <w:t>，一期降雨量约为年降雨量3%，</w:t>
            </w:r>
            <w:r>
              <w:rPr>
                <w:rFonts w:hint="eastAsia" w:hAnsi="宋体"/>
                <w:color w:val="auto"/>
                <w:sz w:val="24"/>
                <w:u w:val="single"/>
                <w:lang w:eastAsia="zh-CN"/>
              </w:rPr>
              <w:t>按</w:t>
            </w:r>
            <w:r>
              <w:rPr>
                <w:rFonts w:hint="eastAsia" w:hAnsi="宋体"/>
                <w:color w:val="auto"/>
                <w:sz w:val="24"/>
                <w:u w:val="single"/>
              </w:rPr>
              <w:t>项目</w:t>
            </w:r>
            <w:r>
              <w:rPr>
                <w:rFonts w:hint="eastAsia" w:hAnsi="宋体"/>
                <w:color w:val="auto"/>
                <w:sz w:val="24"/>
                <w:u w:val="single"/>
                <w:lang w:eastAsia="zh-CN"/>
              </w:rPr>
              <w:t>土壤修复面积</w:t>
            </w:r>
            <w:r>
              <w:rPr>
                <w:rFonts w:hint="eastAsia"/>
                <w:snapToGrid w:val="0"/>
                <w:color w:val="auto"/>
                <w:kern w:val="0"/>
                <w:sz w:val="24"/>
                <w:u w:val="single"/>
                <w:lang w:eastAsia="zh-CN"/>
              </w:rPr>
              <w:t>13539.777</w:t>
            </w:r>
            <w:r>
              <w:rPr>
                <w:snapToGrid w:val="0"/>
                <w:color w:val="auto"/>
                <w:kern w:val="0"/>
                <w:sz w:val="24"/>
                <w:u w:val="single"/>
              </w:rPr>
              <w:t>m</w:t>
            </w:r>
            <w:r>
              <w:rPr>
                <w:snapToGrid w:val="0"/>
                <w:color w:val="auto"/>
                <w:kern w:val="0"/>
                <w:sz w:val="24"/>
                <w:u w:val="single"/>
                <w:vertAlign w:val="superscript"/>
              </w:rPr>
              <w:t>2</w:t>
            </w:r>
            <w:r>
              <w:rPr>
                <w:rFonts w:hint="eastAsia"/>
                <w:snapToGrid w:val="0"/>
                <w:color w:val="auto"/>
                <w:kern w:val="0"/>
                <w:sz w:val="24"/>
                <w:u w:val="single"/>
                <w:lang w:eastAsia="zh-CN"/>
              </w:rPr>
              <w:t>计，</w:t>
            </w:r>
            <w:r>
              <w:rPr>
                <w:rFonts w:hint="eastAsia" w:hAnsi="宋体"/>
                <w:color w:val="auto"/>
                <w:sz w:val="24"/>
                <w:u w:val="single"/>
              </w:rPr>
              <w:t>则项目施工期场地雨水量：</w:t>
            </w:r>
            <w:r>
              <w:rPr>
                <w:rFonts w:hint="eastAsia"/>
                <w:snapToGrid w:val="0"/>
                <w:color w:val="auto"/>
                <w:kern w:val="0"/>
                <w:sz w:val="24"/>
                <w:u w:val="single"/>
                <w:lang w:eastAsia="zh-CN"/>
              </w:rPr>
              <w:t>13539.777</w:t>
            </w:r>
            <w:r>
              <w:rPr>
                <w:snapToGrid w:val="0"/>
                <w:color w:val="auto"/>
                <w:kern w:val="0"/>
                <w:sz w:val="24"/>
                <w:u w:val="single"/>
              </w:rPr>
              <w:t>m</w:t>
            </w:r>
            <w:r>
              <w:rPr>
                <w:snapToGrid w:val="0"/>
                <w:color w:val="auto"/>
                <w:kern w:val="0"/>
                <w:sz w:val="24"/>
                <w:u w:val="single"/>
                <w:vertAlign w:val="superscript"/>
              </w:rPr>
              <w:t>2</w:t>
            </w:r>
            <w:r>
              <w:rPr>
                <w:rFonts w:hint="eastAsia"/>
                <w:snapToGrid w:val="0"/>
                <w:color w:val="auto"/>
                <w:kern w:val="0"/>
                <w:sz w:val="24"/>
                <w:u w:val="single"/>
              </w:rPr>
              <w:t>×1418mm×5%=</w:t>
            </w:r>
            <w:r>
              <w:rPr>
                <w:rFonts w:hint="eastAsia"/>
                <w:snapToGrid w:val="0"/>
                <w:color w:val="auto"/>
                <w:kern w:val="0"/>
                <w:sz w:val="24"/>
                <w:u w:val="single"/>
                <w:lang w:eastAsia="zh-CN"/>
              </w:rPr>
              <w:t>960</w:t>
            </w:r>
            <w:r>
              <w:rPr>
                <w:rFonts w:hint="eastAsia"/>
                <w:snapToGrid w:val="0"/>
                <w:color w:val="auto"/>
                <w:kern w:val="0"/>
                <w:sz w:val="24"/>
                <w:u w:val="single"/>
              </w:rPr>
              <w:t>m</w:t>
            </w:r>
            <w:r>
              <w:rPr>
                <w:rFonts w:hint="eastAsia"/>
                <w:snapToGrid w:val="0"/>
                <w:color w:val="auto"/>
                <w:kern w:val="0"/>
                <w:sz w:val="24"/>
                <w:u w:val="single"/>
                <w:vertAlign w:val="superscript"/>
              </w:rPr>
              <w:t>3</w:t>
            </w:r>
            <w:r>
              <w:rPr>
                <w:rFonts w:hint="eastAsia"/>
                <w:snapToGrid w:val="0"/>
                <w:color w:val="auto"/>
                <w:kern w:val="0"/>
                <w:sz w:val="24"/>
                <w:u w:val="single"/>
              </w:rPr>
              <w:t>。</w:t>
            </w:r>
            <w:r>
              <w:rPr>
                <w:rFonts w:hint="eastAsia"/>
                <w:snapToGrid w:val="0"/>
                <w:color w:val="auto"/>
                <w:kern w:val="0"/>
                <w:sz w:val="24"/>
                <w:u w:val="single"/>
                <w:lang w:eastAsia="zh-CN"/>
              </w:rPr>
              <w:t>建议</w:t>
            </w:r>
            <w:r>
              <w:rPr>
                <w:rFonts w:hint="eastAsia"/>
                <w:snapToGrid w:val="0"/>
                <w:color w:val="auto"/>
                <w:kern w:val="0"/>
                <w:sz w:val="24"/>
                <w:u w:val="single"/>
              </w:rPr>
              <w:t>设置一座</w:t>
            </w:r>
            <w:r>
              <w:rPr>
                <w:rFonts w:hint="eastAsia"/>
                <w:snapToGrid w:val="0"/>
                <w:color w:val="auto"/>
                <w:kern w:val="0"/>
                <w:sz w:val="24"/>
                <w:u w:val="single"/>
                <w:lang w:eastAsia="zh-CN"/>
              </w:rPr>
              <w:t>1000</w:t>
            </w:r>
            <w:r>
              <w:rPr>
                <w:color w:val="auto"/>
                <w:sz w:val="24"/>
                <w:szCs w:val="22"/>
                <w:u w:val="single"/>
              </w:rPr>
              <w:t xml:space="preserve"> m</w:t>
            </w:r>
            <w:r>
              <w:rPr>
                <w:color w:val="auto"/>
                <w:sz w:val="24"/>
                <w:szCs w:val="22"/>
                <w:u w:val="single"/>
                <w:vertAlign w:val="superscript"/>
              </w:rPr>
              <w:t>3</w:t>
            </w:r>
            <w:r>
              <w:rPr>
                <w:rFonts w:hint="eastAsia"/>
                <w:color w:val="auto"/>
                <w:sz w:val="24"/>
                <w:szCs w:val="22"/>
                <w:u w:val="single"/>
              </w:rPr>
              <w:t>的雨水收集池，同时设置收集系统，做好防渗工作，雨水经沉淀后部分回用于泼洒抑尘，</w:t>
            </w:r>
            <w:r>
              <w:rPr>
                <w:rFonts w:hint="eastAsia"/>
                <w:color w:val="auto"/>
                <w:sz w:val="24"/>
                <w:szCs w:val="22"/>
                <w:u w:val="single"/>
                <w:lang w:eastAsia="zh-CN"/>
              </w:rPr>
              <w:t>回用</w:t>
            </w:r>
            <w:r>
              <w:rPr>
                <w:rFonts w:hint="eastAsia"/>
                <w:color w:val="auto"/>
                <w:sz w:val="24"/>
                <w:szCs w:val="22"/>
                <w:u w:val="single"/>
              </w:rPr>
              <w:t>泼洒抑尘</w:t>
            </w:r>
            <w:r>
              <w:rPr>
                <w:rFonts w:hint="eastAsia"/>
                <w:color w:val="auto"/>
                <w:sz w:val="24"/>
                <w:szCs w:val="22"/>
                <w:u w:val="single"/>
                <w:lang w:eastAsia="zh-CN"/>
              </w:rPr>
              <w:t>按</w:t>
            </w:r>
            <w:r>
              <w:rPr>
                <w:rFonts w:hint="eastAsia"/>
                <w:color w:val="auto"/>
                <w:sz w:val="24"/>
                <w:szCs w:val="22"/>
                <w:u w:val="single"/>
                <w:lang w:val="en-US" w:eastAsia="zh-CN"/>
              </w:rPr>
              <w:t>200m³计，</w:t>
            </w:r>
            <w:r>
              <w:rPr>
                <w:rFonts w:hint="eastAsia"/>
                <w:color w:val="auto"/>
                <w:sz w:val="24"/>
                <w:szCs w:val="22"/>
                <w:u w:val="single"/>
              </w:rPr>
              <w:t>剩余排入污水管网</w:t>
            </w:r>
            <w:r>
              <w:rPr>
                <w:rFonts w:hint="eastAsia"/>
                <w:color w:val="auto"/>
                <w:sz w:val="24"/>
                <w:szCs w:val="22"/>
                <w:u w:val="single"/>
                <w:lang w:eastAsia="zh-CN"/>
              </w:rPr>
              <w:t>，则场地雨水废水约</w:t>
            </w:r>
            <w:r>
              <w:rPr>
                <w:rFonts w:hint="eastAsia"/>
                <w:color w:val="auto"/>
                <w:sz w:val="24"/>
                <w:szCs w:val="22"/>
                <w:u w:val="single"/>
                <w:lang w:val="en-US" w:eastAsia="zh-CN"/>
              </w:rPr>
              <w:t>760m³。项目场地雨水污染物主要为SS，其浓度约为500</w:t>
            </w:r>
            <w:r>
              <w:rPr>
                <w:rFonts w:hint="eastAsia" w:hAnsi="宋体"/>
                <w:color w:val="0000FF"/>
                <w:sz w:val="24"/>
                <w:szCs w:val="22"/>
                <w:u w:val="single"/>
                <w:lang w:val="en-US" w:eastAsia="zh-CN"/>
              </w:rPr>
              <w:t>mg/L，产生量约为0.38t。尽管六六六、滴滴涕不溶于水，但在仍有可能本项目场地雨水中含有极少量的六六六、滴滴涕。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rPr>
            </w:pPr>
            <w:r>
              <w:rPr>
                <w:rFonts w:hint="eastAsia" w:hAnsi="宋体"/>
                <w:color w:val="0000FF"/>
                <w:sz w:val="24"/>
                <w:szCs w:val="22"/>
                <w:u w:val="single"/>
                <w:lang w:val="en-US" w:eastAsia="zh-CN"/>
              </w:rPr>
              <w:t>根据类似项目可知，本项目场地雨水经两重沉淀后，SS浓度约为75mg/L，SS约为0.057t。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eastAsia="宋体"/>
                <w:color w:val="0000FF"/>
                <w:sz w:val="24"/>
                <w:szCs w:val="22"/>
                <w:u w:val="single"/>
                <w:lang w:eastAsia="zh-CN"/>
              </w:rPr>
            </w:pPr>
            <w:r>
              <w:rPr>
                <w:rFonts w:hint="eastAsia" w:hAnsi="宋体"/>
                <w:color w:val="0000FF"/>
                <w:sz w:val="24"/>
                <w:szCs w:val="22"/>
                <w:u w:val="single"/>
                <w:lang w:eastAsia="zh-CN"/>
              </w:rPr>
              <w:t>（</w:t>
            </w:r>
            <w:r>
              <w:rPr>
                <w:rFonts w:hint="eastAsia" w:hAnsi="宋体"/>
                <w:color w:val="0000FF"/>
                <w:sz w:val="24"/>
                <w:szCs w:val="22"/>
                <w:u w:val="single"/>
                <w:lang w:val="en-US" w:eastAsia="zh-CN"/>
              </w:rPr>
              <w:t>4</w:t>
            </w:r>
            <w:r>
              <w:rPr>
                <w:rFonts w:hint="eastAsia" w:hAnsi="宋体"/>
                <w:color w:val="0000FF"/>
                <w:sz w:val="24"/>
                <w:szCs w:val="22"/>
                <w:u w:val="single"/>
                <w:lang w:eastAsia="zh-CN"/>
              </w:rPr>
              <w:t>）</w:t>
            </w:r>
            <w:r>
              <w:rPr>
                <w:rFonts w:hAnsi="宋体"/>
                <w:color w:val="0000FF"/>
                <w:sz w:val="24"/>
                <w:szCs w:val="22"/>
                <w:u w:val="single"/>
              </w:rPr>
              <w:t>基坑废水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Ansi="宋体"/>
                <w:color w:val="0000FF"/>
                <w:sz w:val="24"/>
                <w:szCs w:val="22"/>
                <w:u w:val="single"/>
              </w:rPr>
            </w:pPr>
            <w:r>
              <w:rPr>
                <w:rFonts w:hint="eastAsia" w:hAnsi="宋体"/>
                <w:color w:val="0000FF"/>
                <w:sz w:val="24"/>
                <w:szCs w:val="22"/>
                <w:u w:val="single"/>
              </w:rPr>
              <w:t>根据当地水位约2.5-3.5m深，根据开挖深度及土壤孔隙比，基坑降水约为3000</w:t>
            </w:r>
            <w:r>
              <w:rPr>
                <w:rFonts w:hint="eastAsia"/>
                <w:snapToGrid w:val="0"/>
                <w:color w:val="0000FF"/>
                <w:kern w:val="0"/>
                <w:sz w:val="24"/>
                <w:u w:val="single"/>
              </w:rPr>
              <w:t xml:space="preserve"> m</w:t>
            </w:r>
            <w:r>
              <w:rPr>
                <w:rFonts w:hint="eastAsia"/>
                <w:snapToGrid w:val="0"/>
                <w:color w:val="0000FF"/>
                <w:kern w:val="0"/>
                <w:sz w:val="24"/>
                <w:u w:val="single"/>
                <w:vertAlign w:val="superscript"/>
              </w:rPr>
              <w:t>3</w:t>
            </w:r>
            <w:r>
              <w:rPr>
                <w:rFonts w:hint="eastAsia"/>
                <w:snapToGrid w:val="0"/>
                <w:color w:val="0000FF"/>
                <w:kern w:val="0"/>
                <w:sz w:val="24"/>
                <w:u w:val="single"/>
                <w:vertAlign w:val="baseline"/>
                <w:lang w:eastAsia="zh-CN"/>
              </w:rPr>
              <w:t>。</w:t>
            </w:r>
            <w:r>
              <w:rPr>
                <w:color w:val="0000FF"/>
                <w:sz w:val="24"/>
                <w:szCs w:val="22"/>
                <w:u w:val="single"/>
              </w:rPr>
              <w:t>沉淀后</w:t>
            </w:r>
            <w:r>
              <w:rPr>
                <w:rFonts w:hint="eastAsia"/>
                <w:color w:val="0000FF"/>
                <w:sz w:val="24"/>
                <w:szCs w:val="22"/>
                <w:u w:val="single"/>
              </w:rPr>
              <w:t>部分回用于泼洒抑尘，</w:t>
            </w:r>
            <w:r>
              <w:rPr>
                <w:rFonts w:hint="eastAsia"/>
                <w:color w:val="0000FF"/>
                <w:sz w:val="24"/>
                <w:szCs w:val="22"/>
                <w:u w:val="single"/>
                <w:lang w:eastAsia="zh-CN"/>
              </w:rPr>
              <w:t>回用</w:t>
            </w:r>
            <w:r>
              <w:rPr>
                <w:rFonts w:hint="eastAsia"/>
                <w:color w:val="0000FF"/>
                <w:sz w:val="24"/>
                <w:szCs w:val="22"/>
                <w:u w:val="single"/>
              </w:rPr>
              <w:t>泼洒抑尘</w:t>
            </w:r>
            <w:r>
              <w:rPr>
                <w:rFonts w:hint="eastAsia"/>
                <w:color w:val="0000FF"/>
                <w:sz w:val="24"/>
                <w:szCs w:val="22"/>
                <w:u w:val="single"/>
                <w:lang w:eastAsia="zh-CN"/>
              </w:rPr>
              <w:t>按</w:t>
            </w:r>
            <w:r>
              <w:rPr>
                <w:rFonts w:hint="eastAsia"/>
                <w:color w:val="0000FF"/>
                <w:sz w:val="24"/>
                <w:szCs w:val="22"/>
                <w:u w:val="single"/>
                <w:lang w:val="en-US" w:eastAsia="zh-CN"/>
              </w:rPr>
              <w:t>600m³计，</w:t>
            </w:r>
            <w:r>
              <w:rPr>
                <w:rFonts w:hint="eastAsia"/>
                <w:color w:val="0000FF"/>
                <w:sz w:val="24"/>
                <w:szCs w:val="22"/>
                <w:u w:val="single"/>
              </w:rPr>
              <w:t>剩余排入污水管网</w:t>
            </w:r>
            <w:r>
              <w:rPr>
                <w:rFonts w:hint="eastAsia"/>
                <w:color w:val="0000FF"/>
                <w:sz w:val="24"/>
                <w:szCs w:val="22"/>
                <w:u w:val="single"/>
                <w:lang w:eastAsia="zh-CN"/>
              </w:rPr>
              <w:t>，则基坑废水产生量约</w:t>
            </w:r>
            <w:r>
              <w:rPr>
                <w:rFonts w:hint="eastAsia"/>
                <w:color w:val="0000FF"/>
                <w:sz w:val="24"/>
                <w:szCs w:val="22"/>
                <w:u w:val="single"/>
                <w:lang w:val="en-US" w:eastAsia="zh-CN"/>
              </w:rPr>
              <w:t>2400m³</w:t>
            </w:r>
            <w:r>
              <w:rPr>
                <w:rFonts w:hint="eastAsia"/>
                <w:color w:val="0000FF"/>
                <w:sz w:val="24"/>
                <w:szCs w:val="22"/>
                <w:u w:val="single"/>
              </w:rPr>
              <w:t>。</w:t>
            </w:r>
            <w:r>
              <w:rPr>
                <w:rFonts w:hint="eastAsia"/>
                <w:color w:val="0000FF"/>
                <w:sz w:val="24"/>
                <w:szCs w:val="22"/>
                <w:u w:val="single"/>
                <w:lang w:eastAsia="zh-CN"/>
              </w:rPr>
              <w:t>由于基坑废水主要为渗透水，因此污染物</w:t>
            </w:r>
            <w:r>
              <w:rPr>
                <w:rFonts w:hint="eastAsia"/>
                <w:color w:val="0000FF"/>
                <w:sz w:val="24"/>
                <w:szCs w:val="22"/>
                <w:u w:val="single"/>
                <w:lang w:val="en-US" w:eastAsia="zh-CN"/>
              </w:rPr>
              <w:t>SS极低。虽然根据《场地调查报告》可知，本项目地下水未检测到</w:t>
            </w:r>
            <w:r>
              <w:rPr>
                <w:rFonts w:hint="eastAsia" w:hAnsi="宋体"/>
                <w:color w:val="0000FF"/>
                <w:sz w:val="24"/>
                <w:szCs w:val="22"/>
                <w:u w:val="single"/>
                <w:lang w:val="en-US" w:eastAsia="zh-CN"/>
              </w:rPr>
              <w:t>六六六、滴滴涕，但在仍有可能本项目基坑废水中含有极少量的六六六、滴滴涕。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color w:val="auto"/>
                <w:sz w:val="24"/>
              </w:rPr>
              <w:t>(</w:t>
            </w:r>
            <w:r>
              <w:rPr>
                <w:rFonts w:hint="eastAsia"/>
                <w:color w:val="auto"/>
                <w:sz w:val="24"/>
                <w:lang w:val="en-US" w:eastAsia="zh-CN"/>
              </w:rPr>
              <w:t>5</w:t>
            </w:r>
            <w:r>
              <w:rPr>
                <w:color w:val="auto"/>
                <w:sz w:val="24"/>
              </w:rPr>
              <w:t xml:space="preserve">) </w:t>
            </w:r>
            <w:r>
              <w:rPr>
                <w:rFonts w:hAnsi="宋体"/>
                <w:color w:val="auto"/>
                <w:sz w:val="24"/>
              </w:rPr>
              <w:t>生活污水</w:t>
            </w:r>
          </w:p>
          <w:p>
            <w:pPr>
              <w:keepNext w:val="0"/>
              <w:keepLines w:val="0"/>
              <w:pageBreakBefore w:val="0"/>
              <w:widowControl w:val="0"/>
              <w:tabs>
                <w:tab w:val="left" w:pos="3600"/>
              </w:tabs>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rFonts w:hAnsi="宋体"/>
                <w:color w:val="auto"/>
                <w:sz w:val="24"/>
                <w:u w:val="single"/>
              </w:rPr>
              <w:t>项目共有员工</w:t>
            </w:r>
            <w:r>
              <w:rPr>
                <w:color w:val="auto"/>
                <w:sz w:val="24"/>
                <w:u w:val="single"/>
              </w:rPr>
              <w:t>20</w:t>
            </w:r>
            <w:r>
              <w:rPr>
                <w:rFonts w:hAnsi="宋体"/>
                <w:color w:val="auto"/>
                <w:sz w:val="24"/>
                <w:u w:val="single"/>
              </w:rPr>
              <w:t>人，均不在厂内食宿，</w:t>
            </w:r>
            <w:r>
              <w:rPr>
                <w:rFonts w:hAnsi="宋体"/>
                <w:color w:val="auto"/>
                <w:sz w:val="24"/>
                <w:u w:val="single"/>
                <w:lang w:val="zh-CN"/>
              </w:rPr>
              <w:t>参考《湖南省用水定额》（</w:t>
            </w:r>
            <w:r>
              <w:rPr>
                <w:color w:val="auto"/>
                <w:sz w:val="24"/>
                <w:u w:val="single"/>
                <w:lang w:val="zh-CN"/>
              </w:rPr>
              <w:t>DB43/T 388-2014</w:t>
            </w:r>
            <w:r>
              <w:rPr>
                <w:rFonts w:hAnsi="宋体"/>
                <w:color w:val="auto"/>
                <w:sz w:val="24"/>
                <w:u w:val="single"/>
                <w:lang w:val="zh-CN"/>
              </w:rPr>
              <w:t>），不住厂员工按</w:t>
            </w:r>
            <w:r>
              <w:rPr>
                <w:color w:val="auto"/>
                <w:sz w:val="24"/>
                <w:u w:val="single"/>
                <w:lang w:val="zh-CN"/>
              </w:rPr>
              <w:t>45L/</w:t>
            </w:r>
            <w:r>
              <w:rPr>
                <w:rFonts w:hAnsi="宋体"/>
                <w:color w:val="auto"/>
                <w:sz w:val="24"/>
                <w:u w:val="single"/>
                <w:lang w:val="zh-CN"/>
              </w:rPr>
              <w:t>人</w:t>
            </w:r>
            <w:r>
              <w:rPr>
                <w:color w:val="auto"/>
                <w:sz w:val="24"/>
                <w:u w:val="single"/>
                <w:lang w:val="zh-CN"/>
              </w:rPr>
              <w:t>·d</w:t>
            </w:r>
            <w:r>
              <w:rPr>
                <w:rFonts w:hAnsi="宋体"/>
                <w:color w:val="auto"/>
                <w:sz w:val="24"/>
                <w:u w:val="single"/>
                <w:lang w:val="zh-CN"/>
              </w:rPr>
              <w:t>计，则员工用水量为</w:t>
            </w:r>
            <w:r>
              <w:rPr>
                <w:color w:val="auto"/>
                <w:sz w:val="24"/>
                <w:u w:val="single"/>
                <w:lang w:val="zh-CN"/>
              </w:rPr>
              <w:t>0.9m</w:t>
            </w:r>
            <w:r>
              <w:rPr>
                <w:color w:val="auto"/>
                <w:sz w:val="24"/>
                <w:u w:val="single"/>
                <w:vertAlign w:val="superscript"/>
                <w:lang w:val="zh-CN"/>
              </w:rPr>
              <w:t>3</w:t>
            </w:r>
            <w:r>
              <w:rPr>
                <w:color w:val="auto"/>
                <w:sz w:val="24"/>
                <w:u w:val="single"/>
                <w:lang w:val="zh-CN"/>
              </w:rPr>
              <w:t>/d(</w:t>
            </w:r>
            <w:r>
              <w:rPr>
                <w:rFonts w:hAnsi="宋体"/>
                <w:color w:val="auto"/>
                <w:sz w:val="24"/>
                <w:u w:val="single"/>
                <w:lang w:val="zh-CN"/>
              </w:rPr>
              <w:t>共计</w:t>
            </w:r>
            <w:r>
              <w:rPr>
                <w:color w:val="auto"/>
                <w:sz w:val="24"/>
                <w:u w:val="single"/>
                <w:lang w:val="zh-CN"/>
              </w:rPr>
              <w:t>108m</w:t>
            </w:r>
            <w:r>
              <w:rPr>
                <w:color w:val="auto"/>
                <w:sz w:val="24"/>
                <w:u w:val="single"/>
                <w:vertAlign w:val="superscript"/>
                <w:lang w:val="zh-CN"/>
              </w:rPr>
              <w:t>3</w:t>
            </w:r>
            <w:r>
              <w:rPr>
                <w:color w:val="auto"/>
                <w:sz w:val="24"/>
                <w:u w:val="single"/>
                <w:lang w:val="zh-CN"/>
              </w:rPr>
              <w:t>)</w:t>
            </w:r>
            <w:r>
              <w:rPr>
                <w:rFonts w:hAnsi="宋体"/>
                <w:color w:val="auto"/>
                <w:sz w:val="24"/>
                <w:u w:val="single"/>
                <w:lang w:val="zh-CN"/>
              </w:rPr>
              <w:t>。排放量按</w:t>
            </w:r>
            <w:r>
              <w:rPr>
                <w:color w:val="auto"/>
                <w:sz w:val="24"/>
                <w:u w:val="single"/>
                <w:lang w:val="zh-CN"/>
              </w:rPr>
              <w:t>80%</w:t>
            </w:r>
            <w:r>
              <w:rPr>
                <w:rFonts w:hAnsi="宋体"/>
                <w:color w:val="auto"/>
                <w:sz w:val="24"/>
                <w:u w:val="single"/>
                <w:lang w:val="zh-CN"/>
              </w:rPr>
              <w:t>计算，则生活污水产生量为</w:t>
            </w:r>
            <w:bookmarkStart w:id="12" w:name="OLE_LINK4"/>
            <w:bookmarkStart w:id="13" w:name="OLE_LINK3"/>
            <w:r>
              <w:rPr>
                <w:color w:val="auto"/>
                <w:sz w:val="24"/>
                <w:u w:val="single"/>
                <w:lang w:val="zh-CN"/>
              </w:rPr>
              <w:t>0.72m</w:t>
            </w:r>
            <w:r>
              <w:rPr>
                <w:color w:val="auto"/>
                <w:sz w:val="24"/>
                <w:u w:val="single"/>
                <w:vertAlign w:val="superscript"/>
                <w:lang w:val="zh-CN"/>
              </w:rPr>
              <w:t>3</w:t>
            </w:r>
            <w:r>
              <w:rPr>
                <w:color w:val="auto"/>
                <w:sz w:val="24"/>
                <w:u w:val="single"/>
                <w:lang w:val="zh-CN"/>
              </w:rPr>
              <w:t>/d(</w:t>
            </w:r>
            <w:r>
              <w:rPr>
                <w:rFonts w:hAnsi="宋体"/>
                <w:color w:val="auto"/>
                <w:sz w:val="24"/>
                <w:u w:val="single"/>
                <w:lang w:val="zh-CN"/>
              </w:rPr>
              <w:t>共计</w:t>
            </w:r>
            <w:r>
              <w:rPr>
                <w:color w:val="auto"/>
                <w:sz w:val="24"/>
                <w:u w:val="single"/>
                <w:lang w:val="zh-CN"/>
              </w:rPr>
              <w:t>86.4m</w:t>
            </w:r>
            <w:r>
              <w:rPr>
                <w:color w:val="auto"/>
                <w:sz w:val="24"/>
                <w:u w:val="single"/>
                <w:vertAlign w:val="superscript"/>
                <w:lang w:val="zh-CN"/>
              </w:rPr>
              <w:t>3</w:t>
            </w:r>
            <w:r>
              <w:rPr>
                <w:color w:val="auto"/>
                <w:sz w:val="24"/>
                <w:u w:val="single"/>
                <w:lang w:val="zh-CN"/>
              </w:rPr>
              <w:t>)</w:t>
            </w:r>
            <w:bookmarkEnd w:id="12"/>
            <w:bookmarkEnd w:id="13"/>
            <w:r>
              <w:rPr>
                <w:rFonts w:hAnsi="宋体"/>
                <w:color w:val="auto"/>
                <w:sz w:val="24"/>
                <w:u w:val="single"/>
                <w:lang w:val="zh-CN"/>
              </w:rPr>
              <w:t>。</w:t>
            </w:r>
            <w:r>
              <w:rPr>
                <w:rFonts w:hAnsi="宋体"/>
                <w:color w:val="auto"/>
                <w:sz w:val="24"/>
                <w:lang w:val="zh-CN"/>
              </w:rPr>
              <w:t>项目生活污水经隔油隔渣</w:t>
            </w:r>
            <w:r>
              <w:rPr>
                <w:color w:val="auto"/>
                <w:sz w:val="24"/>
                <w:lang w:val="zh-CN"/>
              </w:rPr>
              <w:t>+</w:t>
            </w:r>
            <w:r>
              <w:rPr>
                <w:rFonts w:hAnsi="宋体"/>
                <w:color w:val="auto"/>
                <w:sz w:val="24"/>
                <w:lang w:val="zh-CN"/>
              </w:rPr>
              <w:t>化粪池预处理后，</w:t>
            </w:r>
            <w:r>
              <w:rPr>
                <w:rFonts w:hAnsi="宋体"/>
                <w:color w:val="auto"/>
                <w:sz w:val="24"/>
              </w:rPr>
              <w:t>由周边农户运作农肥，不外排。项目生活污水水质及水量情况见表</w:t>
            </w:r>
            <w:r>
              <w:rPr>
                <w:rFonts w:hint="eastAsia"/>
                <w:color w:val="auto"/>
                <w:sz w:val="24"/>
              </w:rPr>
              <w:t>3</w:t>
            </w:r>
            <w:r>
              <w:rPr>
                <w:rFonts w:hint="eastAsia"/>
                <w:color w:val="auto"/>
                <w:sz w:val="24"/>
                <w:lang w:val="en-US" w:eastAsia="zh-CN"/>
              </w:rPr>
              <w:t>2</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w:t>
            </w:r>
            <w:r>
              <w:rPr>
                <w:rFonts w:hint="eastAsia" w:hAnsi="宋体"/>
                <w:b/>
                <w:bCs/>
                <w:color w:val="auto"/>
                <w:u w:val="single"/>
              </w:rPr>
              <w:t>3</w:t>
            </w:r>
            <w:r>
              <w:rPr>
                <w:rFonts w:hint="eastAsia" w:hAnsi="宋体"/>
                <w:b/>
                <w:bCs/>
                <w:color w:val="auto"/>
                <w:u w:val="single"/>
                <w:lang w:val="en-US" w:eastAsia="zh-CN"/>
              </w:rPr>
              <w:t xml:space="preserve">2  </w:t>
            </w:r>
            <w:r>
              <w:rPr>
                <w:rFonts w:hAnsi="宋体"/>
                <w:b/>
                <w:bCs/>
                <w:color w:val="auto"/>
                <w:u w:val="single"/>
              </w:rPr>
              <w:t>项目生活污水水质及水量情况</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12"/>
              <w:gridCol w:w="1204"/>
              <w:gridCol w:w="1821"/>
              <w:gridCol w:w="1309"/>
              <w:gridCol w:w="1715"/>
              <w:gridCol w:w="15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名称</w:t>
                  </w: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水量</w:t>
                  </w:r>
                  <w:r>
                    <w:rPr>
                      <w:color w:val="auto"/>
                      <w:szCs w:val="21"/>
                    </w:rPr>
                    <w:t>t</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产生浓度</w:t>
                  </w:r>
                  <w:r>
                    <w:rPr>
                      <w:color w:val="auto"/>
                      <w:szCs w:val="21"/>
                    </w:rPr>
                    <w:t>(mg/L)</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产生量</w:t>
                  </w:r>
                  <w:r>
                    <w:rPr>
                      <w:color w:val="auto"/>
                      <w:szCs w:val="21"/>
                    </w:rPr>
                    <w:t>(t)</w:t>
                  </w:r>
                </w:p>
              </w:tc>
              <w:tc>
                <w:tcPr>
                  <w:tcW w:w="17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削减量</w:t>
                  </w:r>
                  <w:r>
                    <w:rPr>
                      <w:color w:val="auto"/>
                      <w:szCs w:val="21"/>
                    </w:rPr>
                    <w:t>(t/a)</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rFonts w:hAnsi="宋体"/>
                      <w:color w:val="auto"/>
                      <w:szCs w:val="21"/>
                    </w:rPr>
                    <w:t>排放量</w:t>
                  </w:r>
                  <w:r>
                    <w:rPr>
                      <w:color w:val="auto"/>
                      <w:szCs w:val="21"/>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COD</w:t>
                  </w:r>
                  <w:r>
                    <w:rPr>
                      <w:color w:val="auto"/>
                      <w:szCs w:val="21"/>
                      <w:vertAlign w:val="subscript"/>
                    </w:rPr>
                    <w:t>Cr</w:t>
                  </w:r>
                </w:p>
              </w:tc>
              <w:tc>
                <w:tcPr>
                  <w:tcW w:w="120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86.4</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250</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0.022</w:t>
                  </w:r>
                </w:p>
              </w:tc>
              <w:tc>
                <w:tcPr>
                  <w:tcW w:w="17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0.022</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BOD</w:t>
                  </w:r>
                  <w:r>
                    <w:rPr>
                      <w:color w:val="auto"/>
                      <w:szCs w:val="21"/>
                      <w:vertAlign w:val="subscript"/>
                    </w:rPr>
                    <w:t>5</w:t>
                  </w:r>
                </w:p>
              </w:tc>
              <w:tc>
                <w:tcPr>
                  <w:tcW w:w="12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180</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0.016</w:t>
                  </w:r>
                </w:p>
              </w:tc>
              <w:tc>
                <w:tcPr>
                  <w:tcW w:w="17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0.016</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SS</w:t>
                  </w:r>
                </w:p>
              </w:tc>
              <w:tc>
                <w:tcPr>
                  <w:tcW w:w="12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200</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0.017</w:t>
                  </w:r>
                </w:p>
              </w:tc>
              <w:tc>
                <w:tcPr>
                  <w:tcW w:w="17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0.017</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1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NH</w:t>
                  </w:r>
                  <w:r>
                    <w:rPr>
                      <w:color w:val="auto"/>
                      <w:szCs w:val="21"/>
                      <w:vertAlign w:val="subscript"/>
                    </w:rPr>
                    <w:t>3</w:t>
                  </w:r>
                  <w:r>
                    <w:rPr>
                      <w:color w:val="auto"/>
                      <w:szCs w:val="21"/>
                    </w:rPr>
                    <w:t>-N</w:t>
                  </w:r>
                </w:p>
              </w:tc>
              <w:tc>
                <w:tcPr>
                  <w:tcW w:w="120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30</w:t>
                  </w:r>
                </w:p>
              </w:tc>
              <w:tc>
                <w:tcPr>
                  <w:tcW w:w="13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0.003</w:t>
                  </w:r>
                </w:p>
              </w:tc>
              <w:tc>
                <w:tcPr>
                  <w:tcW w:w="171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0.003</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Cs w:val="21"/>
                    </w:rPr>
                  </w:pPr>
                  <w:r>
                    <w:rPr>
                      <w:color w:val="auto"/>
                      <w:szCs w:val="21"/>
                    </w:rPr>
                    <w:t>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rPr>
            </w:pPr>
            <w:r>
              <w:rPr>
                <w:b/>
                <w:color w:val="auto"/>
                <w:sz w:val="24"/>
                <w:szCs w:val="24"/>
              </w:rPr>
              <w:t>3</w:t>
            </w:r>
            <w:r>
              <w:rPr>
                <w:rFonts w:hAnsi="宋体"/>
                <w:b/>
                <w:color w:val="auto"/>
                <w:sz w:val="24"/>
                <w:szCs w:val="24"/>
              </w:rPr>
              <w:t>、噪声污染源分析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bCs/>
                <w:color w:val="auto"/>
                <w:sz w:val="24"/>
              </w:rPr>
            </w:pPr>
            <w:r>
              <w:rPr>
                <w:rFonts w:hAnsi="宋体"/>
                <w:color w:val="auto"/>
                <w:sz w:val="24"/>
              </w:rPr>
              <w:t>本项目噪声主要来源于挖掘机、筛分机、搅拌机、柴油发电机、运输车辆等生产过程中生产的噪声。项目所用设备噪声级如下</w:t>
            </w:r>
            <w:r>
              <w:rPr>
                <w:rFonts w:hAnsi="宋体"/>
                <w:bCs/>
                <w:color w:val="auto"/>
                <w:sz w:val="24"/>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w:t>
            </w:r>
            <w:r>
              <w:rPr>
                <w:rFonts w:hint="eastAsia" w:hAnsi="宋体"/>
                <w:b/>
                <w:bCs/>
                <w:color w:val="auto"/>
                <w:u w:val="single"/>
              </w:rPr>
              <w:t>3</w:t>
            </w:r>
            <w:r>
              <w:rPr>
                <w:rFonts w:hint="eastAsia" w:hAnsi="宋体"/>
                <w:b/>
                <w:bCs/>
                <w:color w:val="auto"/>
                <w:u w:val="single"/>
                <w:lang w:val="en-US" w:eastAsia="zh-CN"/>
              </w:rPr>
              <w:t xml:space="preserve">3 </w:t>
            </w:r>
            <w:r>
              <w:rPr>
                <w:rFonts w:hint="eastAsia" w:hAnsi="宋体"/>
                <w:b/>
                <w:bCs/>
                <w:color w:val="auto"/>
                <w:u w:val="single"/>
              </w:rPr>
              <w:t xml:space="preserve"> </w:t>
            </w:r>
            <w:r>
              <w:rPr>
                <w:rFonts w:hAnsi="宋体"/>
                <w:b/>
                <w:bCs/>
                <w:color w:val="auto"/>
                <w:u w:val="single"/>
              </w:rPr>
              <w:t>各整体声源的平均噪声级</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036"/>
              <w:gridCol w:w="2583"/>
              <w:gridCol w:w="1907"/>
              <w:gridCol w:w="1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26" w:type="dxa"/>
                  <w:vAlign w:val="center"/>
                </w:tcPr>
                <w:p>
                  <w:pPr>
                    <w:jc w:val="center"/>
                    <w:rPr>
                      <w:color w:val="auto"/>
                      <w:sz w:val="21"/>
                      <w:szCs w:val="21"/>
                    </w:rPr>
                  </w:pPr>
                  <w:r>
                    <w:rPr>
                      <w:rFonts w:hAnsi="宋体"/>
                      <w:color w:val="auto"/>
                      <w:sz w:val="21"/>
                      <w:szCs w:val="21"/>
                    </w:rPr>
                    <w:t>序号</w:t>
                  </w:r>
                </w:p>
              </w:tc>
              <w:tc>
                <w:tcPr>
                  <w:tcW w:w="2036" w:type="dxa"/>
                  <w:vAlign w:val="center"/>
                </w:tcPr>
                <w:p>
                  <w:pPr>
                    <w:jc w:val="center"/>
                    <w:rPr>
                      <w:color w:val="auto"/>
                      <w:sz w:val="21"/>
                      <w:szCs w:val="21"/>
                    </w:rPr>
                  </w:pPr>
                  <w:r>
                    <w:rPr>
                      <w:rFonts w:hAnsi="宋体"/>
                      <w:color w:val="auto"/>
                      <w:sz w:val="21"/>
                      <w:szCs w:val="21"/>
                    </w:rPr>
                    <w:t>声源名称</w:t>
                  </w:r>
                </w:p>
              </w:tc>
              <w:tc>
                <w:tcPr>
                  <w:tcW w:w="2583" w:type="dxa"/>
                  <w:vAlign w:val="center"/>
                </w:tcPr>
                <w:p>
                  <w:pPr>
                    <w:jc w:val="center"/>
                    <w:rPr>
                      <w:color w:val="auto"/>
                      <w:sz w:val="21"/>
                      <w:szCs w:val="21"/>
                    </w:rPr>
                  </w:pPr>
                  <w:r>
                    <w:rPr>
                      <w:rFonts w:hAnsi="宋体"/>
                      <w:color w:val="auto"/>
                      <w:sz w:val="21"/>
                      <w:szCs w:val="21"/>
                    </w:rPr>
                    <w:t>测点离施工机械距离（</w:t>
                  </w:r>
                  <w:r>
                    <w:rPr>
                      <w:color w:val="auto"/>
                      <w:sz w:val="21"/>
                      <w:szCs w:val="21"/>
                    </w:rPr>
                    <w:t>m</w:t>
                  </w:r>
                  <w:r>
                    <w:rPr>
                      <w:rFonts w:hAnsi="宋体"/>
                      <w:color w:val="auto"/>
                      <w:sz w:val="21"/>
                      <w:szCs w:val="21"/>
                    </w:rPr>
                    <w:t>）</w:t>
                  </w:r>
                </w:p>
              </w:tc>
              <w:tc>
                <w:tcPr>
                  <w:tcW w:w="1907" w:type="dxa"/>
                  <w:vAlign w:val="center"/>
                </w:tcPr>
                <w:p>
                  <w:pPr>
                    <w:jc w:val="center"/>
                    <w:rPr>
                      <w:color w:val="auto"/>
                      <w:sz w:val="21"/>
                      <w:szCs w:val="21"/>
                    </w:rPr>
                  </w:pPr>
                  <w:r>
                    <w:rPr>
                      <w:rFonts w:hAnsi="宋体"/>
                      <w:color w:val="auto"/>
                      <w:sz w:val="21"/>
                      <w:szCs w:val="21"/>
                    </w:rPr>
                    <w:t>最大声级（</w:t>
                  </w:r>
                  <w:r>
                    <w:rPr>
                      <w:color w:val="auto"/>
                      <w:sz w:val="21"/>
                      <w:szCs w:val="21"/>
                    </w:rPr>
                    <w:t>dB</w:t>
                  </w:r>
                  <w:r>
                    <w:rPr>
                      <w:rFonts w:hAnsi="宋体"/>
                      <w:color w:val="auto"/>
                      <w:sz w:val="21"/>
                      <w:szCs w:val="21"/>
                    </w:rPr>
                    <w:t>）</w:t>
                  </w:r>
                </w:p>
              </w:tc>
              <w:tc>
                <w:tcPr>
                  <w:tcW w:w="1618" w:type="dxa"/>
                  <w:vAlign w:val="center"/>
                </w:tcPr>
                <w:p>
                  <w:pPr>
                    <w:jc w:val="center"/>
                    <w:rPr>
                      <w:color w:val="auto"/>
                      <w:sz w:val="21"/>
                      <w:szCs w:val="21"/>
                    </w:rPr>
                  </w:pPr>
                  <w:r>
                    <w:rPr>
                      <w:rFonts w:hAnsi="宋体"/>
                      <w:color w:val="auto"/>
                      <w:sz w:val="21"/>
                      <w:szCs w:val="21"/>
                    </w:rPr>
                    <w:t>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26" w:type="dxa"/>
                  <w:vAlign w:val="center"/>
                </w:tcPr>
                <w:p>
                  <w:pPr>
                    <w:jc w:val="center"/>
                    <w:rPr>
                      <w:color w:val="auto"/>
                      <w:sz w:val="21"/>
                      <w:szCs w:val="21"/>
                    </w:rPr>
                  </w:pPr>
                  <w:r>
                    <w:rPr>
                      <w:color w:val="auto"/>
                      <w:sz w:val="21"/>
                      <w:szCs w:val="21"/>
                    </w:rPr>
                    <w:t>1</w:t>
                  </w:r>
                </w:p>
              </w:tc>
              <w:tc>
                <w:tcPr>
                  <w:tcW w:w="2036" w:type="dxa"/>
                  <w:vAlign w:val="center"/>
                </w:tcPr>
                <w:p>
                  <w:pPr>
                    <w:jc w:val="center"/>
                    <w:rPr>
                      <w:color w:val="auto"/>
                      <w:sz w:val="21"/>
                      <w:szCs w:val="21"/>
                    </w:rPr>
                  </w:pPr>
                  <w:r>
                    <w:rPr>
                      <w:rFonts w:hAnsi="宋体"/>
                      <w:color w:val="auto"/>
                      <w:sz w:val="21"/>
                      <w:szCs w:val="21"/>
                    </w:rPr>
                    <w:t>挖掘机</w:t>
                  </w:r>
                </w:p>
              </w:tc>
              <w:tc>
                <w:tcPr>
                  <w:tcW w:w="2583" w:type="dxa"/>
                  <w:vAlign w:val="center"/>
                </w:tcPr>
                <w:p>
                  <w:pPr>
                    <w:jc w:val="center"/>
                    <w:rPr>
                      <w:color w:val="auto"/>
                      <w:sz w:val="21"/>
                      <w:szCs w:val="21"/>
                    </w:rPr>
                  </w:pPr>
                  <w:r>
                    <w:rPr>
                      <w:color w:val="auto"/>
                      <w:sz w:val="21"/>
                      <w:szCs w:val="21"/>
                    </w:rPr>
                    <w:t>5</w:t>
                  </w:r>
                </w:p>
              </w:tc>
              <w:tc>
                <w:tcPr>
                  <w:tcW w:w="1907" w:type="dxa"/>
                  <w:vAlign w:val="center"/>
                </w:tcPr>
                <w:p>
                  <w:pPr>
                    <w:jc w:val="center"/>
                    <w:rPr>
                      <w:color w:val="auto"/>
                      <w:sz w:val="21"/>
                      <w:szCs w:val="21"/>
                    </w:rPr>
                  </w:pPr>
                  <w:r>
                    <w:rPr>
                      <w:color w:val="auto"/>
                      <w:sz w:val="21"/>
                      <w:szCs w:val="21"/>
                    </w:rPr>
                    <w:t>85</w:t>
                  </w:r>
                </w:p>
              </w:tc>
              <w:tc>
                <w:tcPr>
                  <w:tcW w:w="1618" w:type="dxa"/>
                  <w:vAlign w:val="center"/>
                </w:tcPr>
                <w:p>
                  <w:pPr>
                    <w:jc w:val="center"/>
                    <w:rPr>
                      <w:color w:val="auto"/>
                      <w:sz w:val="21"/>
                      <w:szCs w:val="21"/>
                    </w:rPr>
                  </w:pPr>
                  <w:r>
                    <w:rPr>
                      <w:rFonts w:hAnsi="宋体"/>
                      <w:color w:val="auto"/>
                      <w:sz w:val="21"/>
                      <w:szCs w:val="21"/>
                    </w:rPr>
                    <w:t>间歇式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26" w:type="dxa"/>
                  <w:vAlign w:val="center"/>
                </w:tcPr>
                <w:p>
                  <w:pPr>
                    <w:jc w:val="center"/>
                    <w:rPr>
                      <w:color w:val="auto"/>
                      <w:sz w:val="21"/>
                      <w:szCs w:val="21"/>
                    </w:rPr>
                  </w:pPr>
                  <w:r>
                    <w:rPr>
                      <w:color w:val="auto"/>
                      <w:sz w:val="21"/>
                      <w:szCs w:val="21"/>
                    </w:rPr>
                    <w:t>2</w:t>
                  </w:r>
                </w:p>
              </w:tc>
              <w:tc>
                <w:tcPr>
                  <w:tcW w:w="2036" w:type="dxa"/>
                  <w:vAlign w:val="center"/>
                </w:tcPr>
                <w:p>
                  <w:pPr>
                    <w:jc w:val="center"/>
                    <w:rPr>
                      <w:color w:val="auto"/>
                      <w:sz w:val="21"/>
                      <w:szCs w:val="21"/>
                    </w:rPr>
                  </w:pPr>
                  <w:r>
                    <w:rPr>
                      <w:rFonts w:hAnsi="宋体"/>
                      <w:color w:val="auto"/>
                      <w:sz w:val="21"/>
                      <w:szCs w:val="21"/>
                    </w:rPr>
                    <w:t>筛分机</w:t>
                  </w:r>
                </w:p>
              </w:tc>
              <w:tc>
                <w:tcPr>
                  <w:tcW w:w="2583" w:type="dxa"/>
                  <w:vAlign w:val="center"/>
                </w:tcPr>
                <w:p>
                  <w:pPr>
                    <w:jc w:val="center"/>
                    <w:rPr>
                      <w:color w:val="auto"/>
                      <w:sz w:val="21"/>
                      <w:szCs w:val="21"/>
                    </w:rPr>
                  </w:pPr>
                  <w:r>
                    <w:rPr>
                      <w:color w:val="auto"/>
                      <w:sz w:val="21"/>
                      <w:szCs w:val="21"/>
                    </w:rPr>
                    <w:t>1</w:t>
                  </w:r>
                </w:p>
              </w:tc>
              <w:tc>
                <w:tcPr>
                  <w:tcW w:w="1907" w:type="dxa"/>
                  <w:vAlign w:val="center"/>
                </w:tcPr>
                <w:p>
                  <w:pPr>
                    <w:jc w:val="center"/>
                    <w:rPr>
                      <w:color w:val="auto"/>
                      <w:sz w:val="21"/>
                      <w:szCs w:val="21"/>
                    </w:rPr>
                  </w:pPr>
                  <w:r>
                    <w:rPr>
                      <w:color w:val="auto"/>
                      <w:sz w:val="21"/>
                      <w:szCs w:val="21"/>
                    </w:rPr>
                    <w:t>90</w:t>
                  </w:r>
                </w:p>
              </w:tc>
              <w:tc>
                <w:tcPr>
                  <w:tcW w:w="1618" w:type="dxa"/>
                  <w:vAlign w:val="center"/>
                </w:tcPr>
                <w:p>
                  <w:pPr>
                    <w:jc w:val="center"/>
                    <w:rPr>
                      <w:color w:val="auto"/>
                      <w:sz w:val="21"/>
                      <w:szCs w:val="21"/>
                    </w:rPr>
                  </w:pPr>
                  <w:r>
                    <w:rPr>
                      <w:rFonts w:hAnsi="宋体"/>
                      <w:color w:val="auto"/>
                      <w:sz w:val="21"/>
                      <w:szCs w:val="21"/>
                    </w:rPr>
                    <w:t>间歇式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26" w:type="dxa"/>
                  <w:vAlign w:val="center"/>
                </w:tcPr>
                <w:p>
                  <w:pPr>
                    <w:jc w:val="center"/>
                    <w:rPr>
                      <w:color w:val="auto"/>
                      <w:sz w:val="21"/>
                      <w:szCs w:val="21"/>
                    </w:rPr>
                  </w:pPr>
                  <w:r>
                    <w:rPr>
                      <w:color w:val="auto"/>
                      <w:sz w:val="21"/>
                      <w:szCs w:val="21"/>
                    </w:rPr>
                    <w:t>3</w:t>
                  </w:r>
                </w:p>
              </w:tc>
              <w:tc>
                <w:tcPr>
                  <w:tcW w:w="2036" w:type="dxa"/>
                  <w:vAlign w:val="center"/>
                </w:tcPr>
                <w:p>
                  <w:pPr>
                    <w:jc w:val="center"/>
                    <w:rPr>
                      <w:color w:val="auto"/>
                      <w:sz w:val="21"/>
                      <w:szCs w:val="21"/>
                    </w:rPr>
                  </w:pPr>
                  <w:r>
                    <w:rPr>
                      <w:rFonts w:hAnsi="宋体"/>
                      <w:color w:val="auto"/>
                      <w:sz w:val="21"/>
                      <w:szCs w:val="21"/>
                    </w:rPr>
                    <w:t>搅拌机</w:t>
                  </w:r>
                </w:p>
              </w:tc>
              <w:tc>
                <w:tcPr>
                  <w:tcW w:w="2583" w:type="dxa"/>
                  <w:vAlign w:val="center"/>
                </w:tcPr>
                <w:p>
                  <w:pPr>
                    <w:jc w:val="center"/>
                    <w:rPr>
                      <w:color w:val="auto"/>
                      <w:sz w:val="21"/>
                      <w:szCs w:val="21"/>
                    </w:rPr>
                  </w:pPr>
                  <w:r>
                    <w:rPr>
                      <w:color w:val="auto"/>
                      <w:sz w:val="21"/>
                      <w:szCs w:val="21"/>
                    </w:rPr>
                    <w:t>1</w:t>
                  </w:r>
                </w:p>
              </w:tc>
              <w:tc>
                <w:tcPr>
                  <w:tcW w:w="1907" w:type="dxa"/>
                  <w:vAlign w:val="center"/>
                </w:tcPr>
                <w:p>
                  <w:pPr>
                    <w:jc w:val="center"/>
                    <w:rPr>
                      <w:color w:val="auto"/>
                      <w:sz w:val="21"/>
                      <w:szCs w:val="21"/>
                    </w:rPr>
                  </w:pPr>
                  <w:r>
                    <w:rPr>
                      <w:color w:val="auto"/>
                      <w:sz w:val="21"/>
                      <w:szCs w:val="21"/>
                    </w:rPr>
                    <w:t>95</w:t>
                  </w:r>
                </w:p>
              </w:tc>
              <w:tc>
                <w:tcPr>
                  <w:tcW w:w="1618" w:type="dxa"/>
                  <w:vAlign w:val="center"/>
                </w:tcPr>
                <w:p>
                  <w:pPr>
                    <w:jc w:val="center"/>
                    <w:rPr>
                      <w:color w:val="auto"/>
                      <w:sz w:val="21"/>
                      <w:szCs w:val="21"/>
                    </w:rPr>
                  </w:pPr>
                  <w:r>
                    <w:rPr>
                      <w:rFonts w:hAnsi="宋体"/>
                      <w:color w:val="auto"/>
                      <w:sz w:val="21"/>
                      <w:szCs w:val="21"/>
                    </w:rPr>
                    <w:t>持续式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26" w:type="dxa"/>
                  <w:vAlign w:val="center"/>
                </w:tcPr>
                <w:p>
                  <w:pPr>
                    <w:jc w:val="center"/>
                    <w:rPr>
                      <w:color w:val="auto"/>
                      <w:sz w:val="21"/>
                      <w:szCs w:val="21"/>
                    </w:rPr>
                  </w:pPr>
                  <w:r>
                    <w:rPr>
                      <w:color w:val="auto"/>
                      <w:sz w:val="21"/>
                      <w:szCs w:val="21"/>
                    </w:rPr>
                    <w:t>4</w:t>
                  </w:r>
                </w:p>
              </w:tc>
              <w:tc>
                <w:tcPr>
                  <w:tcW w:w="2036" w:type="dxa"/>
                  <w:vAlign w:val="center"/>
                </w:tcPr>
                <w:p>
                  <w:pPr>
                    <w:jc w:val="center"/>
                    <w:rPr>
                      <w:color w:val="auto"/>
                      <w:sz w:val="21"/>
                      <w:szCs w:val="21"/>
                    </w:rPr>
                  </w:pPr>
                  <w:r>
                    <w:rPr>
                      <w:rFonts w:hAnsi="宋体"/>
                      <w:color w:val="auto"/>
                      <w:sz w:val="21"/>
                      <w:szCs w:val="21"/>
                    </w:rPr>
                    <w:t>柴油发电机</w:t>
                  </w:r>
                </w:p>
              </w:tc>
              <w:tc>
                <w:tcPr>
                  <w:tcW w:w="2583" w:type="dxa"/>
                  <w:vAlign w:val="center"/>
                </w:tcPr>
                <w:p>
                  <w:pPr>
                    <w:jc w:val="center"/>
                    <w:rPr>
                      <w:color w:val="auto"/>
                      <w:sz w:val="21"/>
                      <w:szCs w:val="21"/>
                    </w:rPr>
                  </w:pPr>
                  <w:r>
                    <w:rPr>
                      <w:color w:val="auto"/>
                      <w:sz w:val="21"/>
                      <w:szCs w:val="21"/>
                    </w:rPr>
                    <w:t>1</w:t>
                  </w:r>
                </w:p>
              </w:tc>
              <w:tc>
                <w:tcPr>
                  <w:tcW w:w="1907" w:type="dxa"/>
                  <w:vAlign w:val="center"/>
                </w:tcPr>
                <w:p>
                  <w:pPr>
                    <w:jc w:val="center"/>
                    <w:rPr>
                      <w:color w:val="auto"/>
                      <w:sz w:val="21"/>
                      <w:szCs w:val="21"/>
                    </w:rPr>
                  </w:pPr>
                  <w:r>
                    <w:rPr>
                      <w:color w:val="auto"/>
                      <w:sz w:val="21"/>
                      <w:szCs w:val="21"/>
                    </w:rPr>
                    <w:t>90</w:t>
                  </w:r>
                </w:p>
              </w:tc>
              <w:tc>
                <w:tcPr>
                  <w:tcW w:w="1618" w:type="dxa"/>
                  <w:vAlign w:val="center"/>
                </w:tcPr>
                <w:p>
                  <w:pPr>
                    <w:jc w:val="center"/>
                    <w:rPr>
                      <w:color w:val="auto"/>
                      <w:sz w:val="21"/>
                      <w:szCs w:val="21"/>
                    </w:rPr>
                  </w:pPr>
                  <w:r>
                    <w:rPr>
                      <w:rFonts w:hAnsi="宋体"/>
                      <w:color w:val="auto"/>
                      <w:sz w:val="21"/>
                      <w:szCs w:val="21"/>
                    </w:rPr>
                    <w:t>间歇式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926" w:type="dxa"/>
                  <w:vAlign w:val="center"/>
                </w:tcPr>
                <w:p>
                  <w:pPr>
                    <w:jc w:val="center"/>
                    <w:rPr>
                      <w:color w:val="auto"/>
                      <w:sz w:val="21"/>
                      <w:szCs w:val="21"/>
                    </w:rPr>
                  </w:pPr>
                  <w:r>
                    <w:rPr>
                      <w:color w:val="auto"/>
                      <w:sz w:val="21"/>
                      <w:szCs w:val="21"/>
                    </w:rPr>
                    <w:t>5</w:t>
                  </w:r>
                </w:p>
              </w:tc>
              <w:tc>
                <w:tcPr>
                  <w:tcW w:w="2036" w:type="dxa"/>
                  <w:vAlign w:val="center"/>
                </w:tcPr>
                <w:p>
                  <w:pPr>
                    <w:jc w:val="center"/>
                    <w:rPr>
                      <w:color w:val="auto"/>
                      <w:sz w:val="21"/>
                      <w:szCs w:val="21"/>
                    </w:rPr>
                  </w:pPr>
                  <w:r>
                    <w:rPr>
                      <w:rFonts w:hAnsi="宋体"/>
                      <w:color w:val="auto"/>
                      <w:sz w:val="21"/>
                      <w:szCs w:val="21"/>
                    </w:rPr>
                    <w:t>运输车辆</w:t>
                  </w:r>
                </w:p>
              </w:tc>
              <w:tc>
                <w:tcPr>
                  <w:tcW w:w="2583" w:type="dxa"/>
                  <w:vAlign w:val="center"/>
                </w:tcPr>
                <w:p>
                  <w:pPr>
                    <w:jc w:val="center"/>
                    <w:rPr>
                      <w:color w:val="auto"/>
                      <w:sz w:val="21"/>
                      <w:szCs w:val="21"/>
                    </w:rPr>
                  </w:pPr>
                  <w:r>
                    <w:rPr>
                      <w:color w:val="auto"/>
                      <w:sz w:val="21"/>
                      <w:szCs w:val="21"/>
                    </w:rPr>
                    <w:t>1</w:t>
                  </w:r>
                </w:p>
              </w:tc>
              <w:tc>
                <w:tcPr>
                  <w:tcW w:w="1907" w:type="dxa"/>
                  <w:vAlign w:val="center"/>
                </w:tcPr>
                <w:p>
                  <w:pPr>
                    <w:jc w:val="center"/>
                    <w:rPr>
                      <w:color w:val="auto"/>
                      <w:sz w:val="21"/>
                      <w:szCs w:val="21"/>
                    </w:rPr>
                  </w:pPr>
                  <w:r>
                    <w:rPr>
                      <w:rFonts w:hint="eastAsia"/>
                      <w:color w:val="auto"/>
                      <w:sz w:val="21"/>
                      <w:szCs w:val="21"/>
                    </w:rPr>
                    <w:t>85</w:t>
                  </w:r>
                </w:p>
              </w:tc>
              <w:tc>
                <w:tcPr>
                  <w:tcW w:w="1618" w:type="dxa"/>
                  <w:vAlign w:val="center"/>
                </w:tcPr>
                <w:p>
                  <w:pPr>
                    <w:jc w:val="center"/>
                    <w:rPr>
                      <w:color w:val="auto"/>
                      <w:sz w:val="21"/>
                      <w:szCs w:val="21"/>
                    </w:rPr>
                  </w:pPr>
                  <w:r>
                    <w:rPr>
                      <w:rFonts w:hAnsi="宋体"/>
                      <w:color w:val="auto"/>
                      <w:sz w:val="21"/>
                      <w:szCs w:val="21"/>
                    </w:rPr>
                    <w:t>间歇式</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left"/>
              <w:textAlignment w:val="auto"/>
              <w:outlineLvl w:val="9"/>
              <w:rPr>
                <w:b/>
                <w:color w:val="auto"/>
                <w:sz w:val="24"/>
                <w:szCs w:val="24"/>
                <w:u w:val="single"/>
              </w:rPr>
            </w:pPr>
            <w:r>
              <w:rPr>
                <w:b/>
                <w:color w:val="auto"/>
                <w:sz w:val="24"/>
                <w:szCs w:val="24"/>
                <w:u w:val="single"/>
              </w:rPr>
              <w:t>4</w:t>
            </w:r>
            <w:r>
              <w:rPr>
                <w:rFonts w:hAnsi="宋体"/>
                <w:b/>
                <w:color w:val="auto"/>
                <w:sz w:val="24"/>
                <w:szCs w:val="24"/>
                <w:u w:val="single"/>
              </w:rPr>
              <w:t>、固体废弃物污染源分析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u w:val="single"/>
              </w:rPr>
            </w:pPr>
            <w:r>
              <w:rPr>
                <w:rFonts w:hAnsi="宋体"/>
                <w:color w:val="auto"/>
                <w:kern w:val="0"/>
                <w:sz w:val="24"/>
                <w:szCs w:val="22"/>
                <w:u w:val="single"/>
              </w:rPr>
              <w:t>项目实施期产生的固废包括拆除的建筑垃圾、</w:t>
            </w:r>
            <w:r>
              <w:rPr>
                <w:rFonts w:hint="eastAsia" w:hAnsi="宋体"/>
                <w:color w:val="auto"/>
                <w:kern w:val="0"/>
                <w:sz w:val="24"/>
                <w:szCs w:val="22"/>
                <w:u w:val="single"/>
              </w:rPr>
              <w:t>除尘器收集粉尘</w:t>
            </w:r>
            <w:r>
              <w:rPr>
                <w:rFonts w:hAnsi="宋体"/>
                <w:color w:val="auto"/>
                <w:kern w:val="0"/>
                <w:sz w:val="24"/>
                <w:szCs w:val="22"/>
                <w:u w:val="single"/>
              </w:rPr>
              <w:t>、筛分渣土、废防渗材料、</w:t>
            </w:r>
            <w:r>
              <w:rPr>
                <w:rFonts w:hint="eastAsia" w:hAnsi="宋体"/>
                <w:color w:val="auto"/>
                <w:kern w:val="0"/>
                <w:sz w:val="24"/>
                <w:szCs w:val="22"/>
                <w:u w:val="single"/>
              </w:rPr>
              <w:t>废活性炭、</w:t>
            </w:r>
            <w:r>
              <w:rPr>
                <w:rFonts w:hAnsi="宋体"/>
                <w:color w:val="auto"/>
                <w:kern w:val="0"/>
                <w:sz w:val="24"/>
                <w:szCs w:val="22"/>
                <w:u w:val="single"/>
              </w:rPr>
              <w:t>生活垃圾。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u w:val="single"/>
              </w:rPr>
            </w:pPr>
            <w:r>
              <w:rPr>
                <w:rFonts w:hAnsi="宋体"/>
                <w:color w:val="auto"/>
                <w:kern w:val="0"/>
                <w:sz w:val="24"/>
                <w:szCs w:val="22"/>
                <w:u w:val="single"/>
              </w:rPr>
              <w:t>①拆除的建筑垃圾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bCs/>
                <w:color w:val="auto"/>
                <w:kern w:val="0"/>
                <w:sz w:val="24"/>
                <w:szCs w:val="24"/>
                <w:u w:val="single"/>
              </w:rPr>
            </w:pPr>
            <w:r>
              <w:rPr>
                <w:rFonts w:hAnsi="宋体"/>
                <w:color w:val="auto"/>
                <w:kern w:val="0"/>
                <w:sz w:val="24"/>
                <w:szCs w:val="24"/>
                <w:u w:val="single"/>
              </w:rPr>
              <w:t>项目土壤修复区残存部分厂房、车间、设备等，土壤修复前需先对其进行拆除，根据调查报告，将产生</w:t>
            </w:r>
            <w:r>
              <w:rPr>
                <w:rFonts w:hint="eastAsia"/>
                <w:bCs/>
                <w:color w:val="auto"/>
                <w:sz w:val="24"/>
                <w:szCs w:val="24"/>
                <w:u w:val="single"/>
              </w:rPr>
              <w:t>4100</w:t>
            </w:r>
            <w:r>
              <w:rPr>
                <w:bCs/>
                <w:color w:val="auto"/>
                <w:kern w:val="0"/>
                <w:sz w:val="24"/>
                <w:szCs w:val="24"/>
                <w:u w:val="single"/>
              </w:rPr>
              <w:t>m</w:t>
            </w:r>
            <w:r>
              <w:rPr>
                <w:bCs/>
                <w:color w:val="auto"/>
                <w:kern w:val="0"/>
                <w:sz w:val="24"/>
                <w:szCs w:val="24"/>
                <w:u w:val="single"/>
                <w:vertAlign w:val="superscript"/>
              </w:rPr>
              <w:t>3</w:t>
            </w:r>
            <w:r>
              <w:rPr>
                <w:rFonts w:hAnsi="宋体"/>
                <w:bCs/>
                <w:color w:val="auto"/>
                <w:kern w:val="0"/>
                <w:sz w:val="24"/>
                <w:szCs w:val="24"/>
                <w:u w:val="single"/>
              </w:rPr>
              <w:t>建筑垃圾及</w:t>
            </w:r>
            <w:r>
              <w:rPr>
                <w:rFonts w:hint="eastAsia"/>
                <w:bCs/>
                <w:color w:val="auto"/>
                <w:kern w:val="0"/>
                <w:sz w:val="24"/>
                <w:szCs w:val="24"/>
                <w:u w:val="single"/>
              </w:rPr>
              <w:t>45</w:t>
            </w:r>
            <w:r>
              <w:rPr>
                <w:bCs/>
                <w:color w:val="auto"/>
                <w:kern w:val="0"/>
                <w:sz w:val="24"/>
                <w:szCs w:val="24"/>
                <w:u w:val="single"/>
              </w:rPr>
              <w:t>t</w:t>
            </w:r>
            <w:r>
              <w:rPr>
                <w:rFonts w:hAnsi="宋体"/>
                <w:bCs/>
                <w:color w:val="auto"/>
                <w:kern w:val="0"/>
                <w:sz w:val="24"/>
                <w:szCs w:val="24"/>
                <w:u w:val="single"/>
              </w:rPr>
              <w:t>钢结构垃圾。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Ansi="宋体"/>
                <w:color w:val="auto"/>
                <w:sz w:val="24"/>
              </w:rPr>
            </w:pPr>
            <w:r>
              <w:rPr>
                <w:rFonts w:hint="eastAsia" w:hAnsi="宋体"/>
                <w:color w:val="auto"/>
                <w:sz w:val="24"/>
              </w:rPr>
              <w:t>建筑垃圾含有少量污染物</w:t>
            </w:r>
            <w:r>
              <w:rPr>
                <w:rFonts w:hAnsi="宋体"/>
                <w:color w:val="auto"/>
                <w:sz w:val="24"/>
              </w:rPr>
              <w:t>为一般固废，运至</w:t>
            </w:r>
            <w:r>
              <w:rPr>
                <w:rFonts w:hint="eastAsia" w:hAnsi="宋体"/>
                <w:color w:val="auto"/>
                <w:sz w:val="24"/>
              </w:rPr>
              <w:t>相关专业机构进行</w:t>
            </w:r>
            <w:r>
              <w:rPr>
                <w:rFonts w:hint="eastAsia" w:hAnsi="宋体"/>
                <w:color w:val="auto"/>
                <w:sz w:val="24"/>
                <w:lang w:eastAsia="zh-CN"/>
              </w:rPr>
              <w:t>集中</w:t>
            </w:r>
            <w:r>
              <w:rPr>
                <w:rFonts w:hint="eastAsia" w:hAnsi="宋体"/>
                <w:color w:val="auto"/>
                <w:sz w:val="24"/>
              </w:rPr>
              <w:t>处理</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u w:val="single"/>
              </w:rPr>
            </w:pPr>
            <w:r>
              <w:rPr>
                <w:rFonts w:hAnsi="宋体"/>
                <w:color w:val="auto"/>
                <w:kern w:val="0"/>
                <w:sz w:val="24"/>
                <w:szCs w:val="22"/>
                <w:u w:val="single"/>
              </w:rPr>
              <w:t>②废防渗材料</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u w:val="single"/>
              </w:rPr>
            </w:pPr>
            <w:r>
              <w:rPr>
                <w:rFonts w:hAnsi="宋体"/>
                <w:color w:val="auto"/>
                <w:kern w:val="0"/>
                <w:sz w:val="24"/>
                <w:szCs w:val="22"/>
                <w:u w:val="single"/>
              </w:rPr>
              <w:t>根据本项目</w:t>
            </w:r>
            <w:r>
              <w:rPr>
                <w:rFonts w:hint="eastAsia" w:hAnsi="宋体"/>
                <w:color w:val="auto"/>
                <w:kern w:val="0"/>
                <w:sz w:val="24"/>
                <w:szCs w:val="22"/>
                <w:u w:val="single"/>
              </w:rPr>
              <w:t>负压大棚</w:t>
            </w:r>
            <w:r>
              <w:rPr>
                <w:rFonts w:hAnsi="宋体"/>
                <w:color w:val="auto"/>
                <w:kern w:val="0"/>
                <w:sz w:val="24"/>
                <w:szCs w:val="22"/>
                <w:u w:val="single"/>
              </w:rPr>
              <w:t>底部防渗材料使用情况，共产生防渗材料约</w:t>
            </w:r>
            <w:r>
              <w:rPr>
                <w:color w:val="auto"/>
                <w:kern w:val="0"/>
                <w:sz w:val="24"/>
                <w:szCs w:val="22"/>
                <w:u w:val="single"/>
              </w:rPr>
              <w:t>1t</w:t>
            </w:r>
            <w:r>
              <w:rPr>
                <w:rFonts w:hAnsi="宋体"/>
                <w:color w:val="auto"/>
                <w:kern w:val="0"/>
                <w:sz w:val="24"/>
                <w:szCs w:val="22"/>
                <w:u w:val="single"/>
              </w:rPr>
              <w:t>，</w:t>
            </w:r>
            <w:r>
              <w:rPr>
                <w:rFonts w:hAnsi="宋体"/>
                <w:color w:val="auto"/>
                <w:sz w:val="24"/>
                <w:u w:val="single"/>
              </w:rPr>
              <w:t>运至</w:t>
            </w:r>
            <w:r>
              <w:rPr>
                <w:rFonts w:hint="eastAsia" w:hAnsi="宋体"/>
                <w:color w:val="auto"/>
                <w:sz w:val="24"/>
                <w:u w:val="single"/>
              </w:rPr>
              <w:t>相关专业机构进行处理</w:t>
            </w:r>
            <w:r>
              <w:rPr>
                <w:rFonts w:hAnsi="宋体"/>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u w:val="single"/>
              </w:rPr>
            </w:pPr>
            <w:r>
              <w:rPr>
                <w:rFonts w:hAnsi="宋体"/>
                <w:color w:val="auto"/>
                <w:kern w:val="0"/>
                <w:sz w:val="24"/>
                <w:szCs w:val="22"/>
                <w:u w:val="single"/>
              </w:rPr>
              <w:t>③筛分渣土</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sz w:val="24"/>
                <w:u w:val="single"/>
              </w:rPr>
            </w:pPr>
            <w:r>
              <w:rPr>
                <w:rFonts w:hAnsi="宋体"/>
                <w:color w:val="auto"/>
                <w:kern w:val="0"/>
                <w:sz w:val="24"/>
                <w:szCs w:val="22"/>
                <w:u w:val="single"/>
              </w:rPr>
              <w:t>项目土壤修复过程初期将对土壤进行筛分，筛分出大于</w:t>
            </w:r>
            <w:r>
              <w:rPr>
                <w:color w:val="auto"/>
                <w:kern w:val="0"/>
                <w:sz w:val="24"/>
                <w:szCs w:val="22"/>
                <w:u w:val="single"/>
              </w:rPr>
              <w:t>50mm</w:t>
            </w:r>
            <w:r>
              <w:rPr>
                <w:rFonts w:hAnsi="宋体"/>
                <w:color w:val="auto"/>
                <w:kern w:val="0"/>
                <w:sz w:val="24"/>
                <w:szCs w:val="22"/>
                <w:u w:val="single"/>
              </w:rPr>
              <w:t>的渣块，主要是碎石、废铁丝、钢筋等建筑垃圾，属于一般固体废物，产生量约</w:t>
            </w:r>
            <w:r>
              <w:rPr>
                <w:color w:val="auto"/>
                <w:kern w:val="0"/>
                <w:sz w:val="24"/>
                <w:szCs w:val="22"/>
                <w:u w:val="single"/>
              </w:rPr>
              <w:t>100t</w:t>
            </w:r>
            <w:r>
              <w:rPr>
                <w:rFonts w:hAnsi="宋体"/>
                <w:color w:val="auto"/>
                <w:kern w:val="0"/>
                <w:sz w:val="24"/>
                <w:szCs w:val="22"/>
                <w:u w:val="single"/>
              </w:rPr>
              <w:t>，</w:t>
            </w:r>
            <w:r>
              <w:rPr>
                <w:rFonts w:hAnsi="宋体"/>
                <w:color w:val="auto"/>
                <w:sz w:val="24"/>
                <w:u w:val="single"/>
              </w:rPr>
              <w:t>运至</w:t>
            </w:r>
            <w:r>
              <w:rPr>
                <w:rFonts w:hint="eastAsia" w:hAnsi="宋体"/>
                <w:color w:val="auto"/>
                <w:sz w:val="24"/>
                <w:u w:val="single"/>
              </w:rPr>
              <w:t>相关专业机构进行处理</w:t>
            </w:r>
            <w:r>
              <w:rPr>
                <w:rFonts w:hAnsi="宋体"/>
                <w:color w:val="auto"/>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u w:val="single"/>
              </w:rPr>
            </w:pPr>
            <w:r>
              <w:rPr>
                <w:rFonts w:hAnsi="宋体"/>
                <w:color w:val="auto"/>
                <w:kern w:val="0"/>
                <w:sz w:val="24"/>
                <w:szCs w:val="22"/>
                <w:u w:val="single"/>
              </w:rPr>
              <w:t>④</w:t>
            </w:r>
            <w:r>
              <w:rPr>
                <w:rFonts w:hint="eastAsia" w:hAnsi="宋体"/>
                <w:color w:val="auto"/>
                <w:kern w:val="0"/>
                <w:sz w:val="24"/>
                <w:szCs w:val="22"/>
                <w:u w:val="single"/>
              </w:rPr>
              <w:t>除尘器收集粉尘</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Ansi="宋体"/>
                <w:color w:val="auto"/>
                <w:kern w:val="0"/>
                <w:sz w:val="24"/>
                <w:szCs w:val="22"/>
                <w:u w:val="single"/>
              </w:rPr>
            </w:pPr>
            <w:r>
              <w:rPr>
                <w:rFonts w:hAnsi="宋体"/>
                <w:color w:val="auto"/>
                <w:kern w:val="0"/>
                <w:sz w:val="24"/>
                <w:szCs w:val="22"/>
                <w:u w:val="single"/>
              </w:rPr>
              <w:t>项目</w:t>
            </w:r>
            <w:r>
              <w:rPr>
                <w:rFonts w:hint="eastAsia" w:hAnsi="宋体"/>
                <w:color w:val="auto"/>
                <w:kern w:val="0"/>
                <w:sz w:val="24"/>
                <w:szCs w:val="22"/>
                <w:u w:val="single"/>
              </w:rPr>
              <w:t>除尘器收集粉尘</w:t>
            </w:r>
            <w:r>
              <w:rPr>
                <w:rFonts w:hAnsi="宋体"/>
                <w:color w:val="auto"/>
                <w:kern w:val="0"/>
                <w:sz w:val="24"/>
                <w:szCs w:val="22"/>
                <w:u w:val="single"/>
              </w:rPr>
              <w:t>产生量约</w:t>
            </w:r>
            <w:r>
              <w:rPr>
                <w:rFonts w:hint="eastAsia"/>
                <w:color w:val="auto"/>
                <w:kern w:val="0"/>
                <w:sz w:val="24"/>
                <w:szCs w:val="22"/>
                <w:u w:val="single"/>
              </w:rPr>
              <w:t>6.44</w:t>
            </w:r>
            <w:r>
              <w:rPr>
                <w:color w:val="auto"/>
                <w:kern w:val="0"/>
                <w:sz w:val="24"/>
                <w:szCs w:val="22"/>
                <w:u w:val="single"/>
              </w:rPr>
              <w:t>t</w:t>
            </w:r>
            <w:r>
              <w:rPr>
                <w:rFonts w:hAnsi="宋体"/>
                <w:color w:val="auto"/>
                <w:kern w:val="0"/>
                <w:sz w:val="24"/>
                <w:szCs w:val="22"/>
                <w:u w:val="single"/>
              </w:rPr>
              <w:t>，</w:t>
            </w:r>
            <w:r>
              <w:rPr>
                <w:rFonts w:hint="eastAsia" w:hAnsi="宋体"/>
                <w:color w:val="auto"/>
                <w:kern w:val="0"/>
                <w:sz w:val="24"/>
                <w:szCs w:val="22"/>
                <w:u w:val="single"/>
              </w:rPr>
              <w:t>收集后回用于</w:t>
            </w:r>
            <w:r>
              <w:rPr>
                <w:rFonts w:hint="eastAsia" w:hAnsi="宋体"/>
                <w:color w:val="auto"/>
                <w:kern w:val="0"/>
                <w:sz w:val="24"/>
                <w:szCs w:val="22"/>
                <w:u w:val="single"/>
                <w:lang w:eastAsia="zh-CN"/>
              </w:rPr>
              <w:t>化学氧化</w:t>
            </w:r>
            <w:r>
              <w:rPr>
                <w:rFonts w:hint="eastAsia" w:hAnsi="宋体"/>
                <w:color w:val="auto"/>
                <w:kern w:val="0"/>
                <w:sz w:val="24"/>
                <w:szCs w:val="22"/>
                <w:u w:val="single"/>
              </w:rPr>
              <w:t>修复工序。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Ansi="宋体"/>
                <w:color w:val="auto"/>
                <w:kern w:val="0"/>
                <w:sz w:val="24"/>
                <w:szCs w:val="22"/>
                <w:u w:val="single"/>
              </w:rPr>
            </w:pPr>
            <w:r>
              <w:rPr>
                <w:rFonts w:hAnsi="宋体"/>
                <w:color w:val="auto"/>
                <w:kern w:val="0"/>
                <w:sz w:val="24"/>
                <w:szCs w:val="22"/>
                <w:u w:val="single"/>
              </w:rPr>
              <w:t>⑤</w:t>
            </w:r>
            <w:r>
              <w:rPr>
                <w:rFonts w:hint="eastAsia" w:hAnsi="宋体"/>
                <w:color w:val="auto"/>
                <w:kern w:val="0"/>
                <w:sz w:val="24"/>
                <w:szCs w:val="22"/>
                <w:u w:val="single"/>
              </w:rPr>
              <w:t>废活性炭</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u w:val="single"/>
              </w:rPr>
            </w:pPr>
            <w:r>
              <w:rPr>
                <w:rFonts w:hint="eastAsia" w:hAnsi="宋体"/>
                <w:color w:val="auto"/>
                <w:kern w:val="0"/>
                <w:sz w:val="24"/>
                <w:szCs w:val="22"/>
                <w:u w:val="single"/>
              </w:rPr>
              <w:t>结合本项目，每半月更换一次，废活性炭产生量约0.6</w:t>
            </w:r>
            <w:r>
              <w:rPr>
                <w:rFonts w:hint="eastAsia" w:hAnsi="宋体"/>
                <w:color w:val="auto"/>
                <w:kern w:val="0"/>
                <w:sz w:val="24"/>
                <w:szCs w:val="22"/>
                <w:u w:val="single"/>
                <w:lang w:val="en-US" w:eastAsia="zh-CN"/>
              </w:rPr>
              <w:t>03</w:t>
            </w:r>
            <w:r>
              <w:rPr>
                <w:rFonts w:hint="eastAsia" w:hAnsi="宋体"/>
                <w:color w:val="auto"/>
                <w:kern w:val="0"/>
                <w:sz w:val="24"/>
                <w:szCs w:val="22"/>
                <w:u w:val="single"/>
              </w:rPr>
              <w:t>t，</w:t>
            </w:r>
            <w:r>
              <w:rPr>
                <w:rFonts w:hint="eastAsia"/>
                <w:color w:val="auto"/>
                <w:kern w:val="0"/>
                <w:sz w:val="24"/>
                <w:szCs w:val="22"/>
                <w:u w:val="single"/>
              </w:rPr>
              <w:t>直接委托有资质单位运走，不在项目区储存。</w:t>
            </w:r>
          </w:p>
          <w:p>
            <w:pPr>
              <w:pStyle w:val="241"/>
              <w:keepNext w:val="0"/>
              <w:keepLines w:val="0"/>
              <w:pageBreakBefore w:val="0"/>
              <w:widowControl w:val="0"/>
              <w:numPr>
                <w:ilvl w:val="0"/>
                <w:numId w:val="10"/>
              </w:numPr>
              <w:kinsoku/>
              <w:wordWrap/>
              <w:overflowPunct/>
              <w:topLinePunct w:val="0"/>
              <w:autoSpaceDE/>
              <w:autoSpaceDN/>
              <w:bidi w:val="0"/>
              <w:adjustRightInd/>
              <w:snapToGrid/>
              <w:spacing w:line="360" w:lineRule="auto"/>
              <w:ind w:right="0" w:rightChars="0" w:firstLineChars="0"/>
              <w:textAlignment w:val="auto"/>
              <w:outlineLvl w:val="9"/>
              <w:rPr>
                <w:color w:val="auto"/>
                <w:kern w:val="0"/>
                <w:sz w:val="24"/>
                <w:szCs w:val="22"/>
                <w:u w:val="single"/>
              </w:rPr>
            </w:pPr>
            <w:r>
              <w:rPr>
                <w:rFonts w:hAnsi="宋体"/>
                <w:color w:val="auto"/>
                <w:kern w:val="0"/>
                <w:sz w:val="24"/>
                <w:szCs w:val="22"/>
                <w:u w:val="single"/>
              </w:rPr>
              <w:t>员工生活垃圾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kern w:val="0"/>
                <w:sz w:val="24"/>
                <w:szCs w:val="22"/>
              </w:rPr>
            </w:pPr>
            <w:r>
              <w:rPr>
                <w:rFonts w:hAnsi="宋体"/>
                <w:color w:val="auto"/>
                <w:kern w:val="0"/>
                <w:sz w:val="24"/>
                <w:szCs w:val="22"/>
                <w:u w:val="single"/>
              </w:rPr>
              <w:t>项目配备员工</w:t>
            </w:r>
            <w:r>
              <w:rPr>
                <w:color w:val="auto"/>
                <w:kern w:val="0"/>
                <w:sz w:val="24"/>
                <w:szCs w:val="22"/>
                <w:u w:val="single"/>
              </w:rPr>
              <w:t>20</w:t>
            </w:r>
            <w:r>
              <w:rPr>
                <w:rFonts w:hAnsi="宋体"/>
                <w:color w:val="auto"/>
                <w:kern w:val="0"/>
                <w:sz w:val="24"/>
                <w:szCs w:val="22"/>
                <w:u w:val="single"/>
              </w:rPr>
              <w:t>人，生活垃圾产生量按</w:t>
            </w:r>
            <w:r>
              <w:rPr>
                <w:color w:val="auto"/>
                <w:kern w:val="0"/>
                <w:sz w:val="24"/>
                <w:szCs w:val="22"/>
                <w:u w:val="single"/>
              </w:rPr>
              <w:t>0.5kg/</w:t>
            </w:r>
            <w:r>
              <w:rPr>
                <w:rFonts w:hAnsi="宋体"/>
                <w:color w:val="auto"/>
                <w:kern w:val="0"/>
                <w:sz w:val="24"/>
                <w:szCs w:val="22"/>
                <w:u w:val="single"/>
              </w:rPr>
              <w:t>人</w:t>
            </w:r>
            <w:r>
              <w:rPr>
                <w:color w:val="auto"/>
                <w:kern w:val="0"/>
                <w:sz w:val="24"/>
                <w:szCs w:val="22"/>
                <w:u w:val="single"/>
              </w:rPr>
              <w:t>d</w:t>
            </w:r>
            <w:r>
              <w:rPr>
                <w:rFonts w:hAnsi="宋体"/>
                <w:color w:val="auto"/>
                <w:kern w:val="0"/>
                <w:sz w:val="24"/>
                <w:szCs w:val="22"/>
                <w:u w:val="single"/>
              </w:rPr>
              <w:t>计，则产生生活垃圾约</w:t>
            </w:r>
            <w:r>
              <w:rPr>
                <w:color w:val="auto"/>
                <w:kern w:val="0"/>
                <w:sz w:val="24"/>
                <w:szCs w:val="22"/>
                <w:u w:val="single"/>
              </w:rPr>
              <w:t>10kg/d</w:t>
            </w:r>
            <w:r>
              <w:rPr>
                <w:rFonts w:hAnsi="宋体"/>
                <w:color w:val="auto"/>
                <w:kern w:val="0"/>
                <w:sz w:val="24"/>
                <w:szCs w:val="22"/>
                <w:u w:val="single"/>
              </w:rPr>
              <w:t>，共计</w:t>
            </w:r>
            <w:r>
              <w:rPr>
                <w:color w:val="auto"/>
                <w:kern w:val="0"/>
                <w:sz w:val="24"/>
                <w:szCs w:val="22"/>
                <w:u w:val="single"/>
              </w:rPr>
              <w:t>1.2t</w:t>
            </w:r>
            <w:r>
              <w:rPr>
                <w:rFonts w:hAnsi="宋体"/>
                <w:color w:val="auto"/>
                <w:kern w:val="0"/>
                <w:sz w:val="24"/>
                <w:szCs w:val="22"/>
                <w:u w:val="single"/>
              </w:rPr>
              <w:t>。由环卫部门统一处置。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w:t>
            </w:r>
            <w:r>
              <w:rPr>
                <w:rFonts w:hint="eastAsia" w:hAnsi="宋体"/>
                <w:b/>
                <w:bCs/>
                <w:color w:val="auto"/>
                <w:u w:val="single"/>
              </w:rPr>
              <w:t>3</w:t>
            </w:r>
            <w:r>
              <w:rPr>
                <w:rFonts w:hint="eastAsia" w:hAnsi="宋体"/>
                <w:b/>
                <w:bCs/>
                <w:color w:val="auto"/>
                <w:u w:val="single"/>
                <w:lang w:val="en-US" w:eastAsia="zh-CN"/>
              </w:rPr>
              <w:t xml:space="preserve">4  </w:t>
            </w:r>
            <w:r>
              <w:rPr>
                <w:rFonts w:hAnsi="宋体"/>
                <w:b/>
                <w:bCs/>
                <w:color w:val="auto"/>
                <w:u w:val="single"/>
              </w:rPr>
              <w:t>固体废物产生及处置情况</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0"/>
              <w:gridCol w:w="1081"/>
              <w:gridCol w:w="1557"/>
              <w:gridCol w:w="1398"/>
              <w:gridCol w:w="1224"/>
              <w:gridCol w:w="2016"/>
              <w:gridCol w:w="1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600" w:type="dxa"/>
                  <w:vAlign w:val="center"/>
                </w:tcPr>
                <w:p>
                  <w:pPr>
                    <w:jc w:val="center"/>
                    <w:rPr>
                      <w:color w:val="auto"/>
                      <w:sz w:val="21"/>
                      <w:szCs w:val="21"/>
                      <w:u w:val="single"/>
                    </w:rPr>
                  </w:pPr>
                  <w:r>
                    <w:rPr>
                      <w:rFonts w:hAnsi="宋体"/>
                      <w:color w:val="auto"/>
                      <w:sz w:val="21"/>
                      <w:szCs w:val="21"/>
                      <w:u w:val="single"/>
                    </w:rPr>
                    <w:t>序号</w:t>
                  </w:r>
                </w:p>
              </w:tc>
              <w:tc>
                <w:tcPr>
                  <w:tcW w:w="2638" w:type="dxa"/>
                  <w:gridSpan w:val="2"/>
                  <w:vAlign w:val="center"/>
                </w:tcPr>
                <w:p>
                  <w:pPr>
                    <w:jc w:val="center"/>
                    <w:rPr>
                      <w:color w:val="auto"/>
                      <w:sz w:val="21"/>
                      <w:szCs w:val="21"/>
                      <w:u w:val="single"/>
                    </w:rPr>
                  </w:pPr>
                  <w:r>
                    <w:rPr>
                      <w:rFonts w:hAnsi="宋体"/>
                      <w:color w:val="auto"/>
                      <w:sz w:val="21"/>
                      <w:szCs w:val="21"/>
                      <w:u w:val="single"/>
                    </w:rPr>
                    <w:t>名称</w:t>
                  </w:r>
                </w:p>
              </w:tc>
              <w:tc>
                <w:tcPr>
                  <w:tcW w:w="1398" w:type="dxa"/>
                  <w:vAlign w:val="center"/>
                </w:tcPr>
                <w:p>
                  <w:pPr>
                    <w:jc w:val="center"/>
                    <w:rPr>
                      <w:color w:val="auto"/>
                      <w:sz w:val="21"/>
                      <w:szCs w:val="21"/>
                      <w:u w:val="single"/>
                    </w:rPr>
                  </w:pPr>
                  <w:r>
                    <w:rPr>
                      <w:rFonts w:hAnsi="宋体"/>
                      <w:color w:val="auto"/>
                      <w:sz w:val="21"/>
                      <w:szCs w:val="21"/>
                      <w:u w:val="single"/>
                    </w:rPr>
                    <w:t>产生量</w:t>
                  </w:r>
                </w:p>
              </w:tc>
              <w:tc>
                <w:tcPr>
                  <w:tcW w:w="1224" w:type="dxa"/>
                  <w:vAlign w:val="center"/>
                </w:tcPr>
                <w:p>
                  <w:pPr>
                    <w:jc w:val="center"/>
                    <w:rPr>
                      <w:color w:val="auto"/>
                      <w:sz w:val="21"/>
                      <w:szCs w:val="21"/>
                      <w:u w:val="single"/>
                    </w:rPr>
                  </w:pPr>
                  <w:r>
                    <w:rPr>
                      <w:rFonts w:hAnsi="宋体"/>
                      <w:color w:val="auto"/>
                      <w:sz w:val="21"/>
                      <w:szCs w:val="21"/>
                      <w:u w:val="single"/>
                    </w:rPr>
                    <w:t>分类编号</w:t>
                  </w:r>
                </w:p>
              </w:tc>
              <w:tc>
                <w:tcPr>
                  <w:tcW w:w="2016" w:type="dxa"/>
                  <w:vAlign w:val="center"/>
                </w:tcPr>
                <w:p>
                  <w:pPr>
                    <w:jc w:val="center"/>
                    <w:rPr>
                      <w:color w:val="auto"/>
                      <w:sz w:val="21"/>
                      <w:szCs w:val="21"/>
                      <w:u w:val="single"/>
                    </w:rPr>
                  </w:pPr>
                  <w:r>
                    <w:rPr>
                      <w:rFonts w:hAnsi="宋体"/>
                      <w:color w:val="auto"/>
                      <w:sz w:val="21"/>
                      <w:szCs w:val="21"/>
                      <w:u w:val="single"/>
                    </w:rPr>
                    <w:t>处理处置方式</w:t>
                  </w:r>
                </w:p>
              </w:tc>
              <w:tc>
                <w:tcPr>
                  <w:tcW w:w="1194" w:type="dxa"/>
                  <w:vAlign w:val="center"/>
                </w:tcPr>
                <w:p>
                  <w:pPr>
                    <w:jc w:val="center"/>
                    <w:rPr>
                      <w:color w:val="auto"/>
                      <w:sz w:val="21"/>
                      <w:szCs w:val="21"/>
                      <w:u w:val="single"/>
                    </w:rPr>
                  </w:pPr>
                  <w:r>
                    <w:rPr>
                      <w:rFonts w:hAnsi="宋体"/>
                      <w:color w:val="auto"/>
                      <w:sz w:val="21"/>
                      <w:szCs w:val="21"/>
                      <w:u w:val="single"/>
                    </w:rPr>
                    <w:t>排放量</w:t>
                  </w:r>
                  <w:r>
                    <w:rPr>
                      <w:color w:val="auto"/>
                      <w:sz w:val="21"/>
                      <w:szCs w:val="21"/>
                      <w:u w:val="singl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600" w:type="dxa"/>
                  <w:vMerge w:val="restart"/>
                  <w:vAlign w:val="center"/>
                </w:tcPr>
                <w:p>
                  <w:pPr>
                    <w:jc w:val="center"/>
                    <w:rPr>
                      <w:color w:val="auto"/>
                      <w:sz w:val="21"/>
                      <w:szCs w:val="21"/>
                      <w:u w:val="single"/>
                    </w:rPr>
                  </w:pPr>
                  <w:r>
                    <w:rPr>
                      <w:color w:val="auto"/>
                      <w:sz w:val="21"/>
                      <w:szCs w:val="21"/>
                      <w:u w:val="single"/>
                    </w:rPr>
                    <w:t>1</w:t>
                  </w:r>
                </w:p>
              </w:tc>
              <w:tc>
                <w:tcPr>
                  <w:tcW w:w="1081" w:type="dxa"/>
                  <w:vMerge w:val="restart"/>
                  <w:vAlign w:val="center"/>
                </w:tcPr>
                <w:p>
                  <w:pPr>
                    <w:jc w:val="center"/>
                    <w:rPr>
                      <w:color w:val="auto"/>
                      <w:sz w:val="21"/>
                      <w:szCs w:val="21"/>
                      <w:u w:val="single"/>
                    </w:rPr>
                  </w:pPr>
                  <w:r>
                    <w:rPr>
                      <w:rFonts w:hAnsi="宋体"/>
                      <w:color w:val="auto"/>
                      <w:sz w:val="21"/>
                      <w:szCs w:val="21"/>
                      <w:u w:val="single"/>
                    </w:rPr>
                    <w:t>拆除的建筑垃圾</w:t>
                  </w:r>
                </w:p>
              </w:tc>
              <w:tc>
                <w:tcPr>
                  <w:tcW w:w="1557" w:type="dxa"/>
                  <w:vAlign w:val="center"/>
                </w:tcPr>
                <w:p>
                  <w:pPr>
                    <w:jc w:val="center"/>
                    <w:rPr>
                      <w:color w:val="auto"/>
                      <w:sz w:val="21"/>
                      <w:szCs w:val="21"/>
                      <w:u w:val="single"/>
                    </w:rPr>
                  </w:pPr>
                  <w:r>
                    <w:rPr>
                      <w:rFonts w:hAnsi="宋体"/>
                      <w:color w:val="auto"/>
                      <w:sz w:val="21"/>
                      <w:szCs w:val="21"/>
                      <w:u w:val="single"/>
                    </w:rPr>
                    <w:t>土石方</w:t>
                  </w:r>
                </w:p>
              </w:tc>
              <w:tc>
                <w:tcPr>
                  <w:tcW w:w="1398" w:type="dxa"/>
                  <w:vAlign w:val="center"/>
                </w:tcPr>
                <w:p>
                  <w:pPr>
                    <w:jc w:val="center"/>
                    <w:rPr>
                      <w:color w:val="auto"/>
                      <w:sz w:val="21"/>
                      <w:szCs w:val="21"/>
                      <w:u w:val="single"/>
                    </w:rPr>
                  </w:pPr>
                  <w:r>
                    <w:rPr>
                      <w:rFonts w:hint="eastAsia"/>
                      <w:bCs/>
                      <w:color w:val="auto"/>
                      <w:sz w:val="21"/>
                      <w:szCs w:val="21"/>
                      <w:u w:val="single"/>
                    </w:rPr>
                    <w:t>4100</w:t>
                  </w:r>
                  <w:r>
                    <w:rPr>
                      <w:bCs/>
                      <w:color w:val="auto"/>
                      <w:kern w:val="0"/>
                      <w:sz w:val="21"/>
                      <w:szCs w:val="21"/>
                      <w:u w:val="single"/>
                    </w:rPr>
                    <w:t>m</w:t>
                  </w:r>
                  <w:r>
                    <w:rPr>
                      <w:bCs/>
                      <w:color w:val="auto"/>
                      <w:kern w:val="0"/>
                      <w:sz w:val="21"/>
                      <w:szCs w:val="21"/>
                      <w:u w:val="single"/>
                      <w:vertAlign w:val="superscript"/>
                    </w:rPr>
                    <w:t>3</w:t>
                  </w:r>
                </w:p>
              </w:tc>
              <w:tc>
                <w:tcPr>
                  <w:tcW w:w="1224" w:type="dxa"/>
                  <w:vMerge w:val="restart"/>
                  <w:vAlign w:val="center"/>
                </w:tcPr>
                <w:p>
                  <w:pPr>
                    <w:jc w:val="center"/>
                    <w:rPr>
                      <w:color w:val="auto"/>
                      <w:sz w:val="21"/>
                      <w:szCs w:val="21"/>
                      <w:u w:val="single"/>
                    </w:rPr>
                  </w:pPr>
                  <w:r>
                    <w:rPr>
                      <w:rFonts w:hAnsi="宋体"/>
                      <w:color w:val="auto"/>
                      <w:sz w:val="21"/>
                      <w:szCs w:val="21"/>
                      <w:u w:val="single"/>
                    </w:rPr>
                    <w:t>一般固废</w:t>
                  </w:r>
                </w:p>
              </w:tc>
              <w:tc>
                <w:tcPr>
                  <w:tcW w:w="2016" w:type="dxa"/>
                  <w:vMerge w:val="restart"/>
                  <w:vAlign w:val="center"/>
                </w:tcPr>
                <w:p>
                  <w:pPr>
                    <w:jc w:val="center"/>
                    <w:rPr>
                      <w:color w:val="auto"/>
                      <w:sz w:val="21"/>
                      <w:szCs w:val="21"/>
                      <w:u w:val="single"/>
                    </w:rPr>
                  </w:pPr>
                  <w:r>
                    <w:rPr>
                      <w:rFonts w:hAnsi="宋体"/>
                      <w:color w:val="auto"/>
                      <w:sz w:val="21"/>
                      <w:szCs w:val="21"/>
                      <w:u w:val="single"/>
                    </w:rPr>
                    <w:t>运至</w:t>
                  </w:r>
                  <w:r>
                    <w:rPr>
                      <w:rFonts w:hint="eastAsia" w:hAnsi="宋体"/>
                      <w:color w:val="auto"/>
                      <w:sz w:val="21"/>
                      <w:szCs w:val="21"/>
                      <w:u w:val="single"/>
                    </w:rPr>
                    <w:t>相关专业机构进行处理</w:t>
                  </w:r>
                </w:p>
              </w:tc>
              <w:tc>
                <w:tcPr>
                  <w:tcW w:w="1194" w:type="dxa"/>
                  <w:vMerge w:val="restart"/>
                  <w:vAlign w:val="center"/>
                </w:tcPr>
                <w:p>
                  <w:pPr>
                    <w:jc w:val="center"/>
                    <w:rPr>
                      <w:color w:val="auto"/>
                      <w:sz w:val="21"/>
                      <w:szCs w:val="21"/>
                      <w:u w:val="single"/>
                    </w:rPr>
                  </w:pPr>
                  <w:r>
                    <w:rPr>
                      <w:color w:val="auto"/>
                      <w:sz w:val="21"/>
                      <w:szCs w:val="21"/>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600" w:type="dxa"/>
                  <w:vMerge w:val="continue"/>
                  <w:vAlign w:val="center"/>
                </w:tcPr>
                <w:p>
                  <w:pPr>
                    <w:jc w:val="center"/>
                    <w:rPr>
                      <w:color w:val="auto"/>
                      <w:sz w:val="21"/>
                      <w:szCs w:val="21"/>
                      <w:u w:val="single"/>
                    </w:rPr>
                  </w:pPr>
                </w:p>
              </w:tc>
              <w:tc>
                <w:tcPr>
                  <w:tcW w:w="1081" w:type="dxa"/>
                  <w:vMerge w:val="continue"/>
                  <w:vAlign w:val="center"/>
                </w:tcPr>
                <w:p>
                  <w:pPr>
                    <w:jc w:val="center"/>
                    <w:rPr>
                      <w:color w:val="auto"/>
                      <w:sz w:val="21"/>
                      <w:szCs w:val="21"/>
                      <w:u w:val="single"/>
                    </w:rPr>
                  </w:pPr>
                </w:p>
              </w:tc>
              <w:tc>
                <w:tcPr>
                  <w:tcW w:w="1557" w:type="dxa"/>
                  <w:vAlign w:val="center"/>
                </w:tcPr>
                <w:p>
                  <w:pPr>
                    <w:jc w:val="center"/>
                    <w:rPr>
                      <w:color w:val="auto"/>
                      <w:sz w:val="21"/>
                      <w:szCs w:val="21"/>
                      <w:u w:val="single"/>
                    </w:rPr>
                  </w:pPr>
                  <w:r>
                    <w:rPr>
                      <w:rFonts w:hAnsi="宋体"/>
                      <w:color w:val="auto"/>
                      <w:sz w:val="21"/>
                      <w:szCs w:val="21"/>
                      <w:u w:val="single"/>
                    </w:rPr>
                    <w:t>废钢材</w:t>
                  </w:r>
                </w:p>
              </w:tc>
              <w:tc>
                <w:tcPr>
                  <w:tcW w:w="1398" w:type="dxa"/>
                  <w:vAlign w:val="center"/>
                </w:tcPr>
                <w:p>
                  <w:pPr>
                    <w:jc w:val="center"/>
                    <w:rPr>
                      <w:bCs/>
                      <w:color w:val="auto"/>
                      <w:kern w:val="0"/>
                      <w:sz w:val="21"/>
                      <w:szCs w:val="21"/>
                      <w:u w:val="single"/>
                    </w:rPr>
                  </w:pPr>
                  <w:r>
                    <w:rPr>
                      <w:rFonts w:hint="eastAsia"/>
                      <w:bCs/>
                      <w:color w:val="auto"/>
                      <w:kern w:val="0"/>
                      <w:sz w:val="21"/>
                      <w:szCs w:val="21"/>
                      <w:u w:val="single"/>
                    </w:rPr>
                    <w:t>45</w:t>
                  </w:r>
                  <w:r>
                    <w:rPr>
                      <w:bCs/>
                      <w:color w:val="auto"/>
                      <w:kern w:val="0"/>
                      <w:sz w:val="21"/>
                      <w:szCs w:val="21"/>
                      <w:u w:val="single"/>
                    </w:rPr>
                    <w:t>t</w:t>
                  </w:r>
                </w:p>
              </w:tc>
              <w:tc>
                <w:tcPr>
                  <w:tcW w:w="1224" w:type="dxa"/>
                  <w:vMerge w:val="continue"/>
                  <w:vAlign w:val="center"/>
                </w:tcPr>
                <w:p>
                  <w:pPr>
                    <w:jc w:val="center"/>
                    <w:rPr>
                      <w:color w:val="auto"/>
                      <w:sz w:val="21"/>
                      <w:szCs w:val="21"/>
                      <w:u w:val="single"/>
                    </w:rPr>
                  </w:pPr>
                </w:p>
              </w:tc>
              <w:tc>
                <w:tcPr>
                  <w:tcW w:w="2016" w:type="dxa"/>
                  <w:vMerge w:val="continue"/>
                  <w:vAlign w:val="center"/>
                </w:tcPr>
                <w:p>
                  <w:pPr>
                    <w:jc w:val="center"/>
                    <w:rPr>
                      <w:color w:val="auto"/>
                      <w:sz w:val="21"/>
                      <w:szCs w:val="21"/>
                      <w:u w:val="single"/>
                    </w:rPr>
                  </w:pPr>
                </w:p>
              </w:tc>
              <w:tc>
                <w:tcPr>
                  <w:tcW w:w="1194" w:type="dxa"/>
                  <w:vMerge w:val="continue"/>
                  <w:vAlign w:val="center"/>
                </w:tcPr>
                <w:p>
                  <w:pPr>
                    <w:jc w:val="center"/>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600" w:type="dxa"/>
                  <w:vAlign w:val="center"/>
                </w:tcPr>
                <w:p>
                  <w:pPr>
                    <w:jc w:val="center"/>
                    <w:rPr>
                      <w:color w:val="auto"/>
                      <w:sz w:val="21"/>
                      <w:szCs w:val="21"/>
                      <w:u w:val="single"/>
                    </w:rPr>
                  </w:pPr>
                  <w:r>
                    <w:rPr>
                      <w:color w:val="auto"/>
                      <w:sz w:val="21"/>
                      <w:szCs w:val="21"/>
                      <w:u w:val="single"/>
                    </w:rPr>
                    <w:t>2</w:t>
                  </w:r>
                </w:p>
              </w:tc>
              <w:tc>
                <w:tcPr>
                  <w:tcW w:w="2638" w:type="dxa"/>
                  <w:gridSpan w:val="2"/>
                  <w:vAlign w:val="center"/>
                </w:tcPr>
                <w:p>
                  <w:pPr>
                    <w:jc w:val="center"/>
                    <w:rPr>
                      <w:color w:val="auto"/>
                      <w:sz w:val="21"/>
                      <w:szCs w:val="21"/>
                      <w:u w:val="single"/>
                    </w:rPr>
                  </w:pPr>
                  <w:r>
                    <w:rPr>
                      <w:rFonts w:hAnsi="宋体"/>
                      <w:color w:val="auto"/>
                      <w:sz w:val="21"/>
                      <w:szCs w:val="21"/>
                      <w:u w:val="single"/>
                    </w:rPr>
                    <w:t>废防渗材料</w:t>
                  </w:r>
                </w:p>
              </w:tc>
              <w:tc>
                <w:tcPr>
                  <w:tcW w:w="1398" w:type="dxa"/>
                  <w:vAlign w:val="center"/>
                </w:tcPr>
                <w:p>
                  <w:pPr>
                    <w:jc w:val="center"/>
                    <w:rPr>
                      <w:color w:val="auto"/>
                      <w:sz w:val="21"/>
                      <w:szCs w:val="21"/>
                      <w:u w:val="single"/>
                    </w:rPr>
                  </w:pPr>
                  <w:r>
                    <w:rPr>
                      <w:color w:val="auto"/>
                      <w:sz w:val="21"/>
                      <w:szCs w:val="21"/>
                      <w:u w:val="single"/>
                    </w:rPr>
                    <w:t>1</w:t>
                  </w:r>
                  <w:r>
                    <w:rPr>
                      <w:bCs/>
                      <w:color w:val="auto"/>
                      <w:kern w:val="0"/>
                      <w:sz w:val="21"/>
                      <w:szCs w:val="21"/>
                      <w:u w:val="single"/>
                    </w:rPr>
                    <w:t>t</w:t>
                  </w:r>
                </w:p>
              </w:tc>
              <w:tc>
                <w:tcPr>
                  <w:tcW w:w="1224" w:type="dxa"/>
                  <w:vMerge w:val="continue"/>
                  <w:vAlign w:val="center"/>
                </w:tcPr>
                <w:p>
                  <w:pPr>
                    <w:jc w:val="center"/>
                    <w:rPr>
                      <w:color w:val="auto"/>
                      <w:sz w:val="21"/>
                      <w:szCs w:val="21"/>
                      <w:u w:val="single"/>
                    </w:rPr>
                  </w:pPr>
                </w:p>
              </w:tc>
              <w:tc>
                <w:tcPr>
                  <w:tcW w:w="2016" w:type="dxa"/>
                  <w:vMerge w:val="continue"/>
                  <w:vAlign w:val="center"/>
                </w:tcPr>
                <w:p>
                  <w:pPr>
                    <w:jc w:val="center"/>
                    <w:rPr>
                      <w:color w:val="auto"/>
                      <w:sz w:val="21"/>
                      <w:szCs w:val="21"/>
                      <w:u w:val="single"/>
                    </w:rPr>
                  </w:pPr>
                </w:p>
              </w:tc>
              <w:tc>
                <w:tcPr>
                  <w:tcW w:w="1194" w:type="dxa"/>
                  <w:vMerge w:val="continue"/>
                  <w:vAlign w:val="center"/>
                </w:tcPr>
                <w:p>
                  <w:pPr>
                    <w:jc w:val="center"/>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600" w:type="dxa"/>
                  <w:vAlign w:val="center"/>
                </w:tcPr>
                <w:p>
                  <w:pPr>
                    <w:jc w:val="center"/>
                    <w:rPr>
                      <w:color w:val="auto"/>
                      <w:sz w:val="21"/>
                      <w:szCs w:val="21"/>
                      <w:u w:val="single"/>
                    </w:rPr>
                  </w:pPr>
                  <w:r>
                    <w:rPr>
                      <w:color w:val="auto"/>
                      <w:sz w:val="21"/>
                      <w:szCs w:val="21"/>
                      <w:u w:val="single"/>
                    </w:rPr>
                    <w:t>3</w:t>
                  </w:r>
                </w:p>
              </w:tc>
              <w:tc>
                <w:tcPr>
                  <w:tcW w:w="2638" w:type="dxa"/>
                  <w:gridSpan w:val="2"/>
                  <w:vAlign w:val="center"/>
                </w:tcPr>
                <w:p>
                  <w:pPr>
                    <w:jc w:val="center"/>
                    <w:rPr>
                      <w:color w:val="auto"/>
                      <w:sz w:val="21"/>
                      <w:szCs w:val="21"/>
                      <w:u w:val="single"/>
                    </w:rPr>
                  </w:pPr>
                  <w:r>
                    <w:rPr>
                      <w:rFonts w:hAnsi="宋体"/>
                      <w:color w:val="auto"/>
                      <w:sz w:val="21"/>
                      <w:szCs w:val="21"/>
                      <w:u w:val="single"/>
                    </w:rPr>
                    <w:t>筛分渣土</w:t>
                  </w:r>
                </w:p>
              </w:tc>
              <w:tc>
                <w:tcPr>
                  <w:tcW w:w="1398" w:type="dxa"/>
                  <w:vAlign w:val="center"/>
                </w:tcPr>
                <w:p>
                  <w:pPr>
                    <w:jc w:val="center"/>
                    <w:rPr>
                      <w:color w:val="auto"/>
                      <w:sz w:val="21"/>
                      <w:szCs w:val="21"/>
                      <w:u w:val="single"/>
                    </w:rPr>
                  </w:pPr>
                  <w:r>
                    <w:rPr>
                      <w:color w:val="auto"/>
                      <w:sz w:val="21"/>
                      <w:szCs w:val="21"/>
                      <w:u w:val="single"/>
                    </w:rPr>
                    <w:t>100</w:t>
                  </w:r>
                  <w:r>
                    <w:rPr>
                      <w:bCs/>
                      <w:color w:val="auto"/>
                      <w:kern w:val="0"/>
                      <w:sz w:val="21"/>
                      <w:szCs w:val="21"/>
                      <w:u w:val="single"/>
                    </w:rPr>
                    <w:t>t</w:t>
                  </w:r>
                </w:p>
              </w:tc>
              <w:tc>
                <w:tcPr>
                  <w:tcW w:w="1224" w:type="dxa"/>
                  <w:vMerge w:val="continue"/>
                  <w:vAlign w:val="center"/>
                </w:tcPr>
                <w:p>
                  <w:pPr>
                    <w:jc w:val="center"/>
                    <w:rPr>
                      <w:color w:val="auto"/>
                      <w:sz w:val="21"/>
                      <w:szCs w:val="21"/>
                      <w:u w:val="single"/>
                    </w:rPr>
                  </w:pPr>
                </w:p>
              </w:tc>
              <w:tc>
                <w:tcPr>
                  <w:tcW w:w="2016" w:type="dxa"/>
                  <w:vMerge w:val="continue"/>
                  <w:vAlign w:val="center"/>
                </w:tcPr>
                <w:p>
                  <w:pPr>
                    <w:jc w:val="center"/>
                    <w:rPr>
                      <w:color w:val="auto"/>
                      <w:sz w:val="21"/>
                      <w:szCs w:val="21"/>
                      <w:u w:val="single"/>
                    </w:rPr>
                  </w:pPr>
                </w:p>
              </w:tc>
              <w:tc>
                <w:tcPr>
                  <w:tcW w:w="1194" w:type="dxa"/>
                  <w:vMerge w:val="continue"/>
                  <w:vAlign w:val="center"/>
                </w:tcPr>
                <w:p>
                  <w:pPr>
                    <w:jc w:val="center"/>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27" w:hRule="atLeast"/>
                <w:jc w:val="center"/>
              </w:trPr>
              <w:tc>
                <w:tcPr>
                  <w:tcW w:w="600" w:type="dxa"/>
                  <w:vAlign w:val="center"/>
                </w:tcPr>
                <w:p>
                  <w:pPr>
                    <w:jc w:val="center"/>
                    <w:rPr>
                      <w:color w:val="auto"/>
                      <w:sz w:val="21"/>
                      <w:szCs w:val="21"/>
                      <w:u w:val="single"/>
                    </w:rPr>
                  </w:pPr>
                  <w:r>
                    <w:rPr>
                      <w:color w:val="auto"/>
                      <w:sz w:val="21"/>
                      <w:szCs w:val="21"/>
                      <w:u w:val="single"/>
                    </w:rPr>
                    <w:t>4</w:t>
                  </w:r>
                </w:p>
              </w:tc>
              <w:tc>
                <w:tcPr>
                  <w:tcW w:w="2638" w:type="dxa"/>
                  <w:gridSpan w:val="2"/>
                  <w:vAlign w:val="center"/>
                </w:tcPr>
                <w:p>
                  <w:pPr>
                    <w:jc w:val="center"/>
                    <w:rPr>
                      <w:color w:val="auto"/>
                      <w:sz w:val="21"/>
                      <w:szCs w:val="21"/>
                      <w:u w:val="single"/>
                    </w:rPr>
                  </w:pPr>
                  <w:r>
                    <w:rPr>
                      <w:rFonts w:hint="eastAsia" w:hAnsi="宋体"/>
                      <w:color w:val="auto"/>
                      <w:kern w:val="0"/>
                      <w:sz w:val="21"/>
                      <w:szCs w:val="21"/>
                      <w:u w:val="single"/>
                    </w:rPr>
                    <w:t>除尘器收集粉尘</w:t>
                  </w:r>
                </w:p>
              </w:tc>
              <w:tc>
                <w:tcPr>
                  <w:tcW w:w="1398" w:type="dxa"/>
                  <w:vAlign w:val="center"/>
                </w:tcPr>
                <w:p>
                  <w:pPr>
                    <w:jc w:val="center"/>
                    <w:rPr>
                      <w:color w:val="auto"/>
                      <w:sz w:val="21"/>
                      <w:szCs w:val="21"/>
                      <w:u w:val="single"/>
                    </w:rPr>
                  </w:pPr>
                  <w:r>
                    <w:rPr>
                      <w:rFonts w:hint="eastAsia"/>
                      <w:color w:val="auto"/>
                      <w:sz w:val="21"/>
                      <w:szCs w:val="21"/>
                      <w:u w:val="single"/>
                    </w:rPr>
                    <w:t>6.44</w:t>
                  </w:r>
                  <w:r>
                    <w:rPr>
                      <w:bCs/>
                      <w:color w:val="auto"/>
                      <w:kern w:val="0"/>
                      <w:sz w:val="21"/>
                      <w:szCs w:val="21"/>
                      <w:u w:val="single"/>
                    </w:rPr>
                    <w:t>t</w:t>
                  </w:r>
                </w:p>
              </w:tc>
              <w:tc>
                <w:tcPr>
                  <w:tcW w:w="1224" w:type="dxa"/>
                  <w:vAlign w:val="center"/>
                </w:tcPr>
                <w:p>
                  <w:pPr>
                    <w:jc w:val="center"/>
                    <w:rPr>
                      <w:color w:val="auto"/>
                      <w:sz w:val="21"/>
                      <w:szCs w:val="21"/>
                      <w:u w:val="single"/>
                    </w:rPr>
                  </w:pPr>
                  <w:r>
                    <w:rPr>
                      <w:rFonts w:hint="eastAsia" w:hAnsi="宋体"/>
                      <w:color w:val="auto"/>
                      <w:sz w:val="21"/>
                      <w:szCs w:val="21"/>
                      <w:u w:val="single"/>
                    </w:rPr>
                    <w:t>一般固废</w:t>
                  </w:r>
                </w:p>
              </w:tc>
              <w:tc>
                <w:tcPr>
                  <w:tcW w:w="2016" w:type="dxa"/>
                  <w:vAlign w:val="center"/>
                </w:tcPr>
                <w:p>
                  <w:pPr>
                    <w:jc w:val="center"/>
                    <w:rPr>
                      <w:color w:val="auto"/>
                      <w:sz w:val="21"/>
                      <w:szCs w:val="21"/>
                      <w:u w:val="single"/>
                    </w:rPr>
                  </w:pPr>
                  <w:r>
                    <w:rPr>
                      <w:rFonts w:hint="eastAsia" w:hAnsi="宋体"/>
                      <w:color w:val="auto"/>
                      <w:sz w:val="21"/>
                      <w:szCs w:val="21"/>
                      <w:u w:val="single"/>
                    </w:rPr>
                    <w:t>收集后回用于</w:t>
                  </w:r>
                  <w:r>
                    <w:rPr>
                      <w:rFonts w:hint="eastAsia" w:hAnsi="宋体"/>
                      <w:color w:val="auto"/>
                      <w:sz w:val="21"/>
                      <w:szCs w:val="21"/>
                      <w:u w:val="single"/>
                      <w:lang w:eastAsia="zh-CN"/>
                    </w:rPr>
                    <w:t>化学氧化</w:t>
                  </w:r>
                  <w:r>
                    <w:rPr>
                      <w:rFonts w:hint="eastAsia" w:hAnsi="宋体"/>
                      <w:color w:val="auto"/>
                      <w:sz w:val="21"/>
                      <w:szCs w:val="21"/>
                      <w:u w:val="single"/>
                    </w:rPr>
                    <w:t>修复工序</w:t>
                  </w:r>
                </w:p>
              </w:tc>
              <w:tc>
                <w:tcPr>
                  <w:tcW w:w="1194" w:type="dxa"/>
                  <w:vMerge w:val="continue"/>
                  <w:vAlign w:val="center"/>
                </w:tcPr>
                <w:p>
                  <w:pPr>
                    <w:jc w:val="center"/>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600" w:type="dxa"/>
                  <w:vAlign w:val="center"/>
                </w:tcPr>
                <w:p>
                  <w:pPr>
                    <w:jc w:val="center"/>
                    <w:rPr>
                      <w:color w:val="auto"/>
                      <w:sz w:val="21"/>
                      <w:szCs w:val="21"/>
                      <w:u w:val="single"/>
                    </w:rPr>
                  </w:pPr>
                  <w:r>
                    <w:rPr>
                      <w:rFonts w:hint="eastAsia"/>
                      <w:color w:val="auto"/>
                      <w:sz w:val="21"/>
                      <w:szCs w:val="21"/>
                      <w:u w:val="single"/>
                    </w:rPr>
                    <w:t>5</w:t>
                  </w:r>
                </w:p>
              </w:tc>
              <w:tc>
                <w:tcPr>
                  <w:tcW w:w="2638" w:type="dxa"/>
                  <w:gridSpan w:val="2"/>
                  <w:vAlign w:val="center"/>
                </w:tcPr>
                <w:p>
                  <w:pPr>
                    <w:jc w:val="center"/>
                    <w:rPr>
                      <w:rFonts w:hAnsi="宋体"/>
                      <w:color w:val="auto"/>
                      <w:kern w:val="0"/>
                      <w:sz w:val="21"/>
                      <w:szCs w:val="21"/>
                      <w:u w:val="single"/>
                    </w:rPr>
                  </w:pPr>
                  <w:r>
                    <w:rPr>
                      <w:rFonts w:hint="eastAsia" w:hAnsi="宋体"/>
                      <w:color w:val="auto"/>
                      <w:kern w:val="0"/>
                      <w:sz w:val="21"/>
                      <w:szCs w:val="21"/>
                      <w:u w:val="single"/>
                    </w:rPr>
                    <w:t>废活性炭</w:t>
                  </w:r>
                </w:p>
              </w:tc>
              <w:tc>
                <w:tcPr>
                  <w:tcW w:w="1398" w:type="dxa"/>
                  <w:vAlign w:val="center"/>
                </w:tcPr>
                <w:p>
                  <w:pPr>
                    <w:jc w:val="center"/>
                    <w:rPr>
                      <w:color w:val="auto"/>
                      <w:sz w:val="21"/>
                      <w:szCs w:val="21"/>
                      <w:u w:val="single"/>
                    </w:rPr>
                  </w:pPr>
                  <w:r>
                    <w:rPr>
                      <w:rFonts w:hint="eastAsia"/>
                      <w:color w:val="auto"/>
                      <w:sz w:val="21"/>
                      <w:szCs w:val="21"/>
                      <w:u w:val="single"/>
                    </w:rPr>
                    <w:t>0.6</w:t>
                  </w:r>
                  <w:r>
                    <w:rPr>
                      <w:rFonts w:hint="eastAsia"/>
                      <w:color w:val="auto"/>
                      <w:sz w:val="21"/>
                      <w:szCs w:val="21"/>
                      <w:u w:val="single"/>
                      <w:lang w:val="en-US" w:eastAsia="zh-CN"/>
                    </w:rPr>
                    <w:t>03</w:t>
                  </w:r>
                  <w:r>
                    <w:rPr>
                      <w:bCs/>
                      <w:color w:val="auto"/>
                      <w:kern w:val="0"/>
                      <w:sz w:val="21"/>
                      <w:szCs w:val="21"/>
                      <w:u w:val="single"/>
                    </w:rPr>
                    <w:t>t</w:t>
                  </w:r>
                </w:p>
              </w:tc>
              <w:tc>
                <w:tcPr>
                  <w:tcW w:w="1224" w:type="dxa"/>
                  <w:vAlign w:val="center"/>
                </w:tcPr>
                <w:p>
                  <w:pPr>
                    <w:jc w:val="center"/>
                    <w:rPr>
                      <w:rFonts w:hAnsi="宋体"/>
                      <w:color w:val="auto"/>
                      <w:sz w:val="21"/>
                      <w:szCs w:val="21"/>
                      <w:u w:val="single"/>
                    </w:rPr>
                  </w:pPr>
                  <w:r>
                    <w:rPr>
                      <w:rFonts w:hint="eastAsia" w:hAnsi="宋体"/>
                      <w:color w:val="auto"/>
                      <w:sz w:val="21"/>
                      <w:szCs w:val="21"/>
                      <w:u w:val="single"/>
                    </w:rPr>
                    <w:t>危险废物</w:t>
                  </w:r>
                </w:p>
              </w:tc>
              <w:tc>
                <w:tcPr>
                  <w:tcW w:w="2016" w:type="dxa"/>
                  <w:vAlign w:val="center"/>
                </w:tcPr>
                <w:p>
                  <w:pPr>
                    <w:jc w:val="center"/>
                    <w:rPr>
                      <w:rFonts w:hAnsi="宋体"/>
                      <w:color w:val="auto"/>
                      <w:sz w:val="21"/>
                      <w:szCs w:val="21"/>
                      <w:u w:val="single"/>
                    </w:rPr>
                  </w:pPr>
                  <w:r>
                    <w:rPr>
                      <w:rFonts w:hint="eastAsia" w:hAnsi="宋体"/>
                      <w:color w:val="auto"/>
                      <w:sz w:val="21"/>
                      <w:szCs w:val="21"/>
                      <w:u w:val="single"/>
                    </w:rPr>
                    <w:t>委托有资质单位处理</w:t>
                  </w:r>
                </w:p>
              </w:tc>
              <w:tc>
                <w:tcPr>
                  <w:tcW w:w="1194" w:type="dxa"/>
                  <w:vMerge w:val="continue"/>
                  <w:vAlign w:val="center"/>
                </w:tcPr>
                <w:p>
                  <w:pPr>
                    <w:jc w:val="center"/>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600" w:type="dxa"/>
                  <w:vAlign w:val="center"/>
                </w:tcPr>
                <w:p>
                  <w:pPr>
                    <w:jc w:val="center"/>
                    <w:rPr>
                      <w:color w:val="auto"/>
                      <w:sz w:val="21"/>
                      <w:szCs w:val="21"/>
                      <w:u w:val="single"/>
                    </w:rPr>
                  </w:pPr>
                  <w:r>
                    <w:rPr>
                      <w:rFonts w:hint="eastAsia"/>
                      <w:color w:val="auto"/>
                      <w:sz w:val="21"/>
                      <w:szCs w:val="21"/>
                      <w:u w:val="single"/>
                    </w:rPr>
                    <w:t>6</w:t>
                  </w:r>
                </w:p>
              </w:tc>
              <w:tc>
                <w:tcPr>
                  <w:tcW w:w="2638" w:type="dxa"/>
                  <w:gridSpan w:val="2"/>
                  <w:vAlign w:val="center"/>
                </w:tcPr>
                <w:p>
                  <w:pPr>
                    <w:jc w:val="center"/>
                    <w:rPr>
                      <w:color w:val="auto"/>
                      <w:sz w:val="21"/>
                      <w:szCs w:val="21"/>
                      <w:u w:val="single"/>
                    </w:rPr>
                  </w:pPr>
                  <w:r>
                    <w:rPr>
                      <w:rFonts w:hAnsi="宋体"/>
                      <w:color w:val="auto"/>
                      <w:sz w:val="21"/>
                      <w:szCs w:val="21"/>
                      <w:u w:val="single"/>
                    </w:rPr>
                    <w:t>生活垃圾</w:t>
                  </w:r>
                </w:p>
              </w:tc>
              <w:tc>
                <w:tcPr>
                  <w:tcW w:w="1398" w:type="dxa"/>
                  <w:vAlign w:val="center"/>
                </w:tcPr>
                <w:p>
                  <w:pPr>
                    <w:jc w:val="center"/>
                    <w:rPr>
                      <w:color w:val="auto"/>
                      <w:sz w:val="21"/>
                      <w:szCs w:val="21"/>
                      <w:u w:val="single"/>
                    </w:rPr>
                  </w:pPr>
                  <w:r>
                    <w:rPr>
                      <w:color w:val="auto"/>
                      <w:sz w:val="21"/>
                      <w:szCs w:val="21"/>
                      <w:u w:val="single"/>
                    </w:rPr>
                    <w:t>1.2</w:t>
                  </w:r>
                  <w:r>
                    <w:rPr>
                      <w:bCs/>
                      <w:color w:val="auto"/>
                      <w:kern w:val="0"/>
                      <w:sz w:val="21"/>
                      <w:szCs w:val="21"/>
                      <w:u w:val="single"/>
                    </w:rPr>
                    <w:t>t</w:t>
                  </w:r>
                </w:p>
              </w:tc>
              <w:tc>
                <w:tcPr>
                  <w:tcW w:w="1224" w:type="dxa"/>
                  <w:vAlign w:val="center"/>
                </w:tcPr>
                <w:p>
                  <w:pPr>
                    <w:jc w:val="center"/>
                    <w:rPr>
                      <w:color w:val="auto"/>
                      <w:sz w:val="21"/>
                      <w:szCs w:val="21"/>
                      <w:u w:val="single"/>
                    </w:rPr>
                  </w:pPr>
                  <w:r>
                    <w:rPr>
                      <w:rFonts w:hAnsi="宋体"/>
                      <w:color w:val="auto"/>
                      <w:sz w:val="21"/>
                      <w:szCs w:val="21"/>
                      <w:u w:val="single"/>
                    </w:rPr>
                    <w:t>一般固废</w:t>
                  </w:r>
                </w:p>
              </w:tc>
              <w:tc>
                <w:tcPr>
                  <w:tcW w:w="2016" w:type="dxa"/>
                  <w:vAlign w:val="center"/>
                </w:tcPr>
                <w:p>
                  <w:pPr>
                    <w:jc w:val="center"/>
                    <w:rPr>
                      <w:color w:val="auto"/>
                      <w:sz w:val="21"/>
                      <w:szCs w:val="21"/>
                      <w:u w:val="single"/>
                    </w:rPr>
                  </w:pPr>
                  <w:r>
                    <w:rPr>
                      <w:rFonts w:hAnsi="宋体"/>
                      <w:color w:val="auto"/>
                      <w:sz w:val="21"/>
                      <w:szCs w:val="21"/>
                      <w:u w:val="single"/>
                    </w:rPr>
                    <w:t>环卫统一处理</w:t>
                  </w:r>
                </w:p>
              </w:tc>
              <w:tc>
                <w:tcPr>
                  <w:tcW w:w="1194" w:type="dxa"/>
                  <w:vMerge w:val="continue"/>
                  <w:vAlign w:val="center"/>
                </w:tcPr>
                <w:p>
                  <w:pPr>
                    <w:jc w:val="center"/>
                    <w:rPr>
                      <w:color w:val="auto"/>
                      <w:sz w:val="21"/>
                      <w:szCs w:val="21"/>
                      <w:u w:val="singl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u w:val="single"/>
              </w:rPr>
            </w:pPr>
            <w:r>
              <w:rPr>
                <w:rFonts w:hint="eastAsia"/>
                <w:b/>
                <w:color w:val="auto"/>
                <w:sz w:val="24"/>
                <w:szCs w:val="24"/>
                <w:u w:val="single"/>
              </w:rPr>
              <w:t>5</w:t>
            </w:r>
            <w:r>
              <w:rPr>
                <w:rFonts w:hAnsi="宋体"/>
                <w:b/>
                <w:color w:val="auto"/>
                <w:sz w:val="24"/>
                <w:szCs w:val="24"/>
                <w:u w:val="single"/>
              </w:rPr>
              <w:t>、</w:t>
            </w:r>
            <w:r>
              <w:rPr>
                <w:rFonts w:hint="eastAsia" w:hAnsi="宋体"/>
                <w:b/>
                <w:color w:val="auto"/>
                <w:sz w:val="24"/>
                <w:szCs w:val="24"/>
                <w:u w:val="single"/>
              </w:rPr>
              <w:t>生态环境影响</w:t>
            </w:r>
            <w:r>
              <w:rPr>
                <w:rFonts w:hint="eastAsia" w:hAnsi="宋体"/>
                <w:b/>
                <w:color w:val="auto"/>
                <w:sz w:val="24"/>
                <w:szCs w:val="24"/>
                <w:u w:val="single"/>
                <w:lang w:eastAsia="zh-CN"/>
              </w:rPr>
              <w:t>及修复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Ansi="宋体"/>
                <w:color w:val="auto"/>
                <w:kern w:val="0"/>
                <w:sz w:val="24"/>
                <w:szCs w:val="22"/>
                <w:u w:val="single"/>
              </w:rPr>
            </w:pPr>
            <w:r>
              <w:rPr>
                <w:rFonts w:hint="eastAsia" w:hAnsi="宋体"/>
                <w:color w:val="auto"/>
                <w:kern w:val="0"/>
                <w:sz w:val="24"/>
                <w:szCs w:val="22"/>
                <w:u w:val="single"/>
              </w:rPr>
              <w:t>项目土壤修复区为</w:t>
            </w:r>
            <w:r>
              <w:rPr>
                <w:rFonts w:hint="eastAsia" w:hAnsi="宋体"/>
                <w:color w:val="auto"/>
                <w:sz w:val="24"/>
                <w:u w:val="single"/>
              </w:rPr>
              <w:t>平江县原三阳乡化学农药厂</w:t>
            </w:r>
            <w:r>
              <w:rPr>
                <w:rFonts w:hAnsi="宋体"/>
                <w:color w:val="auto"/>
                <w:sz w:val="24"/>
                <w:u w:val="single"/>
              </w:rPr>
              <w:t>旧址，</w:t>
            </w:r>
            <w:r>
              <w:rPr>
                <w:rFonts w:hint="eastAsia" w:hAnsi="宋体"/>
                <w:color w:val="auto"/>
                <w:sz w:val="24"/>
                <w:u w:val="single"/>
              </w:rPr>
              <w:t>2009年关闭后</w:t>
            </w:r>
            <w:r>
              <w:rPr>
                <w:rFonts w:hAnsi="宋体"/>
                <w:color w:val="auto"/>
                <w:sz w:val="24"/>
                <w:u w:val="single"/>
              </w:rPr>
              <w:t>原厂区形态基本保留，</w:t>
            </w:r>
            <w:r>
              <w:rPr>
                <w:rFonts w:hint="eastAsia" w:hAnsi="宋体"/>
                <w:color w:val="auto"/>
                <w:sz w:val="24"/>
                <w:u w:val="single"/>
              </w:rPr>
              <w:t>厂区内总体上比较杂乱，部分设备拆除后，被堆放在厂区的空地上，且多为生产罐体，厂区内部原本硬化的地面，现为半破损状态，厂区周边有杂草。此外厂区上游区域及北边区域零散堆积有建筑弃土。</w:t>
            </w:r>
            <w:r>
              <w:rPr>
                <w:rFonts w:hint="eastAsia" w:hAnsi="宋体"/>
                <w:color w:val="auto"/>
                <w:kern w:val="0"/>
                <w:sz w:val="24"/>
                <w:szCs w:val="22"/>
                <w:u w:val="single"/>
              </w:rPr>
              <w:t>现状植被种类、数量较少。</w:t>
            </w:r>
            <w:r>
              <w:rPr>
                <w:rFonts w:hint="eastAsia" w:hAnsi="宋体"/>
                <w:color w:val="FF0000"/>
                <w:kern w:val="0"/>
                <w:sz w:val="24"/>
                <w:szCs w:val="22"/>
                <w:u w:val="single"/>
              </w:rPr>
              <w:t>修复负压大棚和临时转运区设置在项目</w:t>
            </w:r>
            <w:r>
              <w:rPr>
                <w:rFonts w:hint="eastAsia" w:hAnsi="宋体"/>
                <w:color w:val="FF0000"/>
                <w:kern w:val="0"/>
                <w:sz w:val="24"/>
                <w:szCs w:val="22"/>
                <w:u w:val="single"/>
                <w:lang w:eastAsia="zh-CN"/>
              </w:rPr>
              <w:t>北侧</w:t>
            </w:r>
            <w:r>
              <w:rPr>
                <w:rFonts w:hint="eastAsia" w:hAnsi="宋体"/>
                <w:color w:val="FF0000"/>
                <w:kern w:val="0"/>
                <w:sz w:val="24"/>
                <w:szCs w:val="22"/>
                <w:u w:val="single"/>
              </w:rPr>
              <w:t>约</w:t>
            </w:r>
            <w:r>
              <w:rPr>
                <w:rFonts w:hint="eastAsia" w:hAnsi="宋体"/>
                <w:color w:val="FF0000"/>
                <w:kern w:val="0"/>
                <w:sz w:val="24"/>
                <w:szCs w:val="22"/>
                <w:u w:val="single"/>
                <w:lang w:val="en-US" w:eastAsia="zh-CN"/>
              </w:rPr>
              <w:t>5</w:t>
            </w:r>
            <w:r>
              <w:rPr>
                <w:rFonts w:hint="eastAsia" w:hAnsi="宋体"/>
                <w:color w:val="FF0000"/>
                <w:kern w:val="0"/>
                <w:sz w:val="24"/>
                <w:szCs w:val="22"/>
                <w:u w:val="single"/>
              </w:rPr>
              <w:t>m的空地处，</w:t>
            </w:r>
            <w:r>
              <w:rPr>
                <w:rFonts w:hint="eastAsia" w:hAnsi="宋体"/>
                <w:color w:val="auto"/>
                <w:kern w:val="0"/>
                <w:sz w:val="24"/>
                <w:szCs w:val="22"/>
                <w:u w:val="single"/>
              </w:rPr>
              <w:t>整个区域为闲置空地，含有及少量的植被。因此，本项目的实施对项目用地范围内的生态植被影响较小，仅施工过程产生的粉尘可能对周边林地乔木、灌木等植被产生影响，通过洒水抑尘等措施可有效控制影响范围。另外，项目施工后会对地块进行生态恢复，表层种植植被，可有效恢复该区域生态环境。施工结束后应对修复区和临时占地区进行植被恢复，按照草+树木的要求，并及时浇水，保证植被的成活率不低于80%，保证区域生态得到改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bCs/>
                <w:color w:val="auto"/>
                <w:sz w:val="24"/>
                <w:szCs w:val="24"/>
              </w:rPr>
            </w:pPr>
            <w:r>
              <w:rPr>
                <w:rFonts w:hint="eastAsia" w:hAnsi="宋体"/>
                <w:color w:val="auto"/>
                <w:kern w:val="0"/>
                <w:sz w:val="24"/>
                <w:szCs w:val="22"/>
                <w:u w:val="single"/>
              </w:rPr>
              <w:t>本项目施工期间对生态的影响主要为水土流失影响，因施工扰动</w:t>
            </w:r>
            <w:r>
              <w:rPr>
                <w:rFonts w:hAnsi="宋体"/>
                <w:color w:val="auto"/>
                <w:sz w:val="24"/>
                <w:szCs w:val="24"/>
                <w:u w:val="single"/>
              </w:rPr>
              <w:t>表面积较大，扰动地表结构、破坏植被，导致地表水土保持功能减弱。</w:t>
            </w:r>
          </w:p>
          <w:p>
            <w:pPr>
              <w:pStyle w:val="2"/>
              <w:rPr>
                <w:bCs/>
                <w:color w:val="auto"/>
                <w:sz w:val="24"/>
                <w:szCs w:val="24"/>
              </w:rPr>
            </w:pPr>
          </w:p>
          <w:p>
            <w:pPr>
              <w:spacing w:line="460" w:lineRule="exact"/>
              <w:rPr>
                <w:bCs/>
                <w:color w:val="auto"/>
                <w:sz w:val="24"/>
                <w:szCs w:val="24"/>
              </w:rPr>
            </w:pPr>
          </w:p>
        </w:tc>
      </w:tr>
    </w:tbl>
    <w:p>
      <w:pPr>
        <w:pStyle w:val="3"/>
        <w:spacing w:before="0" w:after="0" w:line="240" w:lineRule="auto"/>
        <w:rPr>
          <w:b w:val="0"/>
          <w:color w:val="auto"/>
          <w:sz w:val="32"/>
        </w:rPr>
      </w:pPr>
      <w:r>
        <w:rPr>
          <w:b w:val="0"/>
          <w:color w:val="auto"/>
          <w:sz w:val="32"/>
        </w:rPr>
        <w:br w:type="page"/>
      </w:r>
      <w:bookmarkStart w:id="14" w:name="_Toc485612241"/>
      <w:r>
        <w:rPr>
          <w:rFonts w:hAnsi="宋体"/>
          <w:color w:val="auto"/>
          <w:sz w:val="28"/>
          <w:szCs w:val="28"/>
        </w:rPr>
        <w:t>项目主要污染物产生及预计排放情况</w:t>
      </w:r>
      <w:bookmarkEnd w:id="14"/>
    </w:p>
    <w:tbl>
      <w:tblPr>
        <w:tblStyle w:val="30"/>
        <w:tblW w:w="92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79"/>
        <w:gridCol w:w="726"/>
        <w:gridCol w:w="726"/>
        <w:gridCol w:w="1692"/>
        <w:gridCol w:w="1245"/>
        <w:gridCol w:w="1245"/>
        <w:gridCol w:w="124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restart"/>
            <w:tcBorders>
              <w:tl2br w:val="single" w:color="auto" w:sz="4" w:space="0"/>
            </w:tcBorders>
            <w:vAlign w:val="center"/>
          </w:tcPr>
          <w:p>
            <w:pPr>
              <w:adjustRightInd w:val="0"/>
              <w:snapToGrid w:val="0"/>
              <w:jc w:val="center"/>
              <w:rPr>
                <w:b/>
                <w:bCs/>
                <w:color w:val="auto"/>
                <w:sz w:val="24"/>
                <w:szCs w:val="24"/>
              </w:rPr>
            </w:pPr>
            <w:r>
              <w:rPr>
                <w:rFonts w:hAnsi="宋体"/>
                <w:b/>
                <w:bCs/>
                <w:color w:val="auto"/>
                <w:sz w:val="24"/>
                <w:szCs w:val="24"/>
              </w:rPr>
              <w:t>内容</w:t>
            </w:r>
          </w:p>
          <w:p>
            <w:pPr>
              <w:adjustRightInd w:val="0"/>
              <w:snapToGrid w:val="0"/>
              <w:rPr>
                <w:b/>
                <w:bCs/>
                <w:color w:val="auto"/>
                <w:sz w:val="24"/>
                <w:szCs w:val="24"/>
              </w:rPr>
            </w:pPr>
            <w:r>
              <w:rPr>
                <w:rFonts w:hAnsi="宋体"/>
                <w:b/>
                <w:bCs/>
                <w:color w:val="auto"/>
                <w:sz w:val="24"/>
                <w:szCs w:val="24"/>
              </w:rPr>
              <w:t>类型</w:t>
            </w:r>
          </w:p>
        </w:tc>
        <w:tc>
          <w:tcPr>
            <w:tcW w:w="1452" w:type="dxa"/>
            <w:gridSpan w:val="2"/>
            <w:vMerge w:val="restart"/>
            <w:vAlign w:val="center"/>
          </w:tcPr>
          <w:p>
            <w:pPr>
              <w:adjustRightInd w:val="0"/>
              <w:snapToGrid w:val="0"/>
              <w:jc w:val="center"/>
              <w:rPr>
                <w:b/>
                <w:bCs/>
                <w:color w:val="auto"/>
                <w:sz w:val="24"/>
                <w:szCs w:val="24"/>
              </w:rPr>
            </w:pPr>
            <w:r>
              <w:rPr>
                <w:rFonts w:hAnsi="宋体"/>
                <w:b/>
                <w:bCs/>
                <w:color w:val="auto"/>
                <w:sz w:val="24"/>
                <w:szCs w:val="24"/>
              </w:rPr>
              <w:t>排放源</w:t>
            </w:r>
            <w:r>
              <w:rPr>
                <w:b/>
                <w:bCs/>
                <w:color w:val="auto"/>
                <w:sz w:val="24"/>
                <w:szCs w:val="24"/>
              </w:rPr>
              <w:t>(</w:t>
            </w:r>
            <w:r>
              <w:rPr>
                <w:rFonts w:hAnsi="宋体"/>
                <w:b/>
                <w:bCs/>
                <w:color w:val="auto"/>
                <w:sz w:val="24"/>
                <w:szCs w:val="24"/>
              </w:rPr>
              <w:t>编号</w:t>
            </w:r>
            <w:r>
              <w:rPr>
                <w:b/>
                <w:bCs/>
                <w:color w:val="auto"/>
                <w:sz w:val="24"/>
                <w:szCs w:val="24"/>
              </w:rPr>
              <w:t>)</w:t>
            </w:r>
          </w:p>
        </w:tc>
        <w:tc>
          <w:tcPr>
            <w:tcW w:w="1692" w:type="dxa"/>
            <w:vMerge w:val="restart"/>
            <w:vAlign w:val="center"/>
          </w:tcPr>
          <w:p>
            <w:pPr>
              <w:adjustRightInd w:val="0"/>
              <w:snapToGrid w:val="0"/>
              <w:jc w:val="center"/>
              <w:rPr>
                <w:b/>
                <w:bCs/>
                <w:color w:val="auto"/>
                <w:sz w:val="24"/>
                <w:szCs w:val="24"/>
              </w:rPr>
            </w:pPr>
            <w:r>
              <w:rPr>
                <w:rFonts w:hAnsi="宋体"/>
                <w:b/>
                <w:bCs/>
                <w:color w:val="auto"/>
                <w:sz w:val="24"/>
                <w:szCs w:val="24"/>
              </w:rPr>
              <w:t>污染物</w:t>
            </w:r>
          </w:p>
          <w:p>
            <w:pPr>
              <w:adjustRightInd w:val="0"/>
              <w:snapToGrid w:val="0"/>
              <w:jc w:val="center"/>
              <w:rPr>
                <w:b/>
                <w:bCs/>
                <w:color w:val="auto"/>
                <w:sz w:val="24"/>
                <w:szCs w:val="24"/>
              </w:rPr>
            </w:pPr>
            <w:r>
              <w:rPr>
                <w:rFonts w:hAnsi="宋体"/>
                <w:b/>
                <w:bCs/>
                <w:color w:val="auto"/>
                <w:sz w:val="24"/>
                <w:szCs w:val="24"/>
              </w:rPr>
              <w:t>名称</w:t>
            </w:r>
          </w:p>
        </w:tc>
        <w:tc>
          <w:tcPr>
            <w:tcW w:w="2490" w:type="dxa"/>
            <w:gridSpan w:val="2"/>
            <w:vAlign w:val="center"/>
          </w:tcPr>
          <w:p>
            <w:pPr>
              <w:adjustRightInd w:val="0"/>
              <w:snapToGrid w:val="0"/>
              <w:jc w:val="center"/>
              <w:rPr>
                <w:b/>
                <w:bCs/>
                <w:color w:val="auto"/>
                <w:sz w:val="24"/>
                <w:szCs w:val="24"/>
              </w:rPr>
            </w:pPr>
            <w:r>
              <w:rPr>
                <w:rFonts w:hAnsi="宋体"/>
                <w:b/>
                <w:bCs/>
                <w:color w:val="auto"/>
                <w:sz w:val="24"/>
                <w:szCs w:val="24"/>
              </w:rPr>
              <w:t>产生浓度及产生量</w:t>
            </w:r>
          </w:p>
        </w:tc>
        <w:tc>
          <w:tcPr>
            <w:tcW w:w="2491" w:type="dxa"/>
            <w:gridSpan w:val="2"/>
            <w:vAlign w:val="center"/>
          </w:tcPr>
          <w:p>
            <w:pPr>
              <w:adjustRightInd w:val="0"/>
              <w:snapToGrid w:val="0"/>
              <w:jc w:val="center"/>
              <w:rPr>
                <w:b/>
                <w:bCs/>
                <w:color w:val="auto"/>
                <w:sz w:val="24"/>
                <w:szCs w:val="24"/>
              </w:rPr>
            </w:pPr>
            <w:r>
              <w:rPr>
                <w:rFonts w:hAnsi="宋体"/>
                <w:b/>
                <w:bCs/>
                <w:color w:val="auto"/>
                <w:sz w:val="24"/>
                <w:szCs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tcBorders>
              <w:tl2br w:val="single" w:color="auto" w:sz="4" w:space="0"/>
            </w:tcBorders>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b/>
                <w:bCs/>
                <w:color w:val="auto"/>
                <w:sz w:val="24"/>
                <w:szCs w:val="24"/>
              </w:rPr>
            </w:pPr>
          </w:p>
        </w:tc>
        <w:tc>
          <w:tcPr>
            <w:tcW w:w="1692" w:type="dxa"/>
            <w:vMerge w:val="continue"/>
            <w:vAlign w:val="center"/>
          </w:tcPr>
          <w:p>
            <w:pPr>
              <w:adjustRightInd w:val="0"/>
              <w:snapToGrid w:val="0"/>
              <w:jc w:val="center"/>
              <w:rPr>
                <w:b/>
                <w:bCs/>
                <w:color w:val="auto"/>
                <w:sz w:val="24"/>
                <w:szCs w:val="24"/>
              </w:rPr>
            </w:pPr>
          </w:p>
        </w:tc>
        <w:tc>
          <w:tcPr>
            <w:tcW w:w="1245" w:type="dxa"/>
            <w:vAlign w:val="center"/>
          </w:tcPr>
          <w:p>
            <w:pPr>
              <w:adjustRightInd w:val="0"/>
              <w:snapToGrid w:val="0"/>
              <w:jc w:val="center"/>
              <w:rPr>
                <w:b/>
                <w:bCs/>
                <w:color w:val="auto"/>
                <w:sz w:val="24"/>
                <w:szCs w:val="24"/>
              </w:rPr>
            </w:pPr>
            <w:r>
              <w:rPr>
                <w:rFonts w:hAnsi="宋体"/>
                <w:b/>
                <w:bCs/>
                <w:color w:val="auto"/>
                <w:sz w:val="24"/>
                <w:szCs w:val="24"/>
              </w:rPr>
              <w:t>浓度</w:t>
            </w:r>
          </w:p>
        </w:tc>
        <w:tc>
          <w:tcPr>
            <w:tcW w:w="1245" w:type="dxa"/>
            <w:vAlign w:val="center"/>
          </w:tcPr>
          <w:p>
            <w:pPr>
              <w:adjustRightInd w:val="0"/>
              <w:snapToGrid w:val="0"/>
              <w:jc w:val="center"/>
              <w:rPr>
                <w:b/>
                <w:bCs/>
                <w:color w:val="auto"/>
                <w:sz w:val="24"/>
                <w:szCs w:val="24"/>
              </w:rPr>
            </w:pPr>
            <w:r>
              <w:rPr>
                <w:rFonts w:hAnsi="宋体"/>
                <w:b/>
                <w:bCs/>
                <w:color w:val="auto"/>
                <w:sz w:val="24"/>
                <w:szCs w:val="24"/>
              </w:rPr>
              <w:t>产生量</w:t>
            </w:r>
          </w:p>
        </w:tc>
        <w:tc>
          <w:tcPr>
            <w:tcW w:w="1245" w:type="dxa"/>
            <w:vAlign w:val="center"/>
          </w:tcPr>
          <w:p>
            <w:pPr>
              <w:adjustRightInd w:val="0"/>
              <w:snapToGrid w:val="0"/>
              <w:jc w:val="center"/>
              <w:rPr>
                <w:b/>
                <w:bCs/>
                <w:color w:val="auto"/>
                <w:sz w:val="24"/>
                <w:szCs w:val="24"/>
              </w:rPr>
            </w:pPr>
            <w:r>
              <w:rPr>
                <w:rFonts w:hAnsi="宋体"/>
                <w:b/>
                <w:bCs/>
                <w:color w:val="auto"/>
                <w:sz w:val="24"/>
                <w:szCs w:val="24"/>
              </w:rPr>
              <w:t>浓度</w:t>
            </w:r>
          </w:p>
        </w:tc>
        <w:tc>
          <w:tcPr>
            <w:tcW w:w="1246" w:type="dxa"/>
            <w:vAlign w:val="center"/>
          </w:tcPr>
          <w:p>
            <w:pPr>
              <w:adjustRightInd w:val="0"/>
              <w:snapToGrid w:val="0"/>
              <w:jc w:val="center"/>
              <w:rPr>
                <w:b/>
                <w:bCs/>
                <w:color w:val="auto"/>
                <w:sz w:val="24"/>
                <w:szCs w:val="24"/>
              </w:rPr>
            </w:pPr>
            <w:r>
              <w:rPr>
                <w:rFonts w:hAnsi="宋体"/>
                <w:b/>
                <w:bCs/>
                <w:color w:val="auto"/>
                <w:sz w:val="24"/>
                <w:szCs w:val="24"/>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restart"/>
            <w:vAlign w:val="center"/>
          </w:tcPr>
          <w:p>
            <w:pPr>
              <w:adjustRightInd w:val="0"/>
              <w:snapToGrid w:val="0"/>
              <w:jc w:val="center"/>
              <w:rPr>
                <w:b/>
                <w:bCs/>
                <w:color w:val="auto"/>
                <w:sz w:val="24"/>
                <w:szCs w:val="24"/>
              </w:rPr>
            </w:pPr>
            <w:r>
              <w:rPr>
                <w:rFonts w:hAnsi="宋体"/>
                <w:b/>
                <w:bCs/>
                <w:color w:val="auto"/>
                <w:sz w:val="24"/>
                <w:szCs w:val="24"/>
              </w:rPr>
              <w:t>大</w:t>
            </w:r>
          </w:p>
          <w:p>
            <w:pPr>
              <w:adjustRightInd w:val="0"/>
              <w:snapToGrid w:val="0"/>
              <w:jc w:val="center"/>
              <w:rPr>
                <w:b/>
                <w:bCs/>
                <w:color w:val="auto"/>
                <w:sz w:val="24"/>
                <w:szCs w:val="24"/>
              </w:rPr>
            </w:pPr>
            <w:r>
              <w:rPr>
                <w:rFonts w:hAnsi="宋体"/>
                <w:b/>
                <w:bCs/>
                <w:color w:val="auto"/>
                <w:sz w:val="24"/>
                <w:szCs w:val="24"/>
              </w:rPr>
              <w:t>气</w:t>
            </w:r>
          </w:p>
          <w:p>
            <w:pPr>
              <w:adjustRightInd w:val="0"/>
              <w:snapToGrid w:val="0"/>
              <w:jc w:val="center"/>
              <w:rPr>
                <w:b/>
                <w:bCs/>
                <w:color w:val="auto"/>
                <w:sz w:val="24"/>
                <w:szCs w:val="24"/>
              </w:rPr>
            </w:pPr>
            <w:r>
              <w:rPr>
                <w:rFonts w:hAnsi="宋体"/>
                <w:b/>
                <w:bCs/>
                <w:color w:val="auto"/>
                <w:sz w:val="24"/>
                <w:szCs w:val="24"/>
              </w:rPr>
              <w:t>污</w:t>
            </w:r>
          </w:p>
          <w:p>
            <w:pPr>
              <w:adjustRightInd w:val="0"/>
              <w:snapToGrid w:val="0"/>
              <w:jc w:val="center"/>
              <w:rPr>
                <w:b/>
                <w:bCs/>
                <w:color w:val="auto"/>
                <w:sz w:val="24"/>
                <w:szCs w:val="24"/>
              </w:rPr>
            </w:pPr>
            <w:r>
              <w:rPr>
                <w:rFonts w:hAnsi="宋体"/>
                <w:b/>
                <w:bCs/>
                <w:color w:val="auto"/>
                <w:sz w:val="24"/>
                <w:szCs w:val="24"/>
              </w:rPr>
              <w:t>染</w:t>
            </w:r>
          </w:p>
          <w:p>
            <w:pPr>
              <w:adjustRightInd w:val="0"/>
              <w:snapToGrid w:val="0"/>
              <w:jc w:val="center"/>
              <w:rPr>
                <w:b/>
                <w:bCs/>
                <w:color w:val="auto"/>
                <w:sz w:val="24"/>
                <w:szCs w:val="24"/>
              </w:rPr>
            </w:pPr>
            <w:r>
              <w:rPr>
                <w:rFonts w:hAnsi="宋体"/>
                <w:b/>
                <w:bCs/>
                <w:color w:val="auto"/>
                <w:sz w:val="24"/>
                <w:szCs w:val="24"/>
              </w:rPr>
              <w:t>物</w:t>
            </w:r>
          </w:p>
        </w:tc>
        <w:tc>
          <w:tcPr>
            <w:tcW w:w="1452" w:type="dxa"/>
            <w:gridSpan w:val="2"/>
            <w:vAlign w:val="center"/>
          </w:tcPr>
          <w:p>
            <w:pPr>
              <w:adjustRightInd w:val="0"/>
              <w:snapToGrid w:val="0"/>
              <w:ind w:firstLine="120" w:firstLineChars="50"/>
              <w:jc w:val="center"/>
              <w:rPr>
                <w:color w:val="auto"/>
                <w:sz w:val="24"/>
                <w:szCs w:val="24"/>
              </w:rPr>
            </w:pPr>
            <w:r>
              <w:rPr>
                <w:rFonts w:hint="eastAsia" w:hAnsi="宋体"/>
                <w:color w:val="auto"/>
                <w:sz w:val="24"/>
                <w:szCs w:val="24"/>
              </w:rPr>
              <w:t>构筑物拆除</w:t>
            </w:r>
          </w:p>
        </w:tc>
        <w:tc>
          <w:tcPr>
            <w:tcW w:w="1692" w:type="dxa"/>
            <w:tcBorders>
              <w:bottom w:val="single" w:color="auto" w:sz="4" w:space="0"/>
            </w:tcBorders>
            <w:vAlign w:val="center"/>
          </w:tcPr>
          <w:p>
            <w:pPr>
              <w:adjustRightInd w:val="0"/>
              <w:snapToGrid w:val="0"/>
              <w:jc w:val="center"/>
              <w:rPr>
                <w:color w:val="auto"/>
                <w:sz w:val="24"/>
                <w:szCs w:val="24"/>
              </w:rPr>
            </w:pPr>
            <w:r>
              <w:rPr>
                <w:rFonts w:hAnsi="宋体"/>
                <w:color w:val="auto"/>
                <w:sz w:val="24"/>
                <w:szCs w:val="24"/>
              </w:rPr>
              <w:t>扬尘</w:t>
            </w:r>
          </w:p>
        </w:tc>
        <w:tc>
          <w:tcPr>
            <w:tcW w:w="2490" w:type="dxa"/>
            <w:gridSpan w:val="2"/>
            <w:vAlign w:val="center"/>
          </w:tcPr>
          <w:p>
            <w:pPr>
              <w:adjustRightInd w:val="0"/>
              <w:snapToGrid w:val="0"/>
              <w:jc w:val="center"/>
              <w:rPr>
                <w:color w:val="auto"/>
                <w:sz w:val="24"/>
                <w:szCs w:val="24"/>
              </w:rPr>
            </w:pPr>
            <w:r>
              <w:rPr>
                <w:rFonts w:hint="eastAsia"/>
                <w:color w:val="auto"/>
                <w:sz w:val="24"/>
                <w:szCs w:val="24"/>
              </w:rPr>
              <w:t>11.762</w:t>
            </w:r>
            <w:r>
              <w:rPr>
                <w:color w:val="auto"/>
                <w:sz w:val="24"/>
                <w:szCs w:val="24"/>
              </w:rPr>
              <w:t>kg/h</w:t>
            </w:r>
            <w:r>
              <w:rPr>
                <w:rFonts w:hAnsi="宋体"/>
                <w:color w:val="auto"/>
                <w:sz w:val="24"/>
                <w:szCs w:val="24"/>
              </w:rPr>
              <w:t>，</w:t>
            </w:r>
            <w:r>
              <w:rPr>
                <w:rFonts w:hint="eastAsia"/>
                <w:color w:val="auto"/>
                <w:sz w:val="24"/>
                <w:szCs w:val="24"/>
              </w:rPr>
              <w:t>0.988</w:t>
            </w:r>
            <w:r>
              <w:rPr>
                <w:color w:val="auto"/>
                <w:sz w:val="24"/>
                <w:szCs w:val="24"/>
              </w:rPr>
              <w:t>t</w:t>
            </w:r>
          </w:p>
        </w:tc>
        <w:tc>
          <w:tcPr>
            <w:tcW w:w="2491" w:type="dxa"/>
            <w:gridSpan w:val="2"/>
            <w:vAlign w:val="center"/>
          </w:tcPr>
          <w:p>
            <w:pPr>
              <w:adjustRightInd w:val="0"/>
              <w:snapToGrid w:val="0"/>
              <w:jc w:val="center"/>
              <w:rPr>
                <w:color w:val="auto"/>
                <w:sz w:val="24"/>
                <w:szCs w:val="24"/>
              </w:rPr>
            </w:pPr>
            <w:r>
              <w:rPr>
                <w:rFonts w:hint="eastAsia"/>
                <w:color w:val="auto"/>
                <w:sz w:val="24"/>
                <w:szCs w:val="24"/>
              </w:rPr>
              <w:t>11.762</w:t>
            </w:r>
            <w:r>
              <w:rPr>
                <w:color w:val="auto"/>
                <w:sz w:val="24"/>
                <w:szCs w:val="24"/>
              </w:rPr>
              <w:t>kg/h</w:t>
            </w:r>
            <w:r>
              <w:rPr>
                <w:rFonts w:hAnsi="宋体"/>
                <w:color w:val="auto"/>
                <w:sz w:val="24"/>
                <w:szCs w:val="24"/>
              </w:rPr>
              <w:t>，</w:t>
            </w:r>
            <w:r>
              <w:rPr>
                <w:rFonts w:hint="eastAsia"/>
                <w:color w:val="auto"/>
                <w:sz w:val="24"/>
                <w:szCs w:val="24"/>
              </w:rPr>
              <w:t>0.988</w:t>
            </w:r>
            <w:r>
              <w:rPr>
                <w:color w:val="auto"/>
                <w:sz w:val="24"/>
                <w:szCs w:val="24"/>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rFonts w:hAnsi="宋体"/>
                <w:b/>
                <w:bCs/>
                <w:color w:val="auto"/>
                <w:sz w:val="24"/>
                <w:szCs w:val="24"/>
              </w:rPr>
            </w:pPr>
          </w:p>
        </w:tc>
        <w:tc>
          <w:tcPr>
            <w:tcW w:w="1452" w:type="dxa"/>
            <w:gridSpan w:val="2"/>
            <w:vAlign w:val="center"/>
          </w:tcPr>
          <w:p>
            <w:pPr>
              <w:adjustRightInd w:val="0"/>
              <w:snapToGrid w:val="0"/>
              <w:ind w:firstLine="120" w:firstLineChars="50"/>
              <w:jc w:val="center"/>
              <w:rPr>
                <w:color w:val="auto"/>
                <w:sz w:val="24"/>
                <w:szCs w:val="24"/>
              </w:rPr>
            </w:pPr>
            <w:r>
              <w:rPr>
                <w:rFonts w:hAnsi="宋体"/>
                <w:color w:val="auto"/>
                <w:sz w:val="24"/>
                <w:szCs w:val="24"/>
              </w:rPr>
              <w:t>土壤开挖、修复、回填</w:t>
            </w:r>
          </w:p>
        </w:tc>
        <w:tc>
          <w:tcPr>
            <w:tcW w:w="1692" w:type="dxa"/>
            <w:tcBorders>
              <w:bottom w:val="single" w:color="auto" w:sz="4" w:space="0"/>
            </w:tcBorders>
            <w:vAlign w:val="center"/>
          </w:tcPr>
          <w:p>
            <w:pPr>
              <w:adjustRightInd w:val="0"/>
              <w:snapToGrid w:val="0"/>
              <w:jc w:val="center"/>
              <w:rPr>
                <w:color w:val="auto"/>
                <w:sz w:val="24"/>
                <w:szCs w:val="24"/>
              </w:rPr>
            </w:pPr>
            <w:r>
              <w:rPr>
                <w:rFonts w:hAnsi="宋体"/>
                <w:color w:val="auto"/>
                <w:sz w:val="24"/>
                <w:szCs w:val="24"/>
              </w:rPr>
              <w:t>扬尘</w:t>
            </w:r>
          </w:p>
        </w:tc>
        <w:tc>
          <w:tcPr>
            <w:tcW w:w="2490" w:type="dxa"/>
            <w:gridSpan w:val="2"/>
            <w:vAlign w:val="center"/>
          </w:tcPr>
          <w:p>
            <w:pPr>
              <w:adjustRightInd w:val="0"/>
              <w:snapToGrid w:val="0"/>
              <w:jc w:val="center"/>
              <w:rPr>
                <w:color w:val="auto"/>
                <w:sz w:val="24"/>
                <w:szCs w:val="24"/>
              </w:rPr>
            </w:pPr>
            <w:r>
              <w:rPr>
                <w:rFonts w:hint="eastAsia" w:hAnsi="宋体"/>
                <w:color w:val="auto"/>
                <w:sz w:val="24"/>
              </w:rPr>
              <w:t>0.645</w:t>
            </w:r>
            <w:r>
              <w:rPr>
                <w:color w:val="auto"/>
                <w:sz w:val="24"/>
                <w:szCs w:val="24"/>
              </w:rPr>
              <w:t>kg/h</w:t>
            </w:r>
            <w:r>
              <w:rPr>
                <w:rFonts w:hAnsi="宋体"/>
                <w:color w:val="auto"/>
                <w:sz w:val="24"/>
                <w:szCs w:val="24"/>
              </w:rPr>
              <w:t>，</w:t>
            </w:r>
            <w:r>
              <w:rPr>
                <w:rFonts w:hint="eastAsia"/>
                <w:color w:val="auto"/>
                <w:sz w:val="24"/>
                <w:szCs w:val="24"/>
              </w:rPr>
              <w:t>0.774</w:t>
            </w:r>
            <w:r>
              <w:rPr>
                <w:color w:val="auto"/>
                <w:sz w:val="24"/>
                <w:szCs w:val="24"/>
              </w:rPr>
              <w:t>t</w:t>
            </w:r>
          </w:p>
        </w:tc>
        <w:tc>
          <w:tcPr>
            <w:tcW w:w="2491" w:type="dxa"/>
            <w:gridSpan w:val="2"/>
            <w:vAlign w:val="center"/>
          </w:tcPr>
          <w:p>
            <w:pPr>
              <w:adjustRightInd w:val="0"/>
              <w:snapToGrid w:val="0"/>
              <w:jc w:val="center"/>
              <w:rPr>
                <w:color w:val="auto"/>
                <w:sz w:val="24"/>
                <w:szCs w:val="24"/>
              </w:rPr>
            </w:pPr>
            <w:r>
              <w:rPr>
                <w:rFonts w:hint="eastAsia" w:hAnsi="宋体"/>
                <w:color w:val="auto"/>
                <w:sz w:val="24"/>
              </w:rPr>
              <w:t>0.645</w:t>
            </w:r>
            <w:r>
              <w:rPr>
                <w:color w:val="auto"/>
                <w:sz w:val="24"/>
                <w:szCs w:val="24"/>
              </w:rPr>
              <w:t>kg/h</w:t>
            </w:r>
            <w:r>
              <w:rPr>
                <w:rFonts w:hAnsi="宋体"/>
                <w:color w:val="auto"/>
                <w:sz w:val="24"/>
                <w:szCs w:val="24"/>
              </w:rPr>
              <w:t>，</w:t>
            </w:r>
            <w:r>
              <w:rPr>
                <w:rFonts w:hint="eastAsia"/>
                <w:color w:val="auto"/>
                <w:sz w:val="24"/>
                <w:szCs w:val="24"/>
              </w:rPr>
              <w:t>0.774</w:t>
            </w:r>
            <w:r>
              <w:rPr>
                <w:color w:val="auto"/>
                <w:sz w:val="24"/>
                <w:szCs w:val="24"/>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Align w:val="center"/>
          </w:tcPr>
          <w:p>
            <w:pPr>
              <w:adjustRightInd w:val="0"/>
              <w:snapToGrid w:val="0"/>
              <w:jc w:val="center"/>
              <w:rPr>
                <w:color w:val="auto"/>
                <w:sz w:val="24"/>
                <w:szCs w:val="24"/>
              </w:rPr>
            </w:pPr>
            <w:r>
              <w:rPr>
                <w:rFonts w:hAnsi="宋体"/>
                <w:color w:val="auto"/>
                <w:sz w:val="24"/>
                <w:szCs w:val="24"/>
              </w:rPr>
              <w:t>汽车尾气</w:t>
            </w:r>
          </w:p>
        </w:tc>
        <w:tc>
          <w:tcPr>
            <w:tcW w:w="1692" w:type="dxa"/>
            <w:tcBorders>
              <w:bottom w:val="single" w:color="auto" w:sz="4" w:space="0"/>
            </w:tcBorders>
            <w:vAlign w:val="center"/>
          </w:tcPr>
          <w:p>
            <w:pPr>
              <w:adjustRightInd w:val="0"/>
              <w:snapToGrid w:val="0"/>
              <w:jc w:val="center"/>
              <w:rPr>
                <w:color w:val="auto"/>
                <w:sz w:val="24"/>
                <w:szCs w:val="24"/>
              </w:rPr>
            </w:pPr>
            <w:r>
              <w:rPr>
                <w:color w:val="auto"/>
                <w:sz w:val="24"/>
                <w:szCs w:val="24"/>
              </w:rPr>
              <w:t>CO</w:t>
            </w:r>
            <w:r>
              <w:rPr>
                <w:rFonts w:hAnsi="宋体"/>
                <w:color w:val="auto"/>
                <w:sz w:val="24"/>
                <w:szCs w:val="24"/>
              </w:rPr>
              <w:t>、</w:t>
            </w:r>
            <w:r>
              <w:rPr>
                <w:color w:val="auto"/>
                <w:sz w:val="24"/>
                <w:szCs w:val="24"/>
              </w:rPr>
              <w:t>NO</w:t>
            </w:r>
            <w:r>
              <w:rPr>
                <w:color w:val="auto"/>
                <w:sz w:val="24"/>
                <w:szCs w:val="24"/>
                <w:vertAlign w:val="subscript"/>
              </w:rPr>
              <w:t>2</w:t>
            </w:r>
            <w:r>
              <w:rPr>
                <w:rFonts w:hAnsi="宋体"/>
                <w:color w:val="auto"/>
                <w:sz w:val="24"/>
                <w:szCs w:val="24"/>
              </w:rPr>
              <w:t>、</w:t>
            </w:r>
            <w:r>
              <w:rPr>
                <w:color w:val="auto"/>
                <w:sz w:val="24"/>
                <w:szCs w:val="24"/>
              </w:rPr>
              <w:t>THC</w:t>
            </w:r>
          </w:p>
        </w:tc>
        <w:tc>
          <w:tcPr>
            <w:tcW w:w="2490" w:type="dxa"/>
            <w:gridSpan w:val="2"/>
            <w:tcBorders>
              <w:bottom w:val="single" w:color="auto" w:sz="4" w:space="0"/>
            </w:tcBorders>
            <w:vAlign w:val="center"/>
          </w:tcPr>
          <w:p>
            <w:pPr>
              <w:jc w:val="center"/>
              <w:rPr>
                <w:color w:val="auto"/>
                <w:sz w:val="24"/>
                <w:szCs w:val="24"/>
              </w:rPr>
            </w:pPr>
            <w:r>
              <w:rPr>
                <w:rFonts w:hAnsi="宋体"/>
                <w:color w:val="auto"/>
                <w:sz w:val="24"/>
                <w:szCs w:val="24"/>
              </w:rPr>
              <w:t>少量，无组织排放</w:t>
            </w:r>
          </w:p>
        </w:tc>
        <w:tc>
          <w:tcPr>
            <w:tcW w:w="2491" w:type="dxa"/>
            <w:gridSpan w:val="2"/>
            <w:tcBorders>
              <w:bottom w:val="single" w:color="auto" w:sz="4" w:space="0"/>
            </w:tcBorders>
            <w:vAlign w:val="center"/>
          </w:tcPr>
          <w:p>
            <w:pPr>
              <w:jc w:val="center"/>
              <w:rPr>
                <w:color w:val="auto"/>
                <w:sz w:val="24"/>
                <w:szCs w:val="24"/>
              </w:rPr>
            </w:pPr>
            <w:r>
              <w:rPr>
                <w:rFonts w:hAnsi="宋体"/>
                <w:color w:val="auto"/>
                <w:sz w:val="24"/>
                <w:szCs w:val="24"/>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restart"/>
            <w:vAlign w:val="center"/>
          </w:tcPr>
          <w:p>
            <w:pPr>
              <w:adjustRightInd w:val="0"/>
              <w:snapToGrid w:val="0"/>
              <w:jc w:val="center"/>
              <w:rPr>
                <w:color w:val="auto"/>
                <w:sz w:val="24"/>
                <w:szCs w:val="24"/>
              </w:rPr>
            </w:pPr>
            <w:r>
              <w:rPr>
                <w:rFonts w:hAnsi="宋体"/>
                <w:color w:val="auto"/>
                <w:sz w:val="24"/>
                <w:szCs w:val="24"/>
              </w:rPr>
              <w:t>柴油发电机</w:t>
            </w:r>
          </w:p>
        </w:tc>
        <w:tc>
          <w:tcPr>
            <w:tcW w:w="1692" w:type="dxa"/>
            <w:tcBorders>
              <w:bottom w:val="single" w:color="auto" w:sz="4" w:space="0"/>
            </w:tcBorders>
            <w:vAlign w:val="center"/>
          </w:tcPr>
          <w:p>
            <w:pPr>
              <w:adjustRightInd w:val="0"/>
              <w:snapToGrid w:val="0"/>
              <w:jc w:val="center"/>
              <w:rPr>
                <w:color w:val="auto"/>
                <w:sz w:val="24"/>
                <w:szCs w:val="24"/>
              </w:rPr>
            </w:pPr>
            <w:r>
              <w:rPr>
                <w:color w:val="auto"/>
                <w:sz w:val="24"/>
                <w:szCs w:val="24"/>
              </w:rPr>
              <w:t>SO</w:t>
            </w:r>
            <w:r>
              <w:rPr>
                <w:color w:val="auto"/>
                <w:sz w:val="24"/>
                <w:szCs w:val="24"/>
                <w:vertAlign w:val="subscript"/>
              </w:rPr>
              <w:t>2</w:t>
            </w:r>
          </w:p>
        </w:tc>
        <w:tc>
          <w:tcPr>
            <w:tcW w:w="1245" w:type="dxa"/>
            <w:tcBorders>
              <w:bottom w:val="single" w:color="auto" w:sz="4" w:space="0"/>
            </w:tcBorders>
            <w:vAlign w:val="center"/>
          </w:tcPr>
          <w:p>
            <w:pPr>
              <w:jc w:val="center"/>
              <w:rPr>
                <w:color w:val="auto"/>
                <w:sz w:val="24"/>
                <w:szCs w:val="24"/>
              </w:rPr>
            </w:pPr>
            <w:r>
              <w:rPr>
                <w:color w:val="auto"/>
                <w:sz w:val="24"/>
                <w:szCs w:val="24"/>
              </w:rPr>
              <w:t>35</w:t>
            </w:r>
            <w:r>
              <w:rPr>
                <w:color w:val="auto"/>
                <w:kern w:val="0"/>
                <w:sz w:val="24"/>
                <w:szCs w:val="24"/>
              </w:rPr>
              <w:t>mg/m</w:t>
            </w:r>
            <w:r>
              <w:rPr>
                <w:color w:val="auto"/>
                <w:kern w:val="0"/>
                <w:sz w:val="24"/>
                <w:szCs w:val="24"/>
                <w:vertAlign w:val="superscript"/>
              </w:rPr>
              <w:t>3</w:t>
            </w:r>
          </w:p>
        </w:tc>
        <w:tc>
          <w:tcPr>
            <w:tcW w:w="1245" w:type="dxa"/>
            <w:tcBorders>
              <w:bottom w:val="single" w:color="auto" w:sz="4" w:space="0"/>
            </w:tcBorders>
            <w:vAlign w:val="center"/>
          </w:tcPr>
          <w:p>
            <w:pPr>
              <w:jc w:val="center"/>
              <w:rPr>
                <w:color w:val="auto"/>
                <w:sz w:val="24"/>
                <w:szCs w:val="24"/>
              </w:rPr>
            </w:pPr>
            <w:r>
              <w:rPr>
                <w:color w:val="auto"/>
                <w:sz w:val="24"/>
                <w:szCs w:val="24"/>
              </w:rPr>
              <w:t>0.0004</w:t>
            </w:r>
            <w:r>
              <w:rPr>
                <w:color w:val="auto"/>
                <w:kern w:val="0"/>
                <w:sz w:val="24"/>
                <w:szCs w:val="24"/>
              </w:rPr>
              <w:t>t</w:t>
            </w:r>
          </w:p>
        </w:tc>
        <w:tc>
          <w:tcPr>
            <w:tcW w:w="1245" w:type="dxa"/>
            <w:tcBorders>
              <w:bottom w:val="single" w:color="auto" w:sz="4" w:space="0"/>
            </w:tcBorders>
            <w:vAlign w:val="center"/>
          </w:tcPr>
          <w:p>
            <w:pPr>
              <w:jc w:val="center"/>
              <w:rPr>
                <w:color w:val="auto"/>
                <w:sz w:val="24"/>
                <w:szCs w:val="24"/>
              </w:rPr>
            </w:pPr>
            <w:r>
              <w:rPr>
                <w:color w:val="auto"/>
                <w:sz w:val="24"/>
                <w:szCs w:val="24"/>
              </w:rPr>
              <w:t>35</w:t>
            </w:r>
            <w:r>
              <w:rPr>
                <w:color w:val="auto"/>
                <w:kern w:val="0"/>
                <w:sz w:val="24"/>
                <w:szCs w:val="24"/>
              </w:rPr>
              <w:t>mg/m</w:t>
            </w:r>
            <w:r>
              <w:rPr>
                <w:color w:val="auto"/>
                <w:kern w:val="0"/>
                <w:sz w:val="24"/>
                <w:szCs w:val="24"/>
                <w:vertAlign w:val="superscript"/>
              </w:rPr>
              <w:t>3</w:t>
            </w:r>
          </w:p>
        </w:tc>
        <w:tc>
          <w:tcPr>
            <w:tcW w:w="1246" w:type="dxa"/>
            <w:tcBorders>
              <w:bottom w:val="single" w:color="auto" w:sz="4" w:space="0"/>
            </w:tcBorders>
            <w:vAlign w:val="center"/>
          </w:tcPr>
          <w:p>
            <w:pPr>
              <w:jc w:val="center"/>
              <w:rPr>
                <w:color w:val="auto"/>
                <w:sz w:val="24"/>
                <w:szCs w:val="24"/>
              </w:rPr>
            </w:pPr>
            <w:r>
              <w:rPr>
                <w:color w:val="auto"/>
                <w:sz w:val="24"/>
                <w:szCs w:val="24"/>
              </w:rPr>
              <w:t>0.0004</w:t>
            </w:r>
            <w:r>
              <w:rPr>
                <w:color w:val="auto"/>
                <w:kern w:val="0"/>
                <w:sz w:val="24"/>
                <w:szCs w:val="24"/>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color w:val="auto"/>
                <w:sz w:val="24"/>
                <w:szCs w:val="24"/>
              </w:rPr>
            </w:pPr>
          </w:p>
        </w:tc>
        <w:tc>
          <w:tcPr>
            <w:tcW w:w="1692" w:type="dxa"/>
            <w:tcBorders>
              <w:bottom w:val="single" w:color="auto" w:sz="4" w:space="0"/>
            </w:tcBorders>
            <w:vAlign w:val="center"/>
          </w:tcPr>
          <w:p>
            <w:pPr>
              <w:adjustRightInd w:val="0"/>
              <w:snapToGrid w:val="0"/>
              <w:jc w:val="center"/>
              <w:rPr>
                <w:color w:val="auto"/>
                <w:sz w:val="24"/>
                <w:szCs w:val="24"/>
              </w:rPr>
            </w:pPr>
            <w:r>
              <w:rPr>
                <w:color w:val="auto"/>
                <w:sz w:val="24"/>
                <w:szCs w:val="24"/>
              </w:rPr>
              <w:t>NO</w:t>
            </w:r>
            <w:r>
              <w:rPr>
                <w:color w:val="auto"/>
                <w:sz w:val="24"/>
                <w:szCs w:val="24"/>
                <w:vertAlign w:val="subscript"/>
              </w:rPr>
              <w:t>X</w:t>
            </w:r>
          </w:p>
        </w:tc>
        <w:tc>
          <w:tcPr>
            <w:tcW w:w="1245" w:type="dxa"/>
            <w:tcBorders>
              <w:bottom w:val="single" w:color="auto" w:sz="4" w:space="0"/>
            </w:tcBorders>
            <w:vAlign w:val="center"/>
          </w:tcPr>
          <w:p>
            <w:pPr>
              <w:jc w:val="center"/>
              <w:rPr>
                <w:color w:val="auto"/>
                <w:sz w:val="24"/>
                <w:szCs w:val="24"/>
              </w:rPr>
            </w:pPr>
            <w:r>
              <w:rPr>
                <w:color w:val="auto"/>
                <w:sz w:val="24"/>
                <w:szCs w:val="24"/>
              </w:rPr>
              <w:t>168</w:t>
            </w:r>
            <w:r>
              <w:rPr>
                <w:color w:val="auto"/>
                <w:kern w:val="0"/>
                <w:sz w:val="24"/>
                <w:szCs w:val="24"/>
              </w:rPr>
              <w:t>mg/m</w:t>
            </w:r>
            <w:r>
              <w:rPr>
                <w:color w:val="auto"/>
                <w:kern w:val="0"/>
                <w:sz w:val="24"/>
                <w:szCs w:val="24"/>
                <w:vertAlign w:val="superscript"/>
              </w:rPr>
              <w:t>3</w:t>
            </w:r>
          </w:p>
        </w:tc>
        <w:tc>
          <w:tcPr>
            <w:tcW w:w="1245" w:type="dxa"/>
            <w:tcBorders>
              <w:bottom w:val="single" w:color="auto" w:sz="4" w:space="0"/>
            </w:tcBorders>
            <w:vAlign w:val="center"/>
          </w:tcPr>
          <w:p>
            <w:pPr>
              <w:jc w:val="center"/>
              <w:rPr>
                <w:color w:val="auto"/>
                <w:sz w:val="24"/>
                <w:szCs w:val="24"/>
              </w:rPr>
            </w:pPr>
            <w:r>
              <w:rPr>
                <w:color w:val="auto"/>
                <w:sz w:val="24"/>
                <w:szCs w:val="24"/>
              </w:rPr>
              <w:t>0.0021</w:t>
            </w:r>
            <w:r>
              <w:rPr>
                <w:color w:val="auto"/>
                <w:kern w:val="0"/>
                <w:sz w:val="24"/>
                <w:szCs w:val="24"/>
              </w:rPr>
              <w:t>t</w:t>
            </w:r>
          </w:p>
        </w:tc>
        <w:tc>
          <w:tcPr>
            <w:tcW w:w="1245" w:type="dxa"/>
            <w:tcBorders>
              <w:bottom w:val="single" w:color="auto" w:sz="4" w:space="0"/>
            </w:tcBorders>
            <w:vAlign w:val="center"/>
          </w:tcPr>
          <w:p>
            <w:pPr>
              <w:jc w:val="center"/>
              <w:rPr>
                <w:color w:val="auto"/>
                <w:sz w:val="24"/>
                <w:szCs w:val="24"/>
              </w:rPr>
            </w:pPr>
            <w:r>
              <w:rPr>
                <w:color w:val="auto"/>
                <w:sz w:val="24"/>
                <w:szCs w:val="24"/>
              </w:rPr>
              <w:t>168</w:t>
            </w:r>
            <w:r>
              <w:rPr>
                <w:color w:val="auto"/>
                <w:kern w:val="0"/>
                <w:sz w:val="24"/>
                <w:szCs w:val="24"/>
              </w:rPr>
              <w:t>mg/m</w:t>
            </w:r>
            <w:r>
              <w:rPr>
                <w:color w:val="auto"/>
                <w:kern w:val="0"/>
                <w:sz w:val="24"/>
                <w:szCs w:val="24"/>
                <w:vertAlign w:val="superscript"/>
              </w:rPr>
              <w:t>3</w:t>
            </w:r>
          </w:p>
        </w:tc>
        <w:tc>
          <w:tcPr>
            <w:tcW w:w="1246" w:type="dxa"/>
            <w:tcBorders>
              <w:bottom w:val="single" w:color="auto" w:sz="4" w:space="0"/>
            </w:tcBorders>
            <w:vAlign w:val="center"/>
          </w:tcPr>
          <w:p>
            <w:pPr>
              <w:jc w:val="center"/>
              <w:rPr>
                <w:color w:val="auto"/>
                <w:sz w:val="24"/>
                <w:szCs w:val="24"/>
              </w:rPr>
            </w:pPr>
            <w:r>
              <w:rPr>
                <w:color w:val="auto"/>
                <w:sz w:val="24"/>
                <w:szCs w:val="24"/>
              </w:rPr>
              <w:t>0.0021</w:t>
            </w:r>
            <w:r>
              <w:rPr>
                <w:color w:val="auto"/>
                <w:kern w:val="0"/>
                <w:sz w:val="24"/>
                <w:szCs w:val="24"/>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color w:val="auto"/>
                <w:sz w:val="24"/>
                <w:szCs w:val="24"/>
              </w:rPr>
            </w:pPr>
          </w:p>
        </w:tc>
        <w:tc>
          <w:tcPr>
            <w:tcW w:w="1692" w:type="dxa"/>
            <w:tcBorders>
              <w:bottom w:val="single" w:color="auto" w:sz="4" w:space="0"/>
            </w:tcBorders>
            <w:vAlign w:val="center"/>
          </w:tcPr>
          <w:p>
            <w:pPr>
              <w:adjustRightInd w:val="0"/>
              <w:snapToGrid w:val="0"/>
              <w:jc w:val="center"/>
              <w:rPr>
                <w:color w:val="auto"/>
                <w:sz w:val="24"/>
                <w:szCs w:val="24"/>
              </w:rPr>
            </w:pPr>
            <w:r>
              <w:rPr>
                <w:rFonts w:hAnsi="宋体"/>
                <w:color w:val="auto"/>
                <w:sz w:val="24"/>
                <w:szCs w:val="24"/>
              </w:rPr>
              <w:t>烟尘</w:t>
            </w:r>
          </w:p>
        </w:tc>
        <w:tc>
          <w:tcPr>
            <w:tcW w:w="1245" w:type="dxa"/>
            <w:tcBorders>
              <w:bottom w:val="single" w:color="auto" w:sz="4" w:space="0"/>
            </w:tcBorders>
            <w:vAlign w:val="center"/>
          </w:tcPr>
          <w:p>
            <w:pPr>
              <w:jc w:val="center"/>
              <w:rPr>
                <w:color w:val="auto"/>
                <w:sz w:val="24"/>
                <w:szCs w:val="24"/>
              </w:rPr>
            </w:pPr>
            <w:r>
              <w:rPr>
                <w:color w:val="auto"/>
                <w:sz w:val="24"/>
                <w:szCs w:val="24"/>
              </w:rPr>
              <w:t>110</w:t>
            </w:r>
            <w:r>
              <w:rPr>
                <w:color w:val="auto"/>
                <w:kern w:val="0"/>
                <w:sz w:val="24"/>
                <w:szCs w:val="24"/>
              </w:rPr>
              <w:t>mg/m</w:t>
            </w:r>
            <w:r>
              <w:rPr>
                <w:color w:val="auto"/>
                <w:kern w:val="0"/>
                <w:sz w:val="24"/>
                <w:szCs w:val="24"/>
                <w:vertAlign w:val="superscript"/>
              </w:rPr>
              <w:t>3</w:t>
            </w:r>
          </w:p>
        </w:tc>
        <w:tc>
          <w:tcPr>
            <w:tcW w:w="1245" w:type="dxa"/>
            <w:tcBorders>
              <w:bottom w:val="single" w:color="auto" w:sz="4" w:space="0"/>
            </w:tcBorders>
            <w:vAlign w:val="center"/>
          </w:tcPr>
          <w:p>
            <w:pPr>
              <w:jc w:val="center"/>
              <w:rPr>
                <w:color w:val="auto"/>
                <w:sz w:val="24"/>
                <w:szCs w:val="24"/>
              </w:rPr>
            </w:pPr>
            <w:r>
              <w:rPr>
                <w:color w:val="auto"/>
                <w:sz w:val="24"/>
                <w:szCs w:val="24"/>
              </w:rPr>
              <w:t>0.0013</w:t>
            </w:r>
          </w:p>
        </w:tc>
        <w:tc>
          <w:tcPr>
            <w:tcW w:w="1245" w:type="dxa"/>
            <w:tcBorders>
              <w:bottom w:val="single" w:color="auto" w:sz="4" w:space="0"/>
            </w:tcBorders>
            <w:vAlign w:val="center"/>
          </w:tcPr>
          <w:p>
            <w:pPr>
              <w:jc w:val="center"/>
              <w:rPr>
                <w:color w:val="auto"/>
                <w:sz w:val="24"/>
                <w:szCs w:val="24"/>
              </w:rPr>
            </w:pPr>
            <w:r>
              <w:rPr>
                <w:color w:val="auto"/>
                <w:sz w:val="24"/>
                <w:szCs w:val="24"/>
              </w:rPr>
              <w:t>110</w:t>
            </w:r>
            <w:r>
              <w:rPr>
                <w:color w:val="auto"/>
                <w:kern w:val="0"/>
                <w:sz w:val="24"/>
                <w:szCs w:val="24"/>
              </w:rPr>
              <w:t>mg/m</w:t>
            </w:r>
            <w:r>
              <w:rPr>
                <w:color w:val="auto"/>
                <w:kern w:val="0"/>
                <w:sz w:val="24"/>
                <w:szCs w:val="24"/>
                <w:vertAlign w:val="superscript"/>
              </w:rPr>
              <w:t>3</w:t>
            </w:r>
          </w:p>
        </w:tc>
        <w:tc>
          <w:tcPr>
            <w:tcW w:w="1246" w:type="dxa"/>
            <w:tcBorders>
              <w:bottom w:val="single" w:color="auto" w:sz="4" w:space="0"/>
            </w:tcBorders>
            <w:vAlign w:val="center"/>
          </w:tcPr>
          <w:p>
            <w:pPr>
              <w:jc w:val="center"/>
              <w:rPr>
                <w:color w:val="auto"/>
                <w:sz w:val="24"/>
                <w:szCs w:val="24"/>
              </w:rPr>
            </w:pPr>
            <w:r>
              <w:rPr>
                <w:color w:val="auto"/>
                <w:sz w:val="24"/>
                <w:szCs w:val="24"/>
              </w:rPr>
              <w:t>0.0013</w:t>
            </w:r>
            <w:r>
              <w:rPr>
                <w:color w:val="auto"/>
                <w:kern w:val="0"/>
                <w:sz w:val="24"/>
                <w:szCs w:val="24"/>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restart"/>
            <w:vAlign w:val="center"/>
          </w:tcPr>
          <w:p>
            <w:pPr>
              <w:adjustRightInd w:val="0"/>
              <w:snapToGrid w:val="0"/>
              <w:jc w:val="center"/>
              <w:rPr>
                <w:color w:val="auto"/>
                <w:sz w:val="24"/>
                <w:szCs w:val="24"/>
              </w:rPr>
            </w:pPr>
            <w:r>
              <w:rPr>
                <w:rFonts w:hint="eastAsia"/>
                <w:color w:val="auto"/>
                <w:sz w:val="24"/>
                <w:szCs w:val="24"/>
              </w:rPr>
              <w:t>负压大棚有组织</w:t>
            </w:r>
          </w:p>
        </w:tc>
        <w:tc>
          <w:tcPr>
            <w:tcW w:w="1692" w:type="dxa"/>
            <w:tcBorders>
              <w:bottom w:val="single" w:color="auto" w:sz="4" w:space="0"/>
            </w:tcBorders>
            <w:vAlign w:val="center"/>
          </w:tcPr>
          <w:p>
            <w:pPr>
              <w:adjustRightInd w:val="0"/>
              <w:snapToGrid w:val="0"/>
              <w:jc w:val="center"/>
              <w:rPr>
                <w:rFonts w:hAnsi="宋体"/>
                <w:color w:val="auto"/>
                <w:sz w:val="24"/>
                <w:szCs w:val="24"/>
              </w:rPr>
            </w:pPr>
            <w:r>
              <w:rPr>
                <w:rFonts w:hint="eastAsia" w:hAnsi="宋体"/>
                <w:color w:val="auto"/>
                <w:sz w:val="24"/>
                <w:szCs w:val="24"/>
              </w:rPr>
              <w:t>颗粒物</w:t>
            </w:r>
          </w:p>
        </w:tc>
        <w:tc>
          <w:tcPr>
            <w:tcW w:w="1245" w:type="dxa"/>
            <w:tcBorders>
              <w:bottom w:val="single" w:color="auto" w:sz="4" w:space="0"/>
            </w:tcBorders>
            <w:vAlign w:val="center"/>
          </w:tcPr>
          <w:p>
            <w:pPr>
              <w:jc w:val="center"/>
              <w:rPr>
                <w:color w:val="auto"/>
                <w:sz w:val="24"/>
                <w:szCs w:val="24"/>
              </w:rPr>
            </w:pPr>
            <w:r>
              <w:rPr>
                <w:rFonts w:hint="eastAsia"/>
                <w:color w:val="auto"/>
                <w:sz w:val="24"/>
                <w:szCs w:val="24"/>
              </w:rPr>
              <w:t>1679</w:t>
            </w:r>
            <w:r>
              <w:rPr>
                <w:color w:val="auto"/>
                <w:kern w:val="0"/>
                <w:sz w:val="24"/>
                <w:szCs w:val="24"/>
              </w:rPr>
              <w:t xml:space="preserve"> mg/m</w:t>
            </w:r>
            <w:r>
              <w:rPr>
                <w:color w:val="auto"/>
                <w:kern w:val="0"/>
                <w:sz w:val="24"/>
                <w:szCs w:val="24"/>
                <w:vertAlign w:val="superscript"/>
              </w:rPr>
              <w:t>3</w:t>
            </w:r>
          </w:p>
        </w:tc>
        <w:tc>
          <w:tcPr>
            <w:tcW w:w="1245" w:type="dxa"/>
            <w:tcBorders>
              <w:bottom w:val="single" w:color="auto" w:sz="4" w:space="0"/>
            </w:tcBorders>
            <w:vAlign w:val="center"/>
          </w:tcPr>
          <w:p>
            <w:pPr>
              <w:jc w:val="center"/>
              <w:rPr>
                <w:color w:val="auto"/>
                <w:sz w:val="24"/>
                <w:szCs w:val="24"/>
              </w:rPr>
            </w:pPr>
            <w:r>
              <w:rPr>
                <w:rFonts w:hint="eastAsia"/>
                <w:color w:val="auto"/>
                <w:sz w:val="24"/>
                <w:szCs w:val="24"/>
              </w:rPr>
              <w:t>6.446</w:t>
            </w:r>
            <w:r>
              <w:rPr>
                <w:color w:val="auto"/>
                <w:kern w:val="0"/>
                <w:sz w:val="24"/>
                <w:szCs w:val="24"/>
              </w:rPr>
              <w:t xml:space="preserve"> t</w:t>
            </w:r>
          </w:p>
        </w:tc>
        <w:tc>
          <w:tcPr>
            <w:tcW w:w="1245" w:type="dxa"/>
            <w:tcBorders>
              <w:bottom w:val="single" w:color="auto" w:sz="4" w:space="0"/>
            </w:tcBorders>
            <w:vAlign w:val="center"/>
          </w:tcPr>
          <w:p>
            <w:pPr>
              <w:jc w:val="center"/>
              <w:rPr>
                <w:color w:val="auto"/>
                <w:sz w:val="24"/>
                <w:szCs w:val="24"/>
              </w:rPr>
            </w:pPr>
            <w:r>
              <w:rPr>
                <w:rFonts w:hint="eastAsia"/>
                <w:color w:val="auto"/>
                <w:sz w:val="24"/>
                <w:szCs w:val="24"/>
              </w:rPr>
              <w:t>1.679</w:t>
            </w:r>
            <w:r>
              <w:rPr>
                <w:color w:val="auto"/>
                <w:kern w:val="0"/>
                <w:sz w:val="24"/>
                <w:szCs w:val="24"/>
              </w:rPr>
              <w:t xml:space="preserve"> mg/m</w:t>
            </w:r>
            <w:r>
              <w:rPr>
                <w:color w:val="auto"/>
                <w:kern w:val="0"/>
                <w:sz w:val="24"/>
                <w:szCs w:val="24"/>
                <w:vertAlign w:val="superscript"/>
              </w:rPr>
              <w:t>3</w:t>
            </w:r>
          </w:p>
        </w:tc>
        <w:tc>
          <w:tcPr>
            <w:tcW w:w="1246" w:type="dxa"/>
            <w:tcBorders>
              <w:bottom w:val="single" w:color="auto" w:sz="4" w:space="0"/>
            </w:tcBorders>
            <w:vAlign w:val="center"/>
          </w:tcPr>
          <w:p>
            <w:pPr>
              <w:jc w:val="center"/>
              <w:rPr>
                <w:color w:val="auto"/>
                <w:sz w:val="24"/>
                <w:szCs w:val="24"/>
              </w:rPr>
            </w:pPr>
            <w:r>
              <w:rPr>
                <w:rFonts w:hint="eastAsia"/>
                <w:color w:val="auto"/>
                <w:sz w:val="24"/>
                <w:szCs w:val="24"/>
              </w:rPr>
              <w:t>0.006446t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36"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rFonts w:hint="eastAsia"/>
                <w:color w:val="auto"/>
                <w:sz w:val="24"/>
                <w:szCs w:val="24"/>
              </w:rPr>
            </w:pPr>
          </w:p>
        </w:tc>
        <w:tc>
          <w:tcPr>
            <w:tcW w:w="1692" w:type="dxa"/>
            <w:tcBorders>
              <w:bottom w:val="single" w:color="auto" w:sz="4" w:space="0"/>
            </w:tcBorders>
            <w:vAlign w:val="center"/>
          </w:tcPr>
          <w:p>
            <w:pPr>
              <w:adjustRightInd w:val="0"/>
              <w:snapToGrid w:val="0"/>
              <w:jc w:val="center"/>
              <w:rPr>
                <w:rFonts w:hint="eastAsia" w:hAnsi="宋体" w:eastAsia="宋体"/>
                <w:color w:val="auto"/>
                <w:sz w:val="24"/>
                <w:szCs w:val="24"/>
                <w:u w:val="single"/>
                <w:lang w:val="en-US" w:eastAsia="zh-CN"/>
              </w:rPr>
            </w:pPr>
            <w:r>
              <w:rPr>
                <w:rFonts w:hint="eastAsia" w:hAnsi="宋体"/>
                <w:color w:val="auto"/>
                <w:sz w:val="24"/>
                <w:szCs w:val="24"/>
                <w:u w:val="single"/>
                <w:lang w:val="en-US" w:eastAsia="zh-CN"/>
              </w:rPr>
              <w:t>VOCs</w:t>
            </w:r>
          </w:p>
        </w:tc>
        <w:tc>
          <w:tcPr>
            <w:tcW w:w="1245" w:type="dxa"/>
            <w:tcBorders>
              <w:bottom w:val="single" w:color="auto" w:sz="4" w:space="0"/>
            </w:tcBorders>
            <w:vAlign w:val="center"/>
          </w:tcPr>
          <w:p>
            <w:pPr>
              <w:jc w:val="center"/>
              <w:rPr>
                <w:rFonts w:hint="eastAsia" w:eastAsia="宋体"/>
                <w:color w:val="auto"/>
                <w:sz w:val="24"/>
                <w:szCs w:val="24"/>
                <w:u w:val="single"/>
                <w:lang w:val="en-US" w:eastAsia="zh-CN"/>
              </w:rPr>
            </w:pPr>
            <w:r>
              <w:rPr>
                <w:rFonts w:hint="eastAsia"/>
                <w:color w:val="auto"/>
                <w:sz w:val="24"/>
                <w:szCs w:val="24"/>
                <w:u w:val="single"/>
                <w:lang w:val="en-US" w:eastAsia="zh-CN"/>
              </w:rPr>
              <w:t>3518.75</w:t>
            </w:r>
            <w:r>
              <w:rPr>
                <w:color w:val="auto"/>
                <w:kern w:val="0"/>
                <w:sz w:val="24"/>
                <w:szCs w:val="24"/>
              </w:rPr>
              <w:t>mg/m</w:t>
            </w:r>
            <w:r>
              <w:rPr>
                <w:color w:val="auto"/>
                <w:kern w:val="0"/>
                <w:sz w:val="24"/>
                <w:szCs w:val="24"/>
                <w:vertAlign w:val="superscript"/>
              </w:rPr>
              <w:t>3</w:t>
            </w:r>
          </w:p>
        </w:tc>
        <w:tc>
          <w:tcPr>
            <w:tcW w:w="1245" w:type="dxa"/>
            <w:tcBorders>
              <w:bottom w:val="single" w:color="auto" w:sz="4" w:space="0"/>
            </w:tcBorders>
            <w:vAlign w:val="center"/>
          </w:tcPr>
          <w:p>
            <w:pPr>
              <w:jc w:val="center"/>
              <w:rPr>
                <w:rFonts w:hint="eastAsia" w:eastAsia="宋体"/>
                <w:color w:val="auto"/>
                <w:sz w:val="24"/>
                <w:szCs w:val="24"/>
                <w:u w:val="single"/>
                <w:lang w:val="en-US" w:eastAsia="zh-CN"/>
              </w:rPr>
            </w:pPr>
            <w:r>
              <w:rPr>
                <w:rFonts w:hint="eastAsia"/>
                <w:color w:val="auto"/>
                <w:sz w:val="24"/>
                <w:szCs w:val="24"/>
                <w:u w:val="single"/>
                <w:lang w:val="en-US" w:eastAsia="zh-CN"/>
              </w:rPr>
              <w:t>0.0034t</w:t>
            </w:r>
          </w:p>
        </w:tc>
        <w:tc>
          <w:tcPr>
            <w:tcW w:w="1245" w:type="dxa"/>
            <w:tcBorders>
              <w:bottom w:val="single" w:color="auto" w:sz="4" w:space="0"/>
            </w:tcBorders>
            <w:vAlign w:val="center"/>
          </w:tcPr>
          <w:p>
            <w:pPr>
              <w:jc w:val="center"/>
              <w:rPr>
                <w:rFonts w:hint="eastAsia" w:eastAsia="宋体"/>
                <w:color w:val="auto"/>
                <w:sz w:val="24"/>
                <w:szCs w:val="24"/>
                <w:u w:val="single"/>
                <w:lang w:val="en-US" w:eastAsia="zh-CN"/>
              </w:rPr>
            </w:pPr>
            <w:r>
              <w:rPr>
                <w:rFonts w:hint="eastAsia"/>
                <w:color w:val="auto"/>
                <w:sz w:val="24"/>
                <w:szCs w:val="24"/>
                <w:u w:val="single"/>
                <w:lang w:val="en-US" w:eastAsia="zh-CN"/>
              </w:rPr>
              <w:t>0.016</w:t>
            </w:r>
            <w:r>
              <w:rPr>
                <w:color w:val="auto"/>
                <w:kern w:val="0"/>
                <w:sz w:val="24"/>
                <w:szCs w:val="24"/>
              </w:rPr>
              <w:t>mg/m</w:t>
            </w:r>
            <w:r>
              <w:rPr>
                <w:color w:val="auto"/>
                <w:kern w:val="0"/>
                <w:sz w:val="24"/>
                <w:szCs w:val="24"/>
                <w:vertAlign w:val="superscript"/>
              </w:rPr>
              <w:t>3</w:t>
            </w:r>
          </w:p>
        </w:tc>
        <w:tc>
          <w:tcPr>
            <w:tcW w:w="1246" w:type="dxa"/>
            <w:tcBorders>
              <w:bottom w:val="single" w:color="auto" w:sz="4" w:space="0"/>
            </w:tcBorders>
            <w:vAlign w:val="center"/>
          </w:tcPr>
          <w:p>
            <w:pPr>
              <w:jc w:val="center"/>
              <w:rPr>
                <w:rFonts w:hint="eastAsia" w:eastAsia="宋体"/>
                <w:color w:val="auto"/>
                <w:sz w:val="24"/>
                <w:szCs w:val="24"/>
                <w:u w:val="single"/>
                <w:lang w:val="en-US" w:eastAsia="zh-CN"/>
              </w:rPr>
            </w:pPr>
            <w:r>
              <w:rPr>
                <w:rFonts w:hint="eastAsia"/>
                <w:color w:val="auto"/>
                <w:sz w:val="24"/>
                <w:u w:val="single"/>
                <w:lang w:val="en-US" w:eastAsia="zh-CN"/>
              </w:rPr>
              <w:t>0.077kg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restart"/>
            <w:vAlign w:val="center"/>
          </w:tcPr>
          <w:p>
            <w:pPr>
              <w:adjustRightInd w:val="0"/>
              <w:snapToGrid w:val="0"/>
              <w:jc w:val="center"/>
              <w:rPr>
                <w:b/>
                <w:bCs/>
                <w:color w:val="auto"/>
                <w:sz w:val="24"/>
                <w:szCs w:val="24"/>
              </w:rPr>
            </w:pPr>
            <w:r>
              <w:rPr>
                <w:rFonts w:hAnsi="宋体"/>
                <w:b/>
                <w:bCs/>
                <w:color w:val="auto"/>
                <w:sz w:val="24"/>
                <w:szCs w:val="24"/>
              </w:rPr>
              <w:t>水</w:t>
            </w:r>
          </w:p>
          <w:p>
            <w:pPr>
              <w:adjustRightInd w:val="0"/>
              <w:snapToGrid w:val="0"/>
              <w:jc w:val="center"/>
              <w:rPr>
                <w:b/>
                <w:bCs/>
                <w:color w:val="auto"/>
                <w:sz w:val="24"/>
                <w:szCs w:val="24"/>
              </w:rPr>
            </w:pPr>
            <w:r>
              <w:rPr>
                <w:rFonts w:hAnsi="宋体"/>
                <w:b/>
                <w:bCs/>
                <w:color w:val="auto"/>
                <w:sz w:val="24"/>
                <w:szCs w:val="24"/>
              </w:rPr>
              <w:t>污</w:t>
            </w:r>
          </w:p>
          <w:p>
            <w:pPr>
              <w:adjustRightInd w:val="0"/>
              <w:snapToGrid w:val="0"/>
              <w:jc w:val="center"/>
              <w:rPr>
                <w:b/>
                <w:bCs/>
                <w:color w:val="auto"/>
                <w:sz w:val="24"/>
                <w:szCs w:val="24"/>
              </w:rPr>
            </w:pPr>
            <w:r>
              <w:rPr>
                <w:rFonts w:hAnsi="宋体"/>
                <w:b/>
                <w:bCs/>
                <w:color w:val="auto"/>
                <w:sz w:val="24"/>
                <w:szCs w:val="24"/>
              </w:rPr>
              <w:t>染</w:t>
            </w:r>
          </w:p>
          <w:p>
            <w:pPr>
              <w:adjustRightInd w:val="0"/>
              <w:snapToGrid w:val="0"/>
              <w:jc w:val="center"/>
              <w:rPr>
                <w:b/>
                <w:bCs/>
                <w:color w:val="auto"/>
                <w:sz w:val="24"/>
                <w:szCs w:val="24"/>
              </w:rPr>
            </w:pPr>
            <w:r>
              <w:rPr>
                <w:rFonts w:hAnsi="宋体"/>
                <w:b/>
                <w:bCs/>
                <w:color w:val="auto"/>
                <w:sz w:val="24"/>
                <w:szCs w:val="24"/>
              </w:rPr>
              <w:t>物</w:t>
            </w:r>
          </w:p>
        </w:tc>
        <w:tc>
          <w:tcPr>
            <w:tcW w:w="1452" w:type="dxa"/>
            <w:gridSpan w:val="2"/>
            <w:vMerge w:val="restart"/>
            <w:vAlign w:val="center"/>
          </w:tcPr>
          <w:p>
            <w:pPr>
              <w:adjustRightInd w:val="0"/>
              <w:snapToGrid w:val="0"/>
              <w:jc w:val="center"/>
              <w:rPr>
                <w:color w:val="auto"/>
                <w:sz w:val="24"/>
                <w:szCs w:val="24"/>
              </w:rPr>
            </w:pPr>
            <w:r>
              <w:rPr>
                <w:rFonts w:hAnsi="宋体"/>
                <w:color w:val="auto"/>
                <w:sz w:val="24"/>
                <w:szCs w:val="24"/>
              </w:rPr>
              <w:t>生活污水</w:t>
            </w:r>
            <w:r>
              <w:rPr>
                <w:color w:val="auto"/>
                <w:sz w:val="24"/>
                <w:szCs w:val="24"/>
              </w:rPr>
              <w:t>86.4t</w:t>
            </w:r>
          </w:p>
        </w:tc>
        <w:tc>
          <w:tcPr>
            <w:tcW w:w="1692" w:type="dxa"/>
            <w:tcBorders>
              <w:bottom w:val="single" w:color="auto" w:sz="4" w:space="0"/>
            </w:tcBorders>
            <w:vAlign w:val="center"/>
          </w:tcPr>
          <w:p>
            <w:pPr>
              <w:jc w:val="center"/>
              <w:rPr>
                <w:color w:val="auto"/>
                <w:sz w:val="24"/>
                <w:szCs w:val="24"/>
              </w:rPr>
            </w:pPr>
            <w:r>
              <w:rPr>
                <w:color w:val="auto"/>
                <w:sz w:val="24"/>
                <w:szCs w:val="24"/>
              </w:rPr>
              <w:t>COD</w:t>
            </w:r>
            <w:r>
              <w:rPr>
                <w:color w:val="auto"/>
                <w:sz w:val="24"/>
                <w:szCs w:val="24"/>
                <w:vertAlign w:val="subscript"/>
              </w:rPr>
              <w:t>Cr</w:t>
            </w:r>
          </w:p>
        </w:tc>
        <w:tc>
          <w:tcPr>
            <w:tcW w:w="1245" w:type="dxa"/>
            <w:tcBorders>
              <w:bottom w:val="single" w:color="auto" w:sz="4" w:space="0"/>
            </w:tcBorders>
            <w:vAlign w:val="center"/>
          </w:tcPr>
          <w:p>
            <w:pPr>
              <w:jc w:val="center"/>
              <w:rPr>
                <w:color w:val="auto"/>
                <w:sz w:val="24"/>
                <w:szCs w:val="24"/>
              </w:rPr>
            </w:pPr>
            <w:r>
              <w:rPr>
                <w:color w:val="auto"/>
                <w:sz w:val="24"/>
                <w:szCs w:val="24"/>
              </w:rPr>
              <w:t>250mg/L</w:t>
            </w:r>
          </w:p>
        </w:tc>
        <w:tc>
          <w:tcPr>
            <w:tcW w:w="1245" w:type="dxa"/>
            <w:tcBorders>
              <w:bottom w:val="single" w:color="auto" w:sz="4" w:space="0"/>
            </w:tcBorders>
            <w:vAlign w:val="center"/>
          </w:tcPr>
          <w:p>
            <w:pPr>
              <w:jc w:val="center"/>
              <w:rPr>
                <w:color w:val="auto"/>
                <w:sz w:val="24"/>
                <w:szCs w:val="24"/>
              </w:rPr>
            </w:pPr>
            <w:r>
              <w:rPr>
                <w:color w:val="auto"/>
                <w:sz w:val="24"/>
                <w:szCs w:val="24"/>
              </w:rPr>
              <w:t>0.022t</w:t>
            </w:r>
          </w:p>
        </w:tc>
        <w:tc>
          <w:tcPr>
            <w:tcW w:w="1245" w:type="dxa"/>
            <w:tcBorders>
              <w:bottom w:val="single" w:color="auto" w:sz="4" w:space="0"/>
            </w:tcBorders>
            <w:vAlign w:val="center"/>
          </w:tcPr>
          <w:p>
            <w:pPr>
              <w:jc w:val="center"/>
              <w:rPr>
                <w:color w:val="auto"/>
                <w:sz w:val="24"/>
                <w:szCs w:val="24"/>
              </w:rPr>
            </w:pPr>
            <w:r>
              <w:rPr>
                <w:color w:val="auto"/>
                <w:sz w:val="24"/>
                <w:szCs w:val="24"/>
              </w:rPr>
              <w:t>/</w:t>
            </w:r>
          </w:p>
        </w:tc>
        <w:tc>
          <w:tcPr>
            <w:tcW w:w="1246" w:type="dxa"/>
            <w:tcBorders>
              <w:bottom w:val="single" w:color="auto" w:sz="4" w:space="0"/>
            </w:tcBorders>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color w:val="auto"/>
                <w:sz w:val="24"/>
                <w:szCs w:val="24"/>
              </w:rPr>
            </w:pPr>
          </w:p>
        </w:tc>
        <w:tc>
          <w:tcPr>
            <w:tcW w:w="1692" w:type="dxa"/>
            <w:tcBorders>
              <w:bottom w:val="single" w:color="auto" w:sz="4" w:space="0"/>
            </w:tcBorders>
            <w:vAlign w:val="center"/>
          </w:tcPr>
          <w:p>
            <w:pPr>
              <w:jc w:val="center"/>
              <w:rPr>
                <w:color w:val="auto"/>
                <w:sz w:val="24"/>
                <w:szCs w:val="24"/>
              </w:rPr>
            </w:pPr>
            <w:r>
              <w:rPr>
                <w:color w:val="auto"/>
                <w:sz w:val="24"/>
                <w:szCs w:val="24"/>
              </w:rPr>
              <w:t>BOD</w:t>
            </w:r>
            <w:r>
              <w:rPr>
                <w:color w:val="auto"/>
                <w:sz w:val="24"/>
                <w:szCs w:val="24"/>
                <w:vertAlign w:val="subscript"/>
              </w:rPr>
              <w:t>5</w:t>
            </w:r>
          </w:p>
        </w:tc>
        <w:tc>
          <w:tcPr>
            <w:tcW w:w="1245" w:type="dxa"/>
            <w:tcBorders>
              <w:bottom w:val="single" w:color="auto" w:sz="4" w:space="0"/>
            </w:tcBorders>
            <w:vAlign w:val="center"/>
          </w:tcPr>
          <w:p>
            <w:pPr>
              <w:jc w:val="center"/>
              <w:rPr>
                <w:color w:val="auto"/>
                <w:sz w:val="24"/>
                <w:szCs w:val="24"/>
              </w:rPr>
            </w:pPr>
            <w:r>
              <w:rPr>
                <w:color w:val="auto"/>
                <w:sz w:val="24"/>
                <w:szCs w:val="24"/>
              </w:rPr>
              <w:t>180mg/L</w:t>
            </w:r>
          </w:p>
        </w:tc>
        <w:tc>
          <w:tcPr>
            <w:tcW w:w="1245" w:type="dxa"/>
            <w:tcBorders>
              <w:bottom w:val="single" w:color="auto" w:sz="4" w:space="0"/>
            </w:tcBorders>
            <w:vAlign w:val="center"/>
          </w:tcPr>
          <w:p>
            <w:pPr>
              <w:jc w:val="center"/>
              <w:rPr>
                <w:color w:val="auto"/>
                <w:sz w:val="24"/>
                <w:szCs w:val="24"/>
              </w:rPr>
            </w:pPr>
            <w:r>
              <w:rPr>
                <w:color w:val="auto"/>
                <w:sz w:val="24"/>
                <w:szCs w:val="24"/>
              </w:rPr>
              <w:t>0.016t</w:t>
            </w:r>
          </w:p>
        </w:tc>
        <w:tc>
          <w:tcPr>
            <w:tcW w:w="1245" w:type="dxa"/>
            <w:tcBorders>
              <w:bottom w:val="single" w:color="auto" w:sz="4" w:space="0"/>
            </w:tcBorders>
            <w:vAlign w:val="center"/>
          </w:tcPr>
          <w:p>
            <w:pPr>
              <w:jc w:val="center"/>
              <w:rPr>
                <w:color w:val="auto"/>
                <w:sz w:val="24"/>
                <w:szCs w:val="24"/>
              </w:rPr>
            </w:pPr>
            <w:r>
              <w:rPr>
                <w:color w:val="auto"/>
                <w:sz w:val="24"/>
                <w:szCs w:val="24"/>
              </w:rPr>
              <w:t>/</w:t>
            </w:r>
          </w:p>
        </w:tc>
        <w:tc>
          <w:tcPr>
            <w:tcW w:w="1246" w:type="dxa"/>
            <w:tcBorders>
              <w:bottom w:val="single" w:color="auto" w:sz="4" w:space="0"/>
            </w:tcBorders>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color w:val="auto"/>
                <w:sz w:val="24"/>
                <w:szCs w:val="24"/>
              </w:rPr>
            </w:pPr>
          </w:p>
        </w:tc>
        <w:tc>
          <w:tcPr>
            <w:tcW w:w="1692" w:type="dxa"/>
            <w:tcBorders>
              <w:bottom w:val="single" w:color="auto" w:sz="4" w:space="0"/>
            </w:tcBorders>
            <w:vAlign w:val="center"/>
          </w:tcPr>
          <w:p>
            <w:pPr>
              <w:jc w:val="center"/>
              <w:rPr>
                <w:color w:val="auto"/>
                <w:sz w:val="24"/>
                <w:szCs w:val="24"/>
              </w:rPr>
            </w:pPr>
            <w:r>
              <w:rPr>
                <w:color w:val="auto"/>
                <w:sz w:val="24"/>
                <w:szCs w:val="24"/>
              </w:rPr>
              <w:t>SS</w:t>
            </w:r>
          </w:p>
        </w:tc>
        <w:tc>
          <w:tcPr>
            <w:tcW w:w="1245" w:type="dxa"/>
            <w:tcBorders>
              <w:bottom w:val="single" w:color="auto" w:sz="4" w:space="0"/>
            </w:tcBorders>
            <w:vAlign w:val="center"/>
          </w:tcPr>
          <w:p>
            <w:pPr>
              <w:jc w:val="center"/>
              <w:rPr>
                <w:color w:val="auto"/>
                <w:sz w:val="24"/>
                <w:szCs w:val="24"/>
              </w:rPr>
            </w:pPr>
            <w:r>
              <w:rPr>
                <w:color w:val="auto"/>
                <w:sz w:val="24"/>
                <w:szCs w:val="24"/>
              </w:rPr>
              <w:t>200mg/L</w:t>
            </w:r>
          </w:p>
        </w:tc>
        <w:tc>
          <w:tcPr>
            <w:tcW w:w="1245" w:type="dxa"/>
            <w:tcBorders>
              <w:bottom w:val="single" w:color="auto" w:sz="4" w:space="0"/>
            </w:tcBorders>
            <w:vAlign w:val="center"/>
          </w:tcPr>
          <w:p>
            <w:pPr>
              <w:jc w:val="center"/>
              <w:rPr>
                <w:color w:val="auto"/>
                <w:sz w:val="24"/>
                <w:szCs w:val="24"/>
              </w:rPr>
            </w:pPr>
            <w:r>
              <w:rPr>
                <w:color w:val="auto"/>
                <w:sz w:val="24"/>
                <w:szCs w:val="24"/>
              </w:rPr>
              <w:t>0.017t</w:t>
            </w:r>
          </w:p>
        </w:tc>
        <w:tc>
          <w:tcPr>
            <w:tcW w:w="1245" w:type="dxa"/>
            <w:tcBorders>
              <w:bottom w:val="single" w:color="auto" w:sz="4" w:space="0"/>
            </w:tcBorders>
            <w:vAlign w:val="center"/>
          </w:tcPr>
          <w:p>
            <w:pPr>
              <w:jc w:val="center"/>
              <w:rPr>
                <w:color w:val="auto"/>
                <w:sz w:val="24"/>
                <w:szCs w:val="24"/>
              </w:rPr>
            </w:pPr>
            <w:r>
              <w:rPr>
                <w:color w:val="auto"/>
                <w:sz w:val="24"/>
                <w:szCs w:val="24"/>
              </w:rPr>
              <w:t>/</w:t>
            </w:r>
          </w:p>
        </w:tc>
        <w:tc>
          <w:tcPr>
            <w:tcW w:w="1246" w:type="dxa"/>
            <w:tcBorders>
              <w:bottom w:val="single" w:color="auto" w:sz="4" w:space="0"/>
            </w:tcBorders>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2"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color w:val="auto"/>
                <w:sz w:val="24"/>
                <w:szCs w:val="24"/>
              </w:rPr>
            </w:pPr>
          </w:p>
        </w:tc>
        <w:tc>
          <w:tcPr>
            <w:tcW w:w="1692" w:type="dxa"/>
            <w:tcBorders>
              <w:bottom w:val="single" w:color="auto" w:sz="4" w:space="0"/>
            </w:tcBorders>
            <w:vAlign w:val="center"/>
          </w:tcPr>
          <w:p>
            <w:pPr>
              <w:jc w:val="center"/>
              <w:rPr>
                <w:color w:val="auto"/>
                <w:sz w:val="24"/>
                <w:szCs w:val="24"/>
              </w:rPr>
            </w:pPr>
            <w:r>
              <w:rPr>
                <w:color w:val="auto"/>
                <w:sz w:val="24"/>
                <w:szCs w:val="24"/>
              </w:rPr>
              <w:t>NH</w:t>
            </w:r>
            <w:r>
              <w:rPr>
                <w:color w:val="auto"/>
                <w:sz w:val="24"/>
                <w:szCs w:val="24"/>
                <w:vertAlign w:val="subscript"/>
              </w:rPr>
              <w:t>3</w:t>
            </w:r>
            <w:r>
              <w:rPr>
                <w:color w:val="auto"/>
                <w:sz w:val="24"/>
                <w:szCs w:val="24"/>
              </w:rPr>
              <w:t>-N</w:t>
            </w:r>
          </w:p>
        </w:tc>
        <w:tc>
          <w:tcPr>
            <w:tcW w:w="1245" w:type="dxa"/>
            <w:tcBorders>
              <w:bottom w:val="single" w:color="auto" w:sz="4" w:space="0"/>
            </w:tcBorders>
            <w:vAlign w:val="center"/>
          </w:tcPr>
          <w:p>
            <w:pPr>
              <w:jc w:val="center"/>
              <w:rPr>
                <w:color w:val="auto"/>
                <w:sz w:val="24"/>
                <w:szCs w:val="24"/>
              </w:rPr>
            </w:pPr>
            <w:r>
              <w:rPr>
                <w:color w:val="auto"/>
                <w:sz w:val="24"/>
                <w:szCs w:val="24"/>
              </w:rPr>
              <w:t>30mg/L</w:t>
            </w:r>
          </w:p>
        </w:tc>
        <w:tc>
          <w:tcPr>
            <w:tcW w:w="1245" w:type="dxa"/>
            <w:tcBorders>
              <w:bottom w:val="single" w:color="auto" w:sz="4" w:space="0"/>
            </w:tcBorders>
            <w:vAlign w:val="center"/>
          </w:tcPr>
          <w:p>
            <w:pPr>
              <w:jc w:val="center"/>
              <w:rPr>
                <w:color w:val="auto"/>
                <w:sz w:val="24"/>
                <w:szCs w:val="24"/>
              </w:rPr>
            </w:pPr>
            <w:r>
              <w:rPr>
                <w:color w:val="auto"/>
                <w:sz w:val="24"/>
                <w:szCs w:val="24"/>
              </w:rPr>
              <w:t>0.003t</w:t>
            </w:r>
          </w:p>
        </w:tc>
        <w:tc>
          <w:tcPr>
            <w:tcW w:w="1245" w:type="dxa"/>
            <w:tcBorders>
              <w:bottom w:val="single" w:color="auto" w:sz="4" w:space="0"/>
            </w:tcBorders>
            <w:vAlign w:val="center"/>
          </w:tcPr>
          <w:p>
            <w:pPr>
              <w:jc w:val="center"/>
              <w:rPr>
                <w:color w:val="auto"/>
                <w:sz w:val="24"/>
                <w:szCs w:val="24"/>
              </w:rPr>
            </w:pPr>
            <w:r>
              <w:rPr>
                <w:color w:val="auto"/>
                <w:sz w:val="24"/>
                <w:szCs w:val="24"/>
              </w:rPr>
              <w:t>/</w:t>
            </w:r>
          </w:p>
        </w:tc>
        <w:tc>
          <w:tcPr>
            <w:tcW w:w="1246" w:type="dxa"/>
            <w:tcBorders>
              <w:bottom w:val="single" w:color="auto" w:sz="4" w:space="0"/>
            </w:tcBorders>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restart"/>
            <w:vAlign w:val="center"/>
          </w:tcPr>
          <w:p>
            <w:pPr>
              <w:adjustRightInd w:val="0"/>
              <w:snapToGrid w:val="0"/>
              <w:jc w:val="center"/>
              <w:rPr>
                <w:color w:val="0000FF"/>
                <w:sz w:val="24"/>
                <w:szCs w:val="22"/>
                <w:u w:val="single"/>
              </w:rPr>
            </w:pPr>
            <w:r>
              <w:rPr>
                <w:rFonts w:hAnsi="宋体"/>
                <w:color w:val="0000FF"/>
                <w:sz w:val="24"/>
                <w:szCs w:val="24"/>
                <w:u w:val="single"/>
              </w:rPr>
              <w:t>施工废水</w:t>
            </w:r>
            <w:r>
              <w:rPr>
                <w:rFonts w:hint="eastAsia" w:hAnsi="宋体"/>
                <w:color w:val="0000FF"/>
                <w:sz w:val="24"/>
                <w:szCs w:val="24"/>
                <w:u w:val="single"/>
                <w:lang w:val="en-US" w:eastAsia="zh-CN"/>
              </w:rPr>
              <w:t>3244t</w:t>
            </w:r>
          </w:p>
        </w:tc>
        <w:tc>
          <w:tcPr>
            <w:tcW w:w="726" w:type="dxa"/>
            <w:vMerge w:val="restart"/>
            <w:vAlign w:val="center"/>
          </w:tcPr>
          <w:p>
            <w:pPr>
              <w:adjustRightInd w:val="0"/>
              <w:snapToGrid w:val="0"/>
              <w:jc w:val="center"/>
              <w:rPr>
                <w:rFonts w:hint="eastAsia" w:eastAsia="宋体"/>
                <w:color w:val="0000FF"/>
                <w:sz w:val="24"/>
                <w:szCs w:val="24"/>
                <w:u w:val="single"/>
                <w:lang w:eastAsia="zh-CN"/>
              </w:rPr>
            </w:pPr>
            <w:r>
              <w:rPr>
                <w:rFonts w:hint="eastAsia"/>
                <w:color w:val="0000FF"/>
                <w:sz w:val="24"/>
                <w:szCs w:val="24"/>
                <w:u w:val="single"/>
                <w:lang w:eastAsia="zh-CN"/>
              </w:rPr>
              <w:t>车辆清洗废水</w:t>
            </w:r>
          </w:p>
        </w:tc>
        <w:tc>
          <w:tcPr>
            <w:tcW w:w="1692" w:type="dxa"/>
            <w:tcBorders>
              <w:bottom w:val="single" w:color="auto" w:sz="4" w:space="0"/>
            </w:tcBorders>
            <w:vAlign w:val="center"/>
          </w:tcPr>
          <w:p>
            <w:pPr>
              <w:jc w:val="center"/>
              <w:rPr>
                <w:rFonts w:hint="eastAsia" w:eastAsia="宋体"/>
                <w:color w:val="0000FF"/>
                <w:sz w:val="24"/>
                <w:szCs w:val="24"/>
                <w:u w:val="single"/>
                <w:lang w:eastAsia="zh-CN"/>
              </w:rPr>
            </w:pPr>
            <w:r>
              <w:rPr>
                <w:rFonts w:hint="eastAsia"/>
                <w:color w:val="0000FF"/>
                <w:sz w:val="24"/>
                <w:szCs w:val="24"/>
                <w:u w:val="single"/>
                <w:lang w:eastAsia="zh-CN"/>
              </w:rPr>
              <w:t>废水量</w:t>
            </w:r>
          </w:p>
        </w:tc>
        <w:tc>
          <w:tcPr>
            <w:tcW w:w="2490" w:type="dxa"/>
            <w:gridSpan w:val="2"/>
            <w:tcBorders>
              <w:bottom w:val="single" w:color="auto" w:sz="4" w:space="0"/>
            </w:tcBorders>
            <w:vAlign w:val="center"/>
          </w:tcPr>
          <w:p>
            <w:pPr>
              <w:jc w:val="center"/>
              <w:rPr>
                <w:color w:val="0000FF"/>
                <w:sz w:val="24"/>
                <w:szCs w:val="24"/>
                <w:u w:val="single"/>
              </w:rPr>
            </w:pPr>
            <w:r>
              <w:rPr>
                <w:rFonts w:hint="eastAsia"/>
                <w:color w:val="0000FF"/>
                <w:sz w:val="24"/>
                <w:szCs w:val="24"/>
                <w:u w:val="single"/>
                <w:lang w:val="en-US" w:eastAsia="zh-CN"/>
              </w:rPr>
              <w:t>84t</w:t>
            </w:r>
          </w:p>
        </w:tc>
        <w:tc>
          <w:tcPr>
            <w:tcW w:w="2491" w:type="dxa"/>
            <w:gridSpan w:val="2"/>
            <w:tcBorders>
              <w:bottom w:val="single" w:color="auto" w:sz="4" w:space="0"/>
            </w:tcBorders>
            <w:vAlign w:val="center"/>
          </w:tcPr>
          <w:p>
            <w:pPr>
              <w:jc w:val="center"/>
              <w:rPr>
                <w:rFonts w:hint="eastAsia"/>
                <w:color w:val="0000FF"/>
                <w:u w:val="single"/>
                <w:lang w:val="en-US" w:eastAsia="zh-CN"/>
              </w:rPr>
            </w:pPr>
            <w:r>
              <w:rPr>
                <w:rFonts w:hint="eastAsia"/>
                <w:color w:val="0000FF"/>
                <w:u w:val="single"/>
                <w:lang w:val="en-US" w:eastAsia="zh-CN"/>
              </w:rPr>
              <w:t>84t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adjustRightInd w:val="0"/>
              <w:snapToGrid w:val="0"/>
              <w:jc w:val="center"/>
              <w:rPr>
                <w:color w:val="0000FF"/>
                <w:sz w:val="24"/>
                <w:szCs w:val="24"/>
                <w:u w:val="single"/>
              </w:rPr>
            </w:pPr>
          </w:p>
        </w:tc>
        <w:tc>
          <w:tcPr>
            <w:tcW w:w="726" w:type="dxa"/>
            <w:vMerge w:val="continue"/>
            <w:vAlign w:val="center"/>
          </w:tcPr>
          <w:p>
            <w:pPr>
              <w:adjustRightInd w:val="0"/>
              <w:snapToGrid w:val="0"/>
              <w:jc w:val="center"/>
              <w:rPr>
                <w:color w:val="0000FF"/>
                <w:sz w:val="24"/>
                <w:szCs w:val="24"/>
                <w:u w:val="single"/>
              </w:rPr>
            </w:pPr>
          </w:p>
        </w:tc>
        <w:tc>
          <w:tcPr>
            <w:tcW w:w="1692" w:type="dxa"/>
            <w:tcBorders>
              <w:bottom w:val="single" w:color="auto" w:sz="4" w:space="0"/>
            </w:tcBorders>
            <w:vAlign w:val="center"/>
          </w:tcPr>
          <w:p>
            <w:pPr>
              <w:adjustRightInd w:val="0"/>
              <w:snapToGrid w:val="0"/>
              <w:jc w:val="center"/>
              <w:rPr>
                <w:color w:val="0000FF"/>
                <w:sz w:val="24"/>
                <w:szCs w:val="24"/>
                <w:u w:val="single"/>
              </w:rPr>
            </w:pPr>
            <w:r>
              <w:rPr>
                <w:color w:val="0000FF"/>
                <w:sz w:val="24"/>
                <w:szCs w:val="24"/>
                <w:u w:val="single"/>
              </w:rPr>
              <w:t>SS</w:t>
            </w:r>
          </w:p>
        </w:tc>
        <w:tc>
          <w:tcPr>
            <w:tcW w:w="1245" w:type="dxa"/>
            <w:tcBorders>
              <w:bottom w:val="single" w:color="auto" w:sz="4" w:space="0"/>
            </w:tcBorders>
            <w:vAlign w:val="center"/>
          </w:tcPr>
          <w:p>
            <w:pPr>
              <w:jc w:val="center"/>
              <w:rPr>
                <w:color w:val="0000FF"/>
                <w:sz w:val="24"/>
                <w:szCs w:val="24"/>
                <w:u w:val="single"/>
              </w:rPr>
            </w:pPr>
            <w:r>
              <w:rPr>
                <w:color w:val="0000FF"/>
                <w:sz w:val="24"/>
                <w:szCs w:val="24"/>
                <w:u w:val="single"/>
              </w:rPr>
              <w:t>500mg/L</w:t>
            </w:r>
          </w:p>
        </w:tc>
        <w:tc>
          <w:tcPr>
            <w:tcW w:w="1245" w:type="dxa"/>
            <w:tcBorders>
              <w:bottom w:val="single" w:color="auto" w:sz="4" w:space="0"/>
            </w:tcBorders>
            <w:vAlign w:val="center"/>
          </w:tcPr>
          <w:p>
            <w:pPr>
              <w:jc w:val="center"/>
              <w:rPr>
                <w:color w:val="0000FF"/>
                <w:sz w:val="24"/>
                <w:szCs w:val="24"/>
                <w:u w:val="single"/>
              </w:rPr>
            </w:pPr>
            <w:r>
              <w:rPr>
                <w:rFonts w:hint="eastAsia"/>
                <w:color w:val="0000FF"/>
                <w:sz w:val="24"/>
                <w:szCs w:val="24"/>
                <w:u w:val="single"/>
                <w:lang w:val="en-US" w:eastAsia="zh-CN"/>
              </w:rPr>
              <w:t>0.042</w:t>
            </w:r>
            <w:r>
              <w:rPr>
                <w:color w:val="0000FF"/>
                <w:sz w:val="24"/>
                <w:szCs w:val="24"/>
                <w:u w:val="single"/>
              </w:rPr>
              <w:t>t</w:t>
            </w:r>
          </w:p>
        </w:tc>
        <w:tc>
          <w:tcPr>
            <w:tcW w:w="1245" w:type="dxa"/>
            <w:tcBorders>
              <w:bottom w:val="single" w:color="auto" w:sz="4" w:space="0"/>
            </w:tcBorders>
            <w:vAlign w:val="center"/>
          </w:tcPr>
          <w:p>
            <w:pPr>
              <w:jc w:val="center"/>
              <w:rPr>
                <w:color w:val="0000FF"/>
                <w:sz w:val="24"/>
                <w:szCs w:val="24"/>
                <w:u w:val="single"/>
              </w:rPr>
            </w:pPr>
            <w:r>
              <w:rPr>
                <w:color w:val="0000FF"/>
                <w:sz w:val="24"/>
                <w:szCs w:val="24"/>
                <w:u w:val="single"/>
              </w:rPr>
              <w:t>70mg/L</w:t>
            </w:r>
          </w:p>
        </w:tc>
        <w:tc>
          <w:tcPr>
            <w:tcW w:w="1246" w:type="dxa"/>
            <w:tcBorders>
              <w:bottom w:val="single" w:color="auto" w:sz="4" w:space="0"/>
            </w:tcBorders>
            <w:vAlign w:val="center"/>
          </w:tcPr>
          <w:p>
            <w:pPr>
              <w:jc w:val="center"/>
              <w:rPr>
                <w:rFonts w:hint="eastAsia" w:eastAsia="宋体"/>
                <w:color w:val="0000FF"/>
                <w:sz w:val="24"/>
                <w:szCs w:val="24"/>
                <w:u w:val="single"/>
                <w:lang w:val="en-US" w:eastAsia="zh-CN"/>
              </w:rPr>
            </w:pPr>
            <w:r>
              <w:rPr>
                <w:rFonts w:hint="eastAsia"/>
                <w:color w:val="0000FF"/>
                <w:sz w:val="24"/>
                <w:szCs w:val="24"/>
                <w:u w:val="single"/>
                <w:lang w:val="en-US" w:eastAsia="zh-CN"/>
              </w:rPr>
              <w:t>0.006t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adjustRightInd w:val="0"/>
              <w:snapToGrid w:val="0"/>
              <w:jc w:val="center"/>
              <w:rPr>
                <w:color w:val="0000FF"/>
                <w:sz w:val="24"/>
                <w:szCs w:val="24"/>
                <w:u w:val="single"/>
              </w:rPr>
            </w:pPr>
          </w:p>
        </w:tc>
        <w:tc>
          <w:tcPr>
            <w:tcW w:w="726" w:type="dxa"/>
            <w:vMerge w:val="continue"/>
            <w:vAlign w:val="center"/>
          </w:tcPr>
          <w:p>
            <w:pPr>
              <w:adjustRightInd w:val="0"/>
              <w:snapToGrid w:val="0"/>
              <w:jc w:val="center"/>
              <w:rPr>
                <w:color w:val="0000FF"/>
                <w:sz w:val="24"/>
                <w:szCs w:val="24"/>
                <w:u w:val="single"/>
              </w:rPr>
            </w:pPr>
          </w:p>
        </w:tc>
        <w:tc>
          <w:tcPr>
            <w:tcW w:w="1692" w:type="dxa"/>
            <w:tcBorders>
              <w:bottom w:val="single" w:color="auto" w:sz="4" w:space="0"/>
            </w:tcBorders>
            <w:vAlign w:val="center"/>
          </w:tcPr>
          <w:p>
            <w:pPr>
              <w:adjustRightInd w:val="0"/>
              <w:snapToGrid w:val="0"/>
              <w:jc w:val="center"/>
              <w:rPr>
                <w:color w:val="0000FF"/>
                <w:sz w:val="24"/>
                <w:szCs w:val="24"/>
                <w:u w:val="single"/>
              </w:rPr>
            </w:pPr>
            <w:r>
              <w:rPr>
                <w:rFonts w:hAnsi="宋体"/>
                <w:color w:val="0000FF"/>
                <w:sz w:val="24"/>
                <w:szCs w:val="24"/>
                <w:u w:val="single"/>
              </w:rPr>
              <w:t>石油类</w:t>
            </w:r>
          </w:p>
        </w:tc>
        <w:tc>
          <w:tcPr>
            <w:tcW w:w="1245" w:type="dxa"/>
            <w:tcBorders>
              <w:bottom w:val="single" w:color="auto" w:sz="4" w:space="0"/>
            </w:tcBorders>
            <w:vAlign w:val="center"/>
          </w:tcPr>
          <w:p>
            <w:pPr>
              <w:jc w:val="center"/>
              <w:rPr>
                <w:color w:val="0000FF"/>
                <w:sz w:val="24"/>
                <w:szCs w:val="24"/>
                <w:u w:val="single"/>
              </w:rPr>
            </w:pPr>
            <w:r>
              <w:rPr>
                <w:color w:val="0000FF"/>
                <w:sz w:val="24"/>
                <w:szCs w:val="24"/>
                <w:u w:val="single"/>
              </w:rPr>
              <w:t>25mg/L</w:t>
            </w:r>
          </w:p>
        </w:tc>
        <w:tc>
          <w:tcPr>
            <w:tcW w:w="1245" w:type="dxa"/>
            <w:tcBorders>
              <w:bottom w:val="single" w:color="auto" w:sz="4" w:space="0"/>
            </w:tcBorders>
            <w:vAlign w:val="center"/>
          </w:tcPr>
          <w:p>
            <w:pPr>
              <w:jc w:val="center"/>
              <w:rPr>
                <w:color w:val="0000FF"/>
                <w:sz w:val="24"/>
                <w:szCs w:val="24"/>
                <w:u w:val="single"/>
              </w:rPr>
            </w:pPr>
            <w:r>
              <w:rPr>
                <w:rFonts w:hint="eastAsia"/>
                <w:color w:val="0000FF"/>
                <w:sz w:val="24"/>
                <w:szCs w:val="24"/>
                <w:u w:val="single"/>
              </w:rPr>
              <w:t>0.0</w:t>
            </w:r>
            <w:r>
              <w:rPr>
                <w:rFonts w:hint="eastAsia"/>
                <w:color w:val="0000FF"/>
                <w:sz w:val="24"/>
                <w:szCs w:val="24"/>
                <w:u w:val="single"/>
                <w:lang w:val="en-US" w:eastAsia="zh-CN"/>
              </w:rPr>
              <w:t>02</w:t>
            </w:r>
            <w:r>
              <w:rPr>
                <w:color w:val="0000FF"/>
                <w:sz w:val="24"/>
                <w:szCs w:val="24"/>
                <w:u w:val="single"/>
              </w:rPr>
              <w:t>t</w:t>
            </w:r>
          </w:p>
        </w:tc>
        <w:tc>
          <w:tcPr>
            <w:tcW w:w="1245" w:type="dxa"/>
            <w:tcBorders>
              <w:bottom w:val="single" w:color="auto" w:sz="4" w:space="0"/>
            </w:tcBorders>
            <w:vAlign w:val="center"/>
          </w:tcPr>
          <w:p>
            <w:pPr>
              <w:jc w:val="center"/>
              <w:rPr>
                <w:color w:val="0000FF"/>
                <w:sz w:val="24"/>
                <w:szCs w:val="24"/>
                <w:u w:val="single"/>
              </w:rPr>
            </w:pPr>
            <w:r>
              <w:rPr>
                <w:color w:val="0000FF"/>
                <w:sz w:val="24"/>
                <w:szCs w:val="24"/>
                <w:u w:val="single"/>
              </w:rPr>
              <w:t>5mg/L</w:t>
            </w:r>
          </w:p>
        </w:tc>
        <w:tc>
          <w:tcPr>
            <w:tcW w:w="1246" w:type="dxa"/>
            <w:tcBorders>
              <w:bottom w:val="single" w:color="auto" w:sz="4" w:space="0"/>
            </w:tcBorders>
            <w:vAlign w:val="center"/>
          </w:tcPr>
          <w:p>
            <w:pPr>
              <w:jc w:val="center"/>
              <w:rPr>
                <w:rFonts w:hint="eastAsia" w:eastAsia="宋体"/>
                <w:color w:val="0000FF"/>
                <w:sz w:val="24"/>
                <w:szCs w:val="24"/>
                <w:u w:val="single"/>
                <w:lang w:val="en-US" w:eastAsia="zh-CN"/>
              </w:rPr>
            </w:pPr>
            <w:r>
              <w:rPr>
                <w:rFonts w:hint="eastAsia"/>
                <w:color w:val="0000FF"/>
                <w:sz w:val="24"/>
                <w:szCs w:val="24"/>
                <w:u w:val="single"/>
                <w:lang w:val="en-US" w:eastAsia="zh-CN"/>
              </w:rPr>
              <w:t>0.0004t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adjustRightInd w:val="0"/>
              <w:snapToGrid w:val="0"/>
              <w:jc w:val="center"/>
              <w:rPr>
                <w:color w:val="0000FF"/>
                <w:sz w:val="24"/>
                <w:szCs w:val="24"/>
                <w:u w:val="single"/>
              </w:rPr>
            </w:pPr>
          </w:p>
        </w:tc>
        <w:tc>
          <w:tcPr>
            <w:tcW w:w="726" w:type="dxa"/>
            <w:vMerge w:val="continue"/>
            <w:vAlign w:val="center"/>
          </w:tcPr>
          <w:p>
            <w:pPr>
              <w:adjustRightInd w:val="0"/>
              <w:snapToGrid w:val="0"/>
              <w:jc w:val="center"/>
              <w:rPr>
                <w:color w:val="0000FF"/>
                <w:sz w:val="24"/>
                <w:szCs w:val="24"/>
                <w:u w:val="single"/>
              </w:rPr>
            </w:pPr>
          </w:p>
        </w:tc>
        <w:tc>
          <w:tcPr>
            <w:tcW w:w="1692" w:type="dxa"/>
            <w:tcBorders>
              <w:bottom w:val="single" w:color="auto" w:sz="4" w:space="0"/>
            </w:tcBorders>
            <w:vAlign w:val="center"/>
          </w:tcPr>
          <w:p>
            <w:pPr>
              <w:jc w:val="center"/>
              <w:rPr>
                <w:color w:val="0000FF"/>
                <w:sz w:val="24"/>
                <w:szCs w:val="24"/>
                <w:u w:val="single"/>
              </w:rPr>
            </w:pPr>
            <w:r>
              <w:rPr>
                <w:rFonts w:hint="eastAsia" w:hAnsi="宋体"/>
                <w:color w:val="0000FF"/>
                <w:sz w:val="24"/>
                <w:szCs w:val="22"/>
                <w:u w:val="single"/>
                <w:lang w:val="en-US" w:eastAsia="zh-CN"/>
              </w:rPr>
              <w:t>六六六、滴滴涕</w:t>
            </w:r>
          </w:p>
        </w:tc>
        <w:tc>
          <w:tcPr>
            <w:tcW w:w="2490" w:type="dxa"/>
            <w:gridSpan w:val="2"/>
            <w:tcBorders>
              <w:bottom w:val="single" w:color="auto" w:sz="4" w:space="0"/>
            </w:tcBorders>
            <w:vAlign w:val="center"/>
          </w:tcPr>
          <w:p>
            <w:pPr>
              <w:adjustRightInd w:val="0"/>
              <w:snapToGrid w:val="0"/>
              <w:jc w:val="center"/>
              <w:rPr>
                <w:color w:val="0000FF"/>
                <w:sz w:val="24"/>
                <w:szCs w:val="24"/>
                <w:u w:val="single"/>
              </w:rPr>
            </w:pPr>
            <w:r>
              <w:rPr>
                <w:rFonts w:hint="eastAsia"/>
                <w:color w:val="0000FF"/>
                <w:sz w:val="24"/>
                <w:szCs w:val="24"/>
                <w:u w:val="single"/>
                <w:lang w:eastAsia="zh-CN"/>
              </w:rPr>
              <w:t>极少量</w:t>
            </w:r>
          </w:p>
        </w:tc>
        <w:tc>
          <w:tcPr>
            <w:tcW w:w="2491" w:type="dxa"/>
            <w:gridSpan w:val="2"/>
            <w:tcBorders>
              <w:bottom w:val="single" w:color="auto" w:sz="4" w:space="0"/>
            </w:tcBorders>
            <w:vAlign w:val="center"/>
          </w:tcPr>
          <w:p>
            <w:pPr>
              <w:jc w:val="center"/>
              <w:rPr>
                <w:color w:val="0000FF"/>
                <w:sz w:val="24"/>
                <w:szCs w:val="24"/>
                <w:u w:val="single"/>
              </w:rPr>
            </w:pPr>
            <w:r>
              <w:rPr>
                <w:rFonts w:hint="eastAsia"/>
                <w:color w:val="0000FF"/>
                <w:sz w:val="24"/>
                <w:szCs w:val="24"/>
                <w:u w:val="single"/>
                <w:lang w:eastAsia="zh-CN"/>
              </w:rPr>
              <w:t>极少量，可达标排放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adjustRightInd w:val="0"/>
              <w:snapToGrid w:val="0"/>
              <w:jc w:val="center"/>
              <w:rPr>
                <w:color w:val="0000FF"/>
                <w:sz w:val="24"/>
                <w:szCs w:val="22"/>
                <w:u w:val="single"/>
              </w:rPr>
            </w:pPr>
          </w:p>
        </w:tc>
        <w:tc>
          <w:tcPr>
            <w:tcW w:w="726" w:type="dxa"/>
            <w:vMerge w:val="restart"/>
            <w:vAlign w:val="center"/>
          </w:tcPr>
          <w:p>
            <w:pPr>
              <w:adjustRightInd w:val="0"/>
              <w:snapToGrid w:val="0"/>
              <w:jc w:val="center"/>
              <w:rPr>
                <w:rFonts w:hint="eastAsia" w:hAnsi="宋体" w:eastAsia="宋体"/>
                <w:color w:val="0000FF"/>
                <w:sz w:val="24"/>
                <w:szCs w:val="24"/>
                <w:u w:val="single"/>
                <w:lang w:val="en-US" w:eastAsia="zh-CN"/>
              </w:rPr>
            </w:pPr>
            <w:r>
              <w:rPr>
                <w:rFonts w:hint="eastAsia" w:hAnsi="宋体"/>
                <w:color w:val="0000FF"/>
                <w:sz w:val="24"/>
                <w:szCs w:val="24"/>
                <w:u w:val="single"/>
                <w:lang w:val="en-US" w:eastAsia="zh-CN"/>
              </w:rPr>
              <w:t>场地雨水</w:t>
            </w:r>
          </w:p>
        </w:tc>
        <w:tc>
          <w:tcPr>
            <w:tcW w:w="1692" w:type="dxa"/>
            <w:tcBorders>
              <w:bottom w:val="single" w:color="auto" w:sz="4" w:space="0"/>
            </w:tcBorders>
            <w:vAlign w:val="center"/>
          </w:tcPr>
          <w:p>
            <w:pPr>
              <w:adjustRightInd w:val="0"/>
              <w:snapToGrid w:val="0"/>
              <w:jc w:val="center"/>
              <w:rPr>
                <w:rFonts w:hint="eastAsia" w:eastAsia="宋体"/>
                <w:color w:val="0000FF"/>
                <w:sz w:val="24"/>
                <w:szCs w:val="24"/>
                <w:u w:val="single"/>
                <w:lang w:eastAsia="zh-CN"/>
              </w:rPr>
            </w:pPr>
            <w:r>
              <w:rPr>
                <w:rFonts w:hint="eastAsia"/>
                <w:color w:val="0000FF"/>
                <w:sz w:val="24"/>
                <w:szCs w:val="24"/>
                <w:u w:val="single"/>
                <w:lang w:eastAsia="zh-CN"/>
              </w:rPr>
              <w:t>废水量</w:t>
            </w:r>
          </w:p>
        </w:tc>
        <w:tc>
          <w:tcPr>
            <w:tcW w:w="2490" w:type="dxa"/>
            <w:gridSpan w:val="2"/>
            <w:tcBorders>
              <w:bottom w:val="single" w:color="auto" w:sz="4" w:space="0"/>
            </w:tcBorders>
            <w:vAlign w:val="center"/>
          </w:tcPr>
          <w:p>
            <w:pPr>
              <w:jc w:val="center"/>
              <w:rPr>
                <w:rFonts w:hint="eastAsia" w:eastAsia="宋体"/>
                <w:color w:val="0000FF"/>
                <w:sz w:val="24"/>
                <w:szCs w:val="24"/>
                <w:u w:val="single"/>
                <w:lang w:val="en-US" w:eastAsia="zh-CN"/>
              </w:rPr>
            </w:pPr>
            <w:r>
              <w:rPr>
                <w:rFonts w:hint="eastAsia"/>
                <w:color w:val="0000FF"/>
                <w:sz w:val="24"/>
                <w:szCs w:val="24"/>
                <w:u w:val="single"/>
                <w:lang w:val="en-US" w:eastAsia="zh-CN"/>
              </w:rPr>
              <w:t>760t</w:t>
            </w:r>
          </w:p>
        </w:tc>
        <w:tc>
          <w:tcPr>
            <w:tcW w:w="2491" w:type="dxa"/>
            <w:gridSpan w:val="2"/>
            <w:tcBorders>
              <w:bottom w:val="single" w:color="auto" w:sz="4" w:space="0"/>
            </w:tcBorders>
            <w:vAlign w:val="center"/>
          </w:tcPr>
          <w:p>
            <w:pPr>
              <w:jc w:val="center"/>
              <w:rPr>
                <w:rFonts w:hint="eastAsia" w:eastAsia="宋体"/>
                <w:color w:val="0000FF"/>
                <w:sz w:val="24"/>
                <w:szCs w:val="24"/>
                <w:u w:val="single"/>
                <w:lang w:val="en-US" w:eastAsia="zh-CN"/>
              </w:rPr>
            </w:pPr>
            <w:r>
              <w:rPr>
                <w:rFonts w:hint="eastAsia"/>
                <w:color w:val="0000FF"/>
                <w:sz w:val="24"/>
                <w:szCs w:val="24"/>
                <w:u w:val="single"/>
                <w:lang w:val="en-US" w:eastAsia="zh-CN"/>
              </w:rPr>
              <w:t>760t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adjustRightInd w:val="0"/>
              <w:snapToGrid w:val="0"/>
              <w:jc w:val="center"/>
              <w:rPr>
                <w:color w:val="0000FF"/>
                <w:sz w:val="24"/>
                <w:szCs w:val="22"/>
                <w:u w:val="single"/>
              </w:rPr>
            </w:pPr>
          </w:p>
        </w:tc>
        <w:tc>
          <w:tcPr>
            <w:tcW w:w="726" w:type="dxa"/>
            <w:vMerge w:val="continue"/>
            <w:vAlign w:val="center"/>
          </w:tcPr>
          <w:p>
            <w:pPr>
              <w:adjustRightInd w:val="0"/>
              <w:snapToGrid w:val="0"/>
              <w:jc w:val="center"/>
              <w:rPr>
                <w:rFonts w:hint="eastAsia" w:hAnsi="宋体"/>
                <w:color w:val="0000FF"/>
                <w:sz w:val="24"/>
                <w:szCs w:val="24"/>
                <w:u w:val="single"/>
                <w:lang w:val="en-US" w:eastAsia="zh-CN"/>
              </w:rPr>
            </w:pPr>
          </w:p>
        </w:tc>
        <w:tc>
          <w:tcPr>
            <w:tcW w:w="1692" w:type="dxa"/>
            <w:tcBorders>
              <w:bottom w:val="single" w:color="auto" w:sz="4" w:space="0"/>
            </w:tcBorders>
            <w:vAlign w:val="center"/>
          </w:tcPr>
          <w:p>
            <w:pPr>
              <w:adjustRightInd w:val="0"/>
              <w:snapToGrid w:val="0"/>
              <w:jc w:val="center"/>
              <w:rPr>
                <w:color w:val="0000FF"/>
                <w:sz w:val="24"/>
                <w:szCs w:val="24"/>
                <w:u w:val="single"/>
              </w:rPr>
            </w:pPr>
            <w:r>
              <w:rPr>
                <w:color w:val="0000FF"/>
                <w:sz w:val="24"/>
                <w:szCs w:val="24"/>
                <w:u w:val="single"/>
              </w:rPr>
              <w:t>SS</w:t>
            </w:r>
          </w:p>
        </w:tc>
        <w:tc>
          <w:tcPr>
            <w:tcW w:w="1245" w:type="dxa"/>
            <w:tcBorders>
              <w:bottom w:val="single" w:color="auto" w:sz="4" w:space="0"/>
            </w:tcBorders>
            <w:vAlign w:val="center"/>
          </w:tcPr>
          <w:p>
            <w:pPr>
              <w:jc w:val="center"/>
              <w:rPr>
                <w:color w:val="0000FF"/>
                <w:sz w:val="24"/>
                <w:szCs w:val="24"/>
                <w:u w:val="single"/>
              </w:rPr>
            </w:pPr>
            <w:r>
              <w:rPr>
                <w:color w:val="0000FF"/>
                <w:sz w:val="24"/>
                <w:szCs w:val="24"/>
                <w:u w:val="single"/>
              </w:rPr>
              <w:t>500mg/L</w:t>
            </w:r>
          </w:p>
        </w:tc>
        <w:tc>
          <w:tcPr>
            <w:tcW w:w="1245" w:type="dxa"/>
            <w:tcBorders>
              <w:bottom w:val="single" w:color="auto" w:sz="4" w:space="0"/>
            </w:tcBorders>
            <w:vAlign w:val="center"/>
          </w:tcPr>
          <w:p>
            <w:pPr>
              <w:jc w:val="center"/>
              <w:rPr>
                <w:rFonts w:hint="eastAsia"/>
                <w:color w:val="0000FF"/>
                <w:sz w:val="24"/>
                <w:szCs w:val="24"/>
                <w:u w:val="single"/>
              </w:rPr>
            </w:pPr>
            <w:r>
              <w:rPr>
                <w:rFonts w:hint="eastAsia"/>
                <w:color w:val="0000FF"/>
                <w:sz w:val="24"/>
                <w:szCs w:val="24"/>
                <w:u w:val="single"/>
                <w:lang w:val="en-US" w:eastAsia="zh-CN"/>
              </w:rPr>
              <w:t>0.38</w:t>
            </w:r>
            <w:r>
              <w:rPr>
                <w:color w:val="0000FF"/>
                <w:sz w:val="24"/>
                <w:szCs w:val="24"/>
                <w:u w:val="single"/>
              </w:rPr>
              <w:t>t</w:t>
            </w:r>
          </w:p>
        </w:tc>
        <w:tc>
          <w:tcPr>
            <w:tcW w:w="1245" w:type="dxa"/>
            <w:tcBorders>
              <w:bottom w:val="single" w:color="auto" w:sz="4" w:space="0"/>
            </w:tcBorders>
            <w:vAlign w:val="center"/>
          </w:tcPr>
          <w:p>
            <w:pPr>
              <w:jc w:val="center"/>
              <w:rPr>
                <w:color w:val="0000FF"/>
                <w:sz w:val="24"/>
                <w:szCs w:val="24"/>
                <w:u w:val="single"/>
              </w:rPr>
            </w:pPr>
            <w:r>
              <w:rPr>
                <w:color w:val="0000FF"/>
                <w:sz w:val="24"/>
                <w:szCs w:val="24"/>
                <w:u w:val="single"/>
              </w:rPr>
              <w:t>70mg/L</w:t>
            </w:r>
          </w:p>
        </w:tc>
        <w:tc>
          <w:tcPr>
            <w:tcW w:w="1246" w:type="dxa"/>
            <w:tcBorders>
              <w:bottom w:val="single" w:color="auto" w:sz="4" w:space="0"/>
            </w:tcBorders>
            <w:vAlign w:val="center"/>
          </w:tcPr>
          <w:p>
            <w:pPr>
              <w:jc w:val="center"/>
              <w:rPr>
                <w:rFonts w:hint="eastAsia"/>
                <w:color w:val="0000FF"/>
                <w:sz w:val="24"/>
                <w:szCs w:val="24"/>
                <w:u w:val="single"/>
              </w:rPr>
            </w:pPr>
            <w:r>
              <w:rPr>
                <w:rFonts w:hint="eastAsia"/>
                <w:color w:val="0000FF"/>
                <w:sz w:val="24"/>
                <w:szCs w:val="24"/>
                <w:u w:val="single"/>
              </w:rPr>
              <w:t>0.</w:t>
            </w:r>
            <w:r>
              <w:rPr>
                <w:rFonts w:hint="eastAsia"/>
                <w:color w:val="0000FF"/>
                <w:sz w:val="24"/>
                <w:szCs w:val="24"/>
                <w:u w:val="single"/>
                <w:lang w:val="en-US" w:eastAsia="zh-CN"/>
              </w:rPr>
              <w:t>057</w:t>
            </w:r>
            <w:r>
              <w:rPr>
                <w:color w:val="0000FF"/>
                <w:sz w:val="24"/>
                <w:szCs w:val="24"/>
                <w:u w:val="singl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adjustRightInd w:val="0"/>
              <w:snapToGrid w:val="0"/>
              <w:jc w:val="center"/>
              <w:rPr>
                <w:color w:val="0000FF"/>
                <w:sz w:val="24"/>
                <w:szCs w:val="22"/>
                <w:u w:val="single"/>
              </w:rPr>
            </w:pPr>
          </w:p>
        </w:tc>
        <w:tc>
          <w:tcPr>
            <w:tcW w:w="726" w:type="dxa"/>
            <w:vMerge w:val="continue"/>
            <w:vAlign w:val="center"/>
          </w:tcPr>
          <w:p>
            <w:pPr>
              <w:adjustRightInd w:val="0"/>
              <w:snapToGrid w:val="0"/>
              <w:jc w:val="center"/>
              <w:rPr>
                <w:rFonts w:hint="eastAsia" w:hAnsi="宋体"/>
                <w:color w:val="0000FF"/>
                <w:sz w:val="24"/>
                <w:szCs w:val="24"/>
                <w:u w:val="single"/>
                <w:lang w:val="en-US" w:eastAsia="zh-CN"/>
              </w:rPr>
            </w:pPr>
          </w:p>
        </w:tc>
        <w:tc>
          <w:tcPr>
            <w:tcW w:w="1692" w:type="dxa"/>
            <w:tcBorders>
              <w:bottom w:val="single" w:color="auto" w:sz="4" w:space="0"/>
            </w:tcBorders>
            <w:vAlign w:val="center"/>
          </w:tcPr>
          <w:p>
            <w:pPr>
              <w:jc w:val="center"/>
              <w:rPr>
                <w:color w:val="0000FF"/>
                <w:sz w:val="24"/>
                <w:szCs w:val="24"/>
                <w:u w:val="single"/>
              </w:rPr>
            </w:pPr>
            <w:r>
              <w:rPr>
                <w:rFonts w:hint="eastAsia" w:hAnsi="宋体"/>
                <w:color w:val="0000FF"/>
                <w:sz w:val="24"/>
                <w:szCs w:val="22"/>
                <w:u w:val="single"/>
                <w:lang w:val="en-US" w:eastAsia="zh-CN"/>
              </w:rPr>
              <w:t>六六六、滴滴涕</w:t>
            </w:r>
          </w:p>
        </w:tc>
        <w:tc>
          <w:tcPr>
            <w:tcW w:w="2490" w:type="dxa"/>
            <w:gridSpan w:val="2"/>
            <w:tcBorders>
              <w:bottom w:val="single" w:color="auto" w:sz="4" w:space="0"/>
            </w:tcBorders>
            <w:vAlign w:val="center"/>
          </w:tcPr>
          <w:p>
            <w:pPr>
              <w:adjustRightInd w:val="0"/>
              <w:snapToGrid w:val="0"/>
              <w:jc w:val="center"/>
              <w:rPr>
                <w:rFonts w:hint="eastAsia"/>
                <w:color w:val="0000FF"/>
                <w:sz w:val="24"/>
                <w:szCs w:val="24"/>
                <w:u w:val="single"/>
                <w:lang w:val="en-US" w:eastAsia="zh-CN"/>
              </w:rPr>
            </w:pPr>
            <w:r>
              <w:rPr>
                <w:rFonts w:hint="eastAsia"/>
                <w:color w:val="0000FF"/>
                <w:sz w:val="24"/>
                <w:szCs w:val="24"/>
                <w:u w:val="single"/>
                <w:lang w:eastAsia="zh-CN"/>
              </w:rPr>
              <w:t>极少量</w:t>
            </w:r>
          </w:p>
        </w:tc>
        <w:tc>
          <w:tcPr>
            <w:tcW w:w="2491" w:type="dxa"/>
            <w:gridSpan w:val="2"/>
            <w:tcBorders>
              <w:bottom w:val="single" w:color="auto" w:sz="4" w:space="0"/>
            </w:tcBorders>
            <w:vAlign w:val="center"/>
          </w:tcPr>
          <w:p>
            <w:pPr>
              <w:jc w:val="center"/>
              <w:rPr>
                <w:rFonts w:hint="eastAsia"/>
                <w:color w:val="0000FF"/>
                <w:sz w:val="24"/>
                <w:szCs w:val="24"/>
                <w:u w:val="single"/>
              </w:rPr>
            </w:pPr>
            <w:r>
              <w:rPr>
                <w:rFonts w:hint="eastAsia"/>
                <w:color w:val="0000FF"/>
                <w:sz w:val="24"/>
                <w:szCs w:val="24"/>
                <w:u w:val="single"/>
                <w:lang w:eastAsia="zh-CN"/>
              </w:rPr>
              <w:t>极少量，可达标排放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jc w:val="center"/>
              <w:rPr>
                <w:rFonts w:hint="eastAsia"/>
                <w:color w:val="0000FF"/>
                <w:sz w:val="24"/>
                <w:szCs w:val="24"/>
                <w:u w:val="single"/>
              </w:rPr>
            </w:pPr>
          </w:p>
        </w:tc>
        <w:tc>
          <w:tcPr>
            <w:tcW w:w="726" w:type="dxa"/>
            <w:vMerge w:val="restart"/>
            <w:vAlign w:val="center"/>
          </w:tcPr>
          <w:p>
            <w:pPr>
              <w:adjustRightInd w:val="0"/>
              <w:snapToGrid w:val="0"/>
              <w:jc w:val="center"/>
              <w:rPr>
                <w:rFonts w:hint="eastAsia" w:eastAsia="宋体"/>
                <w:color w:val="0000FF"/>
                <w:sz w:val="24"/>
                <w:szCs w:val="24"/>
                <w:u w:val="single"/>
                <w:lang w:eastAsia="zh-CN"/>
              </w:rPr>
            </w:pPr>
            <w:r>
              <w:rPr>
                <w:rFonts w:hint="eastAsia"/>
                <w:color w:val="0000FF"/>
                <w:sz w:val="24"/>
                <w:szCs w:val="24"/>
                <w:u w:val="single"/>
                <w:lang w:eastAsia="zh-CN"/>
              </w:rPr>
              <w:t>基坑废水</w:t>
            </w:r>
          </w:p>
        </w:tc>
        <w:tc>
          <w:tcPr>
            <w:tcW w:w="1692" w:type="dxa"/>
            <w:tcBorders>
              <w:bottom w:val="single" w:color="auto" w:sz="4" w:space="0"/>
            </w:tcBorders>
            <w:vAlign w:val="center"/>
          </w:tcPr>
          <w:p>
            <w:pPr>
              <w:adjustRightInd w:val="0"/>
              <w:snapToGrid w:val="0"/>
              <w:jc w:val="center"/>
              <w:rPr>
                <w:rFonts w:hint="eastAsia" w:eastAsia="宋体"/>
                <w:color w:val="0000FF"/>
                <w:sz w:val="24"/>
                <w:szCs w:val="24"/>
                <w:u w:val="single"/>
                <w:lang w:eastAsia="zh-CN"/>
              </w:rPr>
            </w:pPr>
            <w:r>
              <w:rPr>
                <w:rFonts w:hint="eastAsia"/>
                <w:color w:val="0000FF"/>
                <w:sz w:val="24"/>
                <w:szCs w:val="24"/>
                <w:u w:val="single"/>
                <w:lang w:eastAsia="zh-CN"/>
              </w:rPr>
              <w:t>废水量</w:t>
            </w:r>
          </w:p>
        </w:tc>
        <w:tc>
          <w:tcPr>
            <w:tcW w:w="2490" w:type="dxa"/>
            <w:gridSpan w:val="2"/>
            <w:tcBorders>
              <w:bottom w:val="single" w:color="auto" w:sz="4" w:space="0"/>
            </w:tcBorders>
            <w:vAlign w:val="center"/>
          </w:tcPr>
          <w:p>
            <w:pPr>
              <w:jc w:val="center"/>
              <w:rPr>
                <w:rFonts w:hint="eastAsia" w:eastAsia="宋体"/>
                <w:color w:val="0000FF"/>
                <w:sz w:val="24"/>
                <w:szCs w:val="24"/>
                <w:u w:val="single"/>
                <w:lang w:val="en-US" w:eastAsia="zh-CN"/>
              </w:rPr>
            </w:pPr>
            <w:r>
              <w:rPr>
                <w:rFonts w:hint="eastAsia"/>
                <w:color w:val="0000FF"/>
                <w:sz w:val="24"/>
                <w:szCs w:val="24"/>
                <w:u w:val="single"/>
                <w:lang w:val="en-US" w:eastAsia="zh-CN"/>
              </w:rPr>
              <w:t>2400t</w:t>
            </w:r>
          </w:p>
        </w:tc>
        <w:tc>
          <w:tcPr>
            <w:tcW w:w="2491" w:type="dxa"/>
            <w:gridSpan w:val="2"/>
            <w:tcBorders>
              <w:bottom w:val="single" w:color="auto" w:sz="4" w:space="0"/>
            </w:tcBorders>
            <w:vAlign w:val="center"/>
          </w:tcPr>
          <w:p>
            <w:pPr>
              <w:jc w:val="center"/>
              <w:rPr>
                <w:rFonts w:hint="eastAsia" w:eastAsia="宋体"/>
                <w:color w:val="0000FF"/>
                <w:sz w:val="24"/>
                <w:szCs w:val="24"/>
                <w:u w:val="single"/>
                <w:lang w:val="en-US" w:eastAsia="zh-CN"/>
              </w:rPr>
            </w:pPr>
            <w:r>
              <w:rPr>
                <w:rFonts w:hint="eastAsia"/>
                <w:color w:val="0000FF"/>
                <w:sz w:val="24"/>
                <w:szCs w:val="24"/>
                <w:u w:val="single"/>
                <w:lang w:val="en-US" w:eastAsia="zh-CN"/>
              </w:rPr>
              <w:t>2400t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726" w:type="dxa"/>
            <w:vMerge w:val="continue"/>
            <w:vAlign w:val="center"/>
          </w:tcPr>
          <w:p>
            <w:pPr>
              <w:jc w:val="center"/>
              <w:rPr>
                <w:rFonts w:hint="eastAsia"/>
                <w:color w:val="0000FF"/>
                <w:sz w:val="24"/>
                <w:szCs w:val="24"/>
                <w:u w:val="single"/>
              </w:rPr>
            </w:pPr>
          </w:p>
        </w:tc>
        <w:tc>
          <w:tcPr>
            <w:tcW w:w="726" w:type="dxa"/>
            <w:vMerge w:val="continue"/>
            <w:vAlign w:val="center"/>
          </w:tcPr>
          <w:p>
            <w:pPr>
              <w:adjustRightInd w:val="0"/>
              <w:snapToGrid w:val="0"/>
              <w:jc w:val="center"/>
              <w:rPr>
                <w:rFonts w:hint="eastAsia"/>
                <w:color w:val="0000FF"/>
                <w:sz w:val="24"/>
                <w:szCs w:val="24"/>
                <w:u w:val="single"/>
                <w:lang w:eastAsia="zh-CN"/>
              </w:rPr>
            </w:pPr>
          </w:p>
        </w:tc>
        <w:tc>
          <w:tcPr>
            <w:tcW w:w="1692" w:type="dxa"/>
            <w:tcBorders>
              <w:bottom w:val="single" w:color="auto" w:sz="4" w:space="0"/>
            </w:tcBorders>
            <w:vAlign w:val="center"/>
          </w:tcPr>
          <w:p>
            <w:pPr>
              <w:adjustRightInd w:val="0"/>
              <w:snapToGrid w:val="0"/>
              <w:jc w:val="center"/>
              <w:rPr>
                <w:rFonts w:hAnsi="宋体"/>
                <w:color w:val="0000FF"/>
                <w:sz w:val="24"/>
                <w:szCs w:val="24"/>
                <w:u w:val="single"/>
              </w:rPr>
            </w:pPr>
            <w:r>
              <w:rPr>
                <w:rFonts w:hint="eastAsia" w:hAnsi="宋体"/>
                <w:color w:val="0000FF"/>
                <w:sz w:val="24"/>
                <w:szCs w:val="22"/>
                <w:u w:val="single"/>
                <w:lang w:val="en-US" w:eastAsia="zh-CN"/>
              </w:rPr>
              <w:t>SS、六六六、滴滴涕</w:t>
            </w:r>
          </w:p>
        </w:tc>
        <w:tc>
          <w:tcPr>
            <w:tcW w:w="2490" w:type="dxa"/>
            <w:gridSpan w:val="2"/>
            <w:tcBorders>
              <w:bottom w:val="single" w:color="auto" w:sz="4" w:space="0"/>
            </w:tcBorders>
            <w:vAlign w:val="center"/>
          </w:tcPr>
          <w:p>
            <w:pPr>
              <w:adjustRightInd w:val="0"/>
              <w:snapToGrid w:val="0"/>
              <w:jc w:val="center"/>
              <w:rPr>
                <w:rFonts w:hint="eastAsia"/>
                <w:color w:val="0000FF"/>
                <w:sz w:val="24"/>
                <w:szCs w:val="24"/>
                <w:u w:val="single"/>
              </w:rPr>
            </w:pPr>
            <w:r>
              <w:rPr>
                <w:rFonts w:hint="eastAsia"/>
                <w:color w:val="0000FF"/>
                <w:sz w:val="24"/>
                <w:szCs w:val="24"/>
                <w:u w:val="single"/>
                <w:lang w:eastAsia="zh-CN"/>
              </w:rPr>
              <w:t>极少量</w:t>
            </w:r>
          </w:p>
        </w:tc>
        <w:tc>
          <w:tcPr>
            <w:tcW w:w="2491" w:type="dxa"/>
            <w:gridSpan w:val="2"/>
            <w:tcBorders>
              <w:bottom w:val="single" w:color="auto" w:sz="4" w:space="0"/>
            </w:tcBorders>
            <w:vAlign w:val="center"/>
          </w:tcPr>
          <w:p>
            <w:pPr>
              <w:jc w:val="center"/>
              <w:rPr>
                <w:rFonts w:hint="eastAsia"/>
                <w:color w:val="0000FF"/>
                <w:sz w:val="24"/>
                <w:szCs w:val="24"/>
                <w:u w:val="single"/>
              </w:rPr>
            </w:pPr>
            <w:r>
              <w:rPr>
                <w:rFonts w:hint="eastAsia"/>
                <w:color w:val="0000FF"/>
                <w:sz w:val="24"/>
                <w:szCs w:val="24"/>
                <w:u w:val="single"/>
                <w:lang w:eastAsia="zh-CN"/>
              </w:rPr>
              <w:t>极少量，可达标排放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restart"/>
            <w:vAlign w:val="center"/>
          </w:tcPr>
          <w:p>
            <w:pPr>
              <w:adjustRightInd w:val="0"/>
              <w:snapToGrid w:val="0"/>
              <w:jc w:val="center"/>
              <w:rPr>
                <w:b/>
                <w:bCs/>
                <w:color w:val="auto"/>
                <w:sz w:val="24"/>
                <w:szCs w:val="24"/>
              </w:rPr>
            </w:pPr>
            <w:r>
              <w:rPr>
                <w:rFonts w:hAnsi="宋体"/>
                <w:b/>
                <w:bCs/>
                <w:color w:val="auto"/>
                <w:sz w:val="24"/>
                <w:szCs w:val="24"/>
              </w:rPr>
              <w:t>固</w:t>
            </w:r>
          </w:p>
          <w:p>
            <w:pPr>
              <w:adjustRightInd w:val="0"/>
              <w:snapToGrid w:val="0"/>
              <w:jc w:val="center"/>
              <w:rPr>
                <w:b/>
                <w:bCs/>
                <w:color w:val="auto"/>
                <w:sz w:val="24"/>
                <w:szCs w:val="24"/>
              </w:rPr>
            </w:pPr>
            <w:r>
              <w:rPr>
                <w:rFonts w:hAnsi="宋体"/>
                <w:b/>
                <w:bCs/>
                <w:color w:val="auto"/>
                <w:sz w:val="24"/>
                <w:szCs w:val="24"/>
              </w:rPr>
              <w:t>体</w:t>
            </w:r>
          </w:p>
          <w:p>
            <w:pPr>
              <w:adjustRightInd w:val="0"/>
              <w:snapToGrid w:val="0"/>
              <w:jc w:val="center"/>
              <w:rPr>
                <w:b/>
                <w:bCs/>
                <w:color w:val="auto"/>
                <w:sz w:val="24"/>
                <w:szCs w:val="24"/>
              </w:rPr>
            </w:pPr>
            <w:r>
              <w:rPr>
                <w:rFonts w:hAnsi="宋体"/>
                <w:b/>
                <w:bCs/>
                <w:color w:val="auto"/>
                <w:sz w:val="24"/>
                <w:szCs w:val="24"/>
              </w:rPr>
              <w:t>废</w:t>
            </w:r>
          </w:p>
          <w:p>
            <w:pPr>
              <w:adjustRightInd w:val="0"/>
              <w:snapToGrid w:val="0"/>
              <w:jc w:val="center"/>
              <w:rPr>
                <w:b/>
                <w:bCs/>
                <w:color w:val="auto"/>
                <w:sz w:val="24"/>
                <w:szCs w:val="24"/>
              </w:rPr>
            </w:pPr>
            <w:r>
              <w:rPr>
                <w:rFonts w:hAnsi="宋体"/>
                <w:b/>
                <w:bCs/>
                <w:color w:val="auto"/>
                <w:sz w:val="24"/>
                <w:szCs w:val="24"/>
              </w:rPr>
              <w:t>物</w:t>
            </w:r>
          </w:p>
        </w:tc>
        <w:tc>
          <w:tcPr>
            <w:tcW w:w="1452" w:type="dxa"/>
            <w:gridSpan w:val="2"/>
            <w:vMerge w:val="restart"/>
            <w:vAlign w:val="center"/>
          </w:tcPr>
          <w:p>
            <w:pPr>
              <w:adjustRightInd w:val="0"/>
              <w:snapToGrid w:val="0"/>
              <w:jc w:val="center"/>
              <w:rPr>
                <w:color w:val="auto"/>
                <w:sz w:val="24"/>
                <w:szCs w:val="24"/>
              </w:rPr>
            </w:pPr>
            <w:r>
              <w:rPr>
                <w:rFonts w:hAnsi="宋体"/>
                <w:color w:val="auto"/>
                <w:sz w:val="24"/>
                <w:szCs w:val="24"/>
              </w:rPr>
              <w:t>建筑物拆除</w:t>
            </w:r>
          </w:p>
        </w:tc>
        <w:tc>
          <w:tcPr>
            <w:tcW w:w="1692" w:type="dxa"/>
            <w:vAlign w:val="center"/>
          </w:tcPr>
          <w:p>
            <w:pPr>
              <w:jc w:val="center"/>
              <w:rPr>
                <w:color w:val="auto"/>
                <w:sz w:val="24"/>
                <w:szCs w:val="24"/>
              </w:rPr>
            </w:pPr>
            <w:r>
              <w:rPr>
                <w:rFonts w:hAnsi="宋体"/>
                <w:color w:val="auto"/>
                <w:sz w:val="24"/>
                <w:szCs w:val="24"/>
              </w:rPr>
              <w:t>土石方</w:t>
            </w:r>
          </w:p>
        </w:tc>
        <w:tc>
          <w:tcPr>
            <w:tcW w:w="2490" w:type="dxa"/>
            <w:gridSpan w:val="2"/>
            <w:vAlign w:val="center"/>
          </w:tcPr>
          <w:p>
            <w:pPr>
              <w:jc w:val="center"/>
              <w:rPr>
                <w:color w:val="auto"/>
                <w:sz w:val="24"/>
                <w:szCs w:val="24"/>
              </w:rPr>
            </w:pPr>
            <w:r>
              <w:rPr>
                <w:rFonts w:hint="eastAsia"/>
                <w:bCs/>
                <w:color w:val="auto"/>
                <w:kern w:val="0"/>
                <w:sz w:val="24"/>
                <w:szCs w:val="24"/>
                <w:u w:val="single"/>
              </w:rPr>
              <w:t>4100</w:t>
            </w:r>
            <w:r>
              <w:rPr>
                <w:bCs/>
                <w:color w:val="auto"/>
                <w:kern w:val="0"/>
                <w:sz w:val="24"/>
                <w:szCs w:val="24"/>
              </w:rPr>
              <w:t>m</w:t>
            </w:r>
            <w:r>
              <w:rPr>
                <w:bCs/>
                <w:color w:val="auto"/>
                <w:kern w:val="0"/>
                <w:sz w:val="24"/>
                <w:szCs w:val="24"/>
                <w:vertAlign w:val="superscript"/>
              </w:rPr>
              <w:t>3</w:t>
            </w:r>
          </w:p>
        </w:tc>
        <w:tc>
          <w:tcPr>
            <w:tcW w:w="2491" w:type="dxa"/>
            <w:gridSpan w:val="2"/>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color w:val="auto"/>
                <w:sz w:val="24"/>
                <w:szCs w:val="24"/>
              </w:rPr>
            </w:pPr>
          </w:p>
        </w:tc>
        <w:tc>
          <w:tcPr>
            <w:tcW w:w="1692" w:type="dxa"/>
            <w:vAlign w:val="center"/>
          </w:tcPr>
          <w:p>
            <w:pPr>
              <w:jc w:val="center"/>
              <w:rPr>
                <w:color w:val="auto"/>
                <w:sz w:val="24"/>
                <w:szCs w:val="24"/>
              </w:rPr>
            </w:pPr>
            <w:r>
              <w:rPr>
                <w:rFonts w:hAnsi="宋体"/>
                <w:color w:val="auto"/>
                <w:sz w:val="24"/>
                <w:szCs w:val="24"/>
              </w:rPr>
              <w:t>废钢材</w:t>
            </w:r>
          </w:p>
        </w:tc>
        <w:tc>
          <w:tcPr>
            <w:tcW w:w="2490" w:type="dxa"/>
            <w:gridSpan w:val="2"/>
            <w:vAlign w:val="center"/>
          </w:tcPr>
          <w:p>
            <w:pPr>
              <w:jc w:val="center"/>
              <w:rPr>
                <w:bCs/>
                <w:color w:val="auto"/>
                <w:kern w:val="0"/>
                <w:sz w:val="24"/>
                <w:szCs w:val="24"/>
              </w:rPr>
            </w:pPr>
            <w:r>
              <w:rPr>
                <w:rFonts w:hint="eastAsia"/>
                <w:bCs/>
                <w:color w:val="auto"/>
                <w:kern w:val="0"/>
                <w:sz w:val="24"/>
                <w:szCs w:val="24"/>
              </w:rPr>
              <w:t>45</w:t>
            </w:r>
            <w:r>
              <w:rPr>
                <w:bCs/>
                <w:color w:val="auto"/>
                <w:kern w:val="0"/>
                <w:sz w:val="24"/>
                <w:szCs w:val="24"/>
              </w:rPr>
              <w:t>t</w:t>
            </w:r>
          </w:p>
        </w:tc>
        <w:tc>
          <w:tcPr>
            <w:tcW w:w="2491" w:type="dxa"/>
            <w:gridSpan w:val="2"/>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Align w:val="center"/>
          </w:tcPr>
          <w:p>
            <w:pPr>
              <w:adjustRightInd w:val="0"/>
              <w:snapToGrid w:val="0"/>
              <w:jc w:val="center"/>
              <w:rPr>
                <w:color w:val="auto"/>
                <w:sz w:val="24"/>
                <w:szCs w:val="24"/>
              </w:rPr>
            </w:pPr>
            <w:r>
              <w:rPr>
                <w:rFonts w:hAnsi="宋体"/>
                <w:color w:val="auto"/>
                <w:sz w:val="24"/>
                <w:szCs w:val="24"/>
              </w:rPr>
              <w:t>防渗</w:t>
            </w:r>
          </w:p>
        </w:tc>
        <w:tc>
          <w:tcPr>
            <w:tcW w:w="1692" w:type="dxa"/>
            <w:vAlign w:val="center"/>
          </w:tcPr>
          <w:p>
            <w:pPr>
              <w:jc w:val="center"/>
              <w:rPr>
                <w:color w:val="auto"/>
                <w:sz w:val="24"/>
                <w:szCs w:val="24"/>
              </w:rPr>
            </w:pPr>
            <w:r>
              <w:rPr>
                <w:rFonts w:hAnsi="宋体"/>
                <w:color w:val="auto"/>
                <w:sz w:val="24"/>
                <w:szCs w:val="24"/>
              </w:rPr>
              <w:t>废防渗材料</w:t>
            </w:r>
          </w:p>
        </w:tc>
        <w:tc>
          <w:tcPr>
            <w:tcW w:w="2490" w:type="dxa"/>
            <w:gridSpan w:val="2"/>
            <w:vAlign w:val="center"/>
          </w:tcPr>
          <w:p>
            <w:pPr>
              <w:jc w:val="center"/>
              <w:rPr>
                <w:color w:val="auto"/>
                <w:sz w:val="24"/>
                <w:szCs w:val="24"/>
              </w:rPr>
            </w:pPr>
            <w:r>
              <w:rPr>
                <w:color w:val="auto"/>
                <w:sz w:val="24"/>
                <w:szCs w:val="24"/>
              </w:rPr>
              <w:t>1</w:t>
            </w:r>
            <w:r>
              <w:rPr>
                <w:bCs/>
                <w:color w:val="auto"/>
                <w:kern w:val="0"/>
                <w:sz w:val="24"/>
                <w:szCs w:val="24"/>
              </w:rPr>
              <w:t>t</w:t>
            </w:r>
          </w:p>
        </w:tc>
        <w:tc>
          <w:tcPr>
            <w:tcW w:w="2491" w:type="dxa"/>
            <w:gridSpan w:val="2"/>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Align w:val="center"/>
          </w:tcPr>
          <w:p>
            <w:pPr>
              <w:adjustRightInd w:val="0"/>
              <w:snapToGrid w:val="0"/>
              <w:jc w:val="center"/>
              <w:rPr>
                <w:color w:val="auto"/>
                <w:sz w:val="24"/>
                <w:szCs w:val="24"/>
              </w:rPr>
            </w:pPr>
            <w:r>
              <w:rPr>
                <w:rFonts w:hAnsi="宋体"/>
                <w:color w:val="auto"/>
                <w:sz w:val="24"/>
                <w:szCs w:val="24"/>
              </w:rPr>
              <w:t>筛分</w:t>
            </w:r>
          </w:p>
        </w:tc>
        <w:tc>
          <w:tcPr>
            <w:tcW w:w="1692" w:type="dxa"/>
            <w:vAlign w:val="center"/>
          </w:tcPr>
          <w:p>
            <w:pPr>
              <w:jc w:val="center"/>
              <w:rPr>
                <w:color w:val="auto"/>
                <w:sz w:val="24"/>
                <w:szCs w:val="24"/>
              </w:rPr>
            </w:pPr>
            <w:r>
              <w:rPr>
                <w:rFonts w:hAnsi="宋体"/>
                <w:color w:val="auto"/>
                <w:sz w:val="24"/>
                <w:szCs w:val="24"/>
              </w:rPr>
              <w:t>筛分渣土</w:t>
            </w:r>
          </w:p>
        </w:tc>
        <w:tc>
          <w:tcPr>
            <w:tcW w:w="2490" w:type="dxa"/>
            <w:gridSpan w:val="2"/>
            <w:vAlign w:val="center"/>
          </w:tcPr>
          <w:p>
            <w:pPr>
              <w:jc w:val="center"/>
              <w:rPr>
                <w:color w:val="auto"/>
                <w:sz w:val="24"/>
                <w:szCs w:val="24"/>
              </w:rPr>
            </w:pPr>
            <w:r>
              <w:rPr>
                <w:color w:val="auto"/>
                <w:sz w:val="24"/>
                <w:szCs w:val="24"/>
              </w:rPr>
              <w:t>100</w:t>
            </w:r>
            <w:r>
              <w:rPr>
                <w:bCs/>
                <w:color w:val="auto"/>
                <w:kern w:val="0"/>
                <w:sz w:val="24"/>
                <w:szCs w:val="24"/>
              </w:rPr>
              <w:t>t</w:t>
            </w:r>
          </w:p>
        </w:tc>
        <w:tc>
          <w:tcPr>
            <w:tcW w:w="2491" w:type="dxa"/>
            <w:gridSpan w:val="2"/>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restart"/>
            <w:vAlign w:val="center"/>
          </w:tcPr>
          <w:p>
            <w:pPr>
              <w:adjustRightInd w:val="0"/>
              <w:snapToGrid w:val="0"/>
              <w:jc w:val="center"/>
              <w:rPr>
                <w:color w:val="auto"/>
                <w:sz w:val="24"/>
                <w:szCs w:val="24"/>
              </w:rPr>
            </w:pPr>
            <w:r>
              <w:rPr>
                <w:rFonts w:hint="eastAsia" w:hAnsi="宋体"/>
                <w:color w:val="auto"/>
                <w:sz w:val="24"/>
                <w:szCs w:val="24"/>
              </w:rPr>
              <w:t>废气处理措施</w:t>
            </w:r>
          </w:p>
        </w:tc>
        <w:tc>
          <w:tcPr>
            <w:tcW w:w="1692" w:type="dxa"/>
            <w:vAlign w:val="center"/>
          </w:tcPr>
          <w:p>
            <w:pPr>
              <w:jc w:val="center"/>
              <w:rPr>
                <w:color w:val="auto"/>
                <w:sz w:val="24"/>
                <w:szCs w:val="24"/>
              </w:rPr>
            </w:pPr>
            <w:r>
              <w:rPr>
                <w:rFonts w:hint="eastAsia" w:hAnsi="宋体"/>
                <w:color w:val="auto"/>
                <w:sz w:val="24"/>
                <w:szCs w:val="24"/>
                <w:u w:val="single"/>
              </w:rPr>
              <w:t>除尘器收集粉尘</w:t>
            </w:r>
          </w:p>
        </w:tc>
        <w:tc>
          <w:tcPr>
            <w:tcW w:w="2490" w:type="dxa"/>
            <w:gridSpan w:val="2"/>
            <w:vAlign w:val="center"/>
          </w:tcPr>
          <w:p>
            <w:pPr>
              <w:jc w:val="center"/>
              <w:rPr>
                <w:color w:val="auto"/>
                <w:sz w:val="24"/>
                <w:szCs w:val="24"/>
              </w:rPr>
            </w:pPr>
            <w:r>
              <w:rPr>
                <w:rFonts w:hint="eastAsia"/>
                <w:color w:val="auto"/>
                <w:sz w:val="24"/>
                <w:szCs w:val="24"/>
              </w:rPr>
              <w:t>6.44</w:t>
            </w:r>
            <w:r>
              <w:rPr>
                <w:bCs/>
                <w:color w:val="auto"/>
                <w:kern w:val="0"/>
                <w:sz w:val="24"/>
                <w:szCs w:val="24"/>
              </w:rPr>
              <w:t>t</w:t>
            </w:r>
          </w:p>
        </w:tc>
        <w:tc>
          <w:tcPr>
            <w:tcW w:w="2491" w:type="dxa"/>
            <w:gridSpan w:val="2"/>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Merge w:val="continue"/>
            <w:vAlign w:val="center"/>
          </w:tcPr>
          <w:p>
            <w:pPr>
              <w:adjustRightInd w:val="0"/>
              <w:snapToGrid w:val="0"/>
              <w:jc w:val="center"/>
              <w:rPr>
                <w:rFonts w:hAnsi="宋体"/>
                <w:color w:val="auto"/>
                <w:sz w:val="24"/>
                <w:szCs w:val="24"/>
              </w:rPr>
            </w:pPr>
          </w:p>
        </w:tc>
        <w:tc>
          <w:tcPr>
            <w:tcW w:w="1692" w:type="dxa"/>
            <w:vAlign w:val="center"/>
          </w:tcPr>
          <w:p>
            <w:pPr>
              <w:jc w:val="center"/>
              <w:rPr>
                <w:rFonts w:hAnsi="宋体"/>
                <w:color w:val="auto"/>
                <w:sz w:val="24"/>
                <w:szCs w:val="24"/>
                <w:u w:val="single"/>
              </w:rPr>
            </w:pPr>
            <w:r>
              <w:rPr>
                <w:rFonts w:hint="eastAsia" w:hAnsi="宋体"/>
                <w:color w:val="auto"/>
                <w:sz w:val="24"/>
                <w:szCs w:val="24"/>
                <w:u w:val="single"/>
              </w:rPr>
              <w:t>废活性炭</w:t>
            </w:r>
          </w:p>
        </w:tc>
        <w:tc>
          <w:tcPr>
            <w:tcW w:w="2490" w:type="dxa"/>
            <w:gridSpan w:val="2"/>
            <w:vAlign w:val="center"/>
          </w:tcPr>
          <w:p>
            <w:pPr>
              <w:jc w:val="center"/>
              <w:rPr>
                <w:color w:val="auto"/>
                <w:sz w:val="24"/>
                <w:szCs w:val="24"/>
                <w:u w:val="single"/>
              </w:rPr>
            </w:pPr>
            <w:r>
              <w:rPr>
                <w:rFonts w:hint="eastAsia"/>
                <w:color w:val="auto"/>
                <w:sz w:val="24"/>
                <w:szCs w:val="24"/>
                <w:u w:val="single"/>
              </w:rPr>
              <w:t>0.6</w:t>
            </w:r>
            <w:r>
              <w:rPr>
                <w:rFonts w:hint="eastAsia"/>
                <w:color w:val="auto"/>
                <w:sz w:val="24"/>
                <w:szCs w:val="24"/>
                <w:u w:val="single"/>
                <w:lang w:val="en-US" w:eastAsia="zh-CN"/>
              </w:rPr>
              <w:t>03</w:t>
            </w:r>
            <w:r>
              <w:rPr>
                <w:rFonts w:hint="eastAsia"/>
                <w:color w:val="auto"/>
                <w:sz w:val="24"/>
                <w:szCs w:val="24"/>
                <w:u w:val="single"/>
              </w:rPr>
              <w:t>t</w:t>
            </w:r>
          </w:p>
        </w:tc>
        <w:tc>
          <w:tcPr>
            <w:tcW w:w="2491" w:type="dxa"/>
            <w:gridSpan w:val="2"/>
            <w:vAlign w:val="center"/>
          </w:tcPr>
          <w:p>
            <w:pPr>
              <w:jc w:val="center"/>
              <w:rPr>
                <w:color w:val="auto"/>
                <w:sz w:val="24"/>
                <w:szCs w:val="24"/>
              </w:rPr>
            </w:pPr>
            <w:r>
              <w:rPr>
                <w:rFonts w:hint="eastAsia"/>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Merge w:val="continue"/>
            <w:vAlign w:val="center"/>
          </w:tcPr>
          <w:p>
            <w:pPr>
              <w:adjustRightInd w:val="0"/>
              <w:snapToGrid w:val="0"/>
              <w:jc w:val="center"/>
              <w:rPr>
                <w:b/>
                <w:bCs/>
                <w:color w:val="auto"/>
                <w:sz w:val="24"/>
                <w:szCs w:val="24"/>
              </w:rPr>
            </w:pPr>
          </w:p>
        </w:tc>
        <w:tc>
          <w:tcPr>
            <w:tcW w:w="1452" w:type="dxa"/>
            <w:gridSpan w:val="2"/>
            <w:vAlign w:val="center"/>
          </w:tcPr>
          <w:p>
            <w:pPr>
              <w:adjustRightInd w:val="0"/>
              <w:snapToGrid w:val="0"/>
              <w:jc w:val="center"/>
              <w:rPr>
                <w:color w:val="auto"/>
                <w:sz w:val="24"/>
                <w:szCs w:val="24"/>
              </w:rPr>
            </w:pPr>
            <w:r>
              <w:rPr>
                <w:rFonts w:hAnsi="宋体"/>
                <w:color w:val="auto"/>
                <w:sz w:val="24"/>
                <w:szCs w:val="24"/>
              </w:rPr>
              <w:t>员工生活</w:t>
            </w:r>
          </w:p>
        </w:tc>
        <w:tc>
          <w:tcPr>
            <w:tcW w:w="1692" w:type="dxa"/>
            <w:vAlign w:val="center"/>
          </w:tcPr>
          <w:p>
            <w:pPr>
              <w:jc w:val="center"/>
              <w:rPr>
                <w:color w:val="auto"/>
                <w:sz w:val="24"/>
                <w:szCs w:val="24"/>
              </w:rPr>
            </w:pPr>
            <w:r>
              <w:rPr>
                <w:rFonts w:hAnsi="宋体"/>
                <w:color w:val="auto"/>
                <w:sz w:val="24"/>
                <w:szCs w:val="24"/>
              </w:rPr>
              <w:t>生活垃圾</w:t>
            </w:r>
          </w:p>
        </w:tc>
        <w:tc>
          <w:tcPr>
            <w:tcW w:w="2490" w:type="dxa"/>
            <w:gridSpan w:val="2"/>
            <w:vAlign w:val="center"/>
          </w:tcPr>
          <w:p>
            <w:pPr>
              <w:jc w:val="center"/>
              <w:rPr>
                <w:color w:val="auto"/>
                <w:sz w:val="24"/>
                <w:szCs w:val="24"/>
              </w:rPr>
            </w:pPr>
            <w:r>
              <w:rPr>
                <w:color w:val="auto"/>
                <w:sz w:val="24"/>
                <w:szCs w:val="24"/>
              </w:rPr>
              <w:t>1.2</w:t>
            </w:r>
            <w:r>
              <w:rPr>
                <w:bCs/>
                <w:color w:val="auto"/>
                <w:kern w:val="0"/>
                <w:sz w:val="24"/>
                <w:szCs w:val="24"/>
              </w:rPr>
              <w:t>t</w:t>
            </w:r>
          </w:p>
        </w:tc>
        <w:tc>
          <w:tcPr>
            <w:tcW w:w="2491" w:type="dxa"/>
            <w:gridSpan w:val="2"/>
            <w:vAlign w:val="center"/>
          </w:tcPr>
          <w:p>
            <w:pPr>
              <w:jc w:val="center"/>
              <w:rPr>
                <w:color w:val="auto"/>
                <w:sz w:val="24"/>
                <w:szCs w:val="24"/>
              </w:rPr>
            </w:pPr>
            <w:r>
              <w:rPr>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1079" w:type="dxa"/>
            <w:vAlign w:val="center"/>
          </w:tcPr>
          <w:p>
            <w:pPr>
              <w:adjustRightInd w:val="0"/>
              <w:snapToGrid w:val="0"/>
              <w:jc w:val="center"/>
              <w:rPr>
                <w:b/>
                <w:bCs/>
                <w:color w:val="auto"/>
                <w:sz w:val="24"/>
                <w:szCs w:val="24"/>
              </w:rPr>
            </w:pPr>
            <w:r>
              <w:rPr>
                <w:rFonts w:hAnsi="宋体"/>
                <w:b/>
                <w:bCs/>
                <w:color w:val="auto"/>
                <w:sz w:val="24"/>
                <w:szCs w:val="24"/>
              </w:rPr>
              <w:t>噪</w:t>
            </w:r>
          </w:p>
          <w:p>
            <w:pPr>
              <w:adjustRightInd w:val="0"/>
              <w:snapToGrid w:val="0"/>
              <w:jc w:val="center"/>
              <w:rPr>
                <w:b/>
                <w:bCs/>
                <w:color w:val="auto"/>
                <w:sz w:val="24"/>
                <w:szCs w:val="24"/>
              </w:rPr>
            </w:pPr>
            <w:r>
              <w:rPr>
                <w:rFonts w:hAnsi="宋体"/>
                <w:b/>
                <w:bCs/>
                <w:color w:val="auto"/>
                <w:sz w:val="24"/>
                <w:szCs w:val="24"/>
              </w:rPr>
              <w:t>声</w:t>
            </w:r>
          </w:p>
        </w:tc>
        <w:tc>
          <w:tcPr>
            <w:tcW w:w="1452" w:type="dxa"/>
            <w:gridSpan w:val="2"/>
            <w:tcBorders>
              <w:right w:val="single" w:color="auto" w:sz="4" w:space="0"/>
            </w:tcBorders>
            <w:vAlign w:val="center"/>
          </w:tcPr>
          <w:p>
            <w:pPr>
              <w:adjustRightInd w:val="0"/>
              <w:snapToGrid w:val="0"/>
              <w:jc w:val="center"/>
              <w:rPr>
                <w:color w:val="auto"/>
                <w:sz w:val="24"/>
                <w:szCs w:val="24"/>
              </w:rPr>
            </w:pPr>
            <w:r>
              <w:rPr>
                <w:rFonts w:hAnsi="宋体"/>
                <w:color w:val="auto"/>
                <w:sz w:val="24"/>
                <w:szCs w:val="24"/>
              </w:rPr>
              <w:t>施工</w:t>
            </w:r>
          </w:p>
        </w:tc>
        <w:tc>
          <w:tcPr>
            <w:tcW w:w="6673" w:type="dxa"/>
            <w:gridSpan w:val="5"/>
            <w:tcBorders>
              <w:left w:val="single" w:color="auto" w:sz="4" w:space="0"/>
            </w:tcBorders>
            <w:vAlign w:val="center"/>
          </w:tcPr>
          <w:p>
            <w:pPr>
              <w:adjustRightInd w:val="0"/>
              <w:snapToGrid w:val="0"/>
              <w:jc w:val="center"/>
              <w:rPr>
                <w:color w:val="auto"/>
                <w:sz w:val="24"/>
                <w:szCs w:val="24"/>
              </w:rPr>
            </w:pPr>
            <w:r>
              <w:rPr>
                <w:rFonts w:hAnsi="宋体"/>
                <w:color w:val="auto"/>
                <w:sz w:val="24"/>
                <w:szCs w:val="24"/>
              </w:rPr>
              <w:t>施工机械噪声</w:t>
            </w:r>
            <w:r>
              <w:rPr>
                <w:rFonts w:hint="eastAsia"/>
                <w:color w:val="auto"/>
                <w:sz w:val="24"/>
                <w:szCs w:val="24"/>
              </w:rPr>
              <w:t>85</w:t>
            </w:r>
            <w:r>
              <w:rPr>
                <w:rFonts w:hAnsi="宋体"/>
                <w:color w:val="auto"/>
                <w:sz w:val="24"/>
                <w:szCs w:val="24"/>
              </w:rPr>
              <w:t>～</w:t>
            </w:r>
            <w:r>
              <w:rPr>
                <w:color w:val="auto"/>
                <w:sz w:val="24"/>
                <w:szCs w:val="24"/>
              </w:rPr>
              <w:t>95dB</w:t>
            </w:r>
            <w:r>
              <w:rPr>
                <w:rFonts w:hAnsi="宋体"/>
                <w:color w:val="auto"/>
                <w:sz w:val="24"/>
                <w:szCs w:val="24"/>
              </w:rPr>
              <w:t>（</w:t>
            </w:r>
            <w:r>
              <w:rPr>
                <w:color w:val="auto"/>
                <w:sz w:val="24"/>
                <w:szCs w:val="24"/>
              </w:rPr>
              <w:t>A</w:t>
            </w:r>
            <w:r>
              <w:rPr>
                <w:rFonts w:hAnsi="宋体"/>
                <w:color w:val="auto"/>
                <w:sz w:val="24"/>
                <w:szCs w:val="24"/>
              </w:rPr>
              <w:t>）</w:t>
            </w:r>
            <w:r>
              <w:rPr>
                <w:rFonts w:hint="eastAsia" w:hAnsi="宋体"/>
                <w:color w:val="auto"/>
                <w:sz w:val="24"/>
                <w:szCs w:val="24"/>
              </w:rPr>
              <w:t>；</w:t>
            </w:r>
            <w:r>
              <w:rPr>
                <w:rFonts w:hAnsi="宋体"/>
                <w:color w:val="auto"/>
                <w:sz w:val="24"/>
                <w:szCs w:val="24"/>
              </w:rPr>
              <w:t>机动车辆噪声</w:t>
            </w:r>
            <w:r>
              <w:rPr>
                <w:rFonts w:hint="eastAsia"/>
                <w:color w:val="auto"/>
                <w:sz w:val="24"/>
                <w:szCs w:val="24"/>
              </w:rPr>
              <w:t>85</w:t>
            </w:r>
            <w:r>
              <w:rPr>
                <w:color w:val="auto"/>
                <w:sz w:val="24"/>
                <w:szCs w:val="24"/>
              </w:rPr>
              <w:t>dB</w:t>
            </w:r>
            <w:r>
              <w:rPr>
                <w:rFonts w:hAnsi="宋体"/>
                <w:color w:val="auto"/>
                <w:sz w:val="24"/>
                <w:szCs w:val="24"/>
              </w:rPr>
              <w:t>（</w:t>
            </w:r>
            <w:r>
              <w:rPr>
                <w:color w:val="auto"/>
                <w:sz w:val="24"/>
                <w:szCs w:val="24"/>
              </w:rPr>
              <w:t>A</w:t>
            </w:r>
            <w:r>
              <w:rPr>
                <w:rFonts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jc w:val="center"/>
        </w:trPr>
        <w:tc>
          <w:tcPr>
            <w:tcW w:w="9204" w:type="dxa"/>
            <w:gridSpan w:val="8"/>
            <w:vAlign w:val="center"/>
          </w:tcPr>
          <w:p>
            <w:pPr>
              <w:rPr>
                <w:sz w:val="24"/>
                <w:szCs w:val="22"/>
              </w:rPr>
            </w:pPr>
            <w:r>
              <w:rPr>
                <w:sz w:val="24"/>
                <w:szCs w:val="22"/>
              </w:rPr>
              <w:t>主要生态影响</w:t>
            </w:r>
          </w:p>
          <w:p>
            <w:pPr>
              <w:adjustRightInd w:val="0"/>
              <w:snapToGrid w:val="0"/>
              <w:spacing w:line="360" w:lineRule="auto"/>
              <w:ind w:firstLine="480" w:firstLineChars="200"/>
              <w:rPr>
                <w:sz w:val="24"/>
                <w:szCs w:val="22"/>
                <w:lang w:val="zh-TW"/>
              </w:rPr>
            </w:pPr>
            <w:r>
              <w:rPr>
                <w:sz w:val="24"/>
                <w:szCs w:val="22"/>
              </w:rPr>
              <w:t>本项目的建设可</w:t>
            </w:r>
            <w:r>
              <w:rPr>
                <w:sz w:val="24"/>
                <w:szCs w:val="22"/>
                <w:lang w:val="zh-TW"/>
              </w:rPr>
              <w:t>有效改善该片区土壤环境，土壤修复后期将对表层种植植物，进行生态恢复，可有效恢复该区域内的生态环境。</w:t>
            </w: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p>
            <w:pPr>
              <w:pStyle w:val="2"/>
              <w:rPr>
                <w:rFonts w:hAnsi="宋体"/>
                <w:color w:val="auto"/>
                <w:sz w:val="24"/>
                <w:szCs w:val="24"/>
                <w:lang w:val="zh-TW"/>
              </w:rPr>
            </w:pPr>
          </w:p>
        </w:tc>
      </w:tr>
    </w:tbl>
    <w:p>
      <w:pPr>
        <w:pStyle w:val="3"/>
        <w:spacing w:before="0" w:after="0" w:line="240" w:lineRule="auto"/>
        <w:rPr>
          <w:b w:val="0"/>
          <w:color w:val="auto"/>
          <w:sz w:val="32"/>
        </w:rPr>
      </w:pPr>
      <w:r>
        <w:rPr>
          <w:b w:val="0"/>
          <w:color w:val="auto"/>
          <w:sz w:val="32"/>
        </w:rPr>
        <w:br w:type="page"/>
      </w:r>
      <w:bookmarkStart w:id="15" w:name="_Toc485612242"/>
      <w:r>
        <w:rPr>
          <w:rFonts w:hAnsi="宋体"/>
          <w:color w:val="auto"/>
          <w:sz w:val="28"/>
          <w:szCs w:val="28"/>
        </w:rPr>
        <w:t>环境影响分析</w:t>
      </w:r>
      <w:bookmarkEnd w:id="15"/>
    </w:p>
    <w:tbl>
      <w:tblPr>
        <w:tblStyle w:val="30"/>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75" w:hRule="atLeast"/>
          <w:jc w:val="center"/>
        </w:trPr>
        <w:tc>
          <w:tcPr>
            <w:tcW w:w="9286" w:type="dxa"/>
            <w:tcBorders>
              <w:bottom w:val="single" w:color="auto" w:sz="12" w:space="0"/>
            </w:tcBorders>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b/>
                <w:color w:val="auto"/>
                <w:sz w:val="24"/>
                <w:szCs w:val="24"/>
              </w:rPr>
            </w:pPr>
            <w:r>
              <w:rPr>
                <w:rFonts w:hAnsi="宋体"/>
                <w:b/>
                <w:color w:val="auto"/>
                <w:sz w:val="24"/>
                <w:szCs w:val="24"/>
              </w:rPr>
              <w:t>一、大气环境影响分析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u w:val="single"/>
              </w:rPr>
            </w:pPr>
            <w:r>
              <w:rPr>
                <w:bCs/>
                <w:color w:val="auto"/>
                <w:sz w:val="24"/>
                <w:u w:val="single"/>
              </w:rPr>
              <w:t>(1)</w:t>
            </w:r>
            <w:r>
              <w:rPr>
                <w:rFonts w:hAnsi="宋体"/>
                <w:bCs/>
                <w:color w:val="auto"/>
                <w:sz w:val="24"/>
                <w:u w:val="single"/>
              </w:rPr>
              <w:t>扬尘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u w:val="single"/>
              </w:rPr>
            </w:pPr>
            <w:r>
              <w:rPr>
                <w:rFonts w:hAnsi="宋体"/>
                <w:bCs/>
                <w:color w:val="auto"/>
                <w:sz w:val="24"/>
                <w:u w:val="single"/>
              </w:rPr>
              <w:t>扬尘污染主要发生在项目建构筑物拆除、污染土壤挖掘、运输、堆放、修复及回填等过程，不可避免的会产生扬尘污染，该部分扬尘尽管是短期行为，但会对附近区域大气环境带来不利的影响，所以在修复期间，应采取积极的措施（如设置围挡、覆盖防尘布、洒水等）来减少扬尘的产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u w:val="single"/>
              </w:rPr>
            </w:pPr>
            <w:r>
              <w:rPr>
                <w:rFonts w:hAnsi="宋体"/>
                <w:bCs/>
                <w:color w:val="auto"/>
                <w:sz w:val="24"/>
                <w:u w:val="single"/>
              </w:rPr>
              <w:t>施工过程应严格遵守《防治城市扬尘污染技术规范》（</w:t>
            </w:r>
            <w:r>
              <w:rPr>
                <w:bCs/>
                <w:color w:val="auto"/>
                <w:sz w:val="24"/>
                <w:u w:val="single"/>
              </w:rPr>
              <w:t>HJ/393-2007</w:t>
            </w:r>
            <w:r>
              <w:rPr>
                <w:rFonts w:hAnsi="宋体"/>
                <w:bCs/>
                <w:color w:val="auto"/>
                <w:sz w:val="24"/>
                <w:u w:val="single"/>
              </w:rPr>
              <w:t>）</w:t>
            </w:r>
            <w:r>
              <w:rPr>
                <w:rFonts w:hint="eastAsia" w:hAnsi="宋体"/>
                <w:bCs/>
                <w:color w:val="auto"/>
                <w:sz w:val="24"/>
                <w:u w:val="single"/>
                <w:lang w:eastAsia="zh-CN"/>
              </w:rPr>
              <w:t>、</w:t>
            </w:r>
            <w:r>
              <w:rPr>
                <w:rFonts w:hAnsi="宋体"/>
                <w:bCs/>
                <w:color w:val="auto"/>
                <w:sz w:val="24"/>
                <w:u w:val="single"/>
              </w:rPr>
              <w:t>的相关规定，具体施工扬尘防治措施如下：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8"/>
                <w:u w:val="single"/>
              </w:rPr>
            </w:pPr>
            <w:r>
              <w:rPr>
                <w:rFonts w:hint="eastAsia" w:hAnsi="宋体"/>
                <w:color w:val="auto"/>
                <w:sz w:val="24"/>
                <w:szCs w:val="28"/>
                <w:u w:val="single"/>
                <w:lang w:eastAsia="zh-CN"/>
              </w:rPr>
              <w:t>①</w:t>
            </w:r>
            <w:r>
              <w:rPr>
                <w:rFonts w:hAnsi="宋体"/>
                <w:color w:val="auto"/>
                <w:sz w:val="24"/>
                <w:szCs w:val="28"/>
                <w:u w:val="single"/>
              </w:rPr>
              <w:t>施工标牌的设置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8"/>
                <w:u w:val="single"/>
              </w:rPr>
            </w:pPr>
            <w:r>
              <w:rPr>
                <w:rFonts w:hAnsi="宋体"/>
                <w:color w:val="auto"/>
                <w:sz w:val="24"/>
                <w:szCs w:val="28"/>
                <w:u w:val="single"/>
              </w:rPr>
              <w:t>修复期间，建设单位应根据建设部第</w:t>
            </w:r>
            <w:r>
              <w:rPr>
                <w:color w:val="auto"/>
                <w:sz w:val="24"/>
                <w:szCs w:val="28"/>
                <w:u w:val="single"/>
              </w:rPr>
              <w:t>15</w:t>
            </w:r>
            <w:r>
              <w:rPr>
                <w:rFonts w:hAnsi="宋体"/>
                <w:color w:val="auto"/>
                <w:sz w:val="24"/>
                <w:szCs w:val="28"/>
                <w:u w:val="single"/>
              </w:rPr>
              <w:t>号令《建设工程施工现场管理规定》</w:t>
            </w:r>
            <w:r>
              <w:rPr>
                <w:rFonts w:hint="eastAsia" w:hAnsi="宋体"/>
                <w:color w:val="auto"/>
                <w:sz w:val="24"/>
                <w:szCs w:val="28"/>
                <w:u w:val="single"/>
                <w:lang w:eastAsia="zh-CN"/>
              </w:rPr>
              <w:t>、《建筑施工扬尘污染长效综合治理工作方案》（岳建发〔2015〕35号）</w:t>
            </w:r>
            <w:r>
              <w:rPr>
                <w:rFonts w:hAnsi="宋体"/>
                <w:color w:val="auto"/>
                <w:sz w:val="24"/>
                <w:szCs w:val="28"/>
                <w:u w:val="single"/>
              </w:rPr>
              <w:t>的要求设置现场施工平面布置图、工程概况牌、文明施工牌、管理人员名单和监督电话牌等。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8"/>
                <w:u w:val="single"/>
              </w:rPr>
            </w:pPr>
            <w:r>
              <w:rPr>
                <w:rFonts w:hint="eastAsia" w:hAnsi="宋体"/>
                <w:color w:val="auto"/>
                <w:sz w:val="24"/>
                <w:szCs w:val="28"/>
                <w:u w:val="single"/>
                <w:lang w:eastAsia="zh-CN"/>
              </w:rPr>
              <w:t>②</w:t>
            </w:r>
            <w:r>
              <w:rPr>
                <w:rFonts w:hAnsi="宋体"/>
                <w:color w:val="auto"/>
                <w:sz w:val="24"/>
                <w:szCs w:val="28"/>
                <w:u w:val="single"/>
              </w:rPr>
              <w:t>洒水抑尘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8"/>
                <w:u w:val="single"/>
              </w:rPr>
            </w:pPr>
            <w:r>
              <w:rPr>
                <w:rFonts w:hAnsi="宋体"/>
                <w:color w:val="auto"/>
                <w:sz w:val="24"/>
                <w:szCs w:val="28"/>
                <w:u w:val="single"/>
              </w:rPr>
              <w:t>项目实施单位在施工阶段对土壤修复区、土方堆场及汽车行驶路面等勤洒水（每天</w:t>
            </w:r>
            <w:r>
              <w:rPr>
                <w:color w:val="auto"/>
                <w:sz w:val="24"/>
                <w:szCs w:val="28"/>
                <w:u w:val="single"/>
              </w:rPr>
              <w:t>4</w:t>
            </w:r>
            <w:r>
              <w:rPr>
                <w:rFonts w:hAnsi="宋体"/>
                <w:color w:val="auto"/>
                <w:sz w:val="24"/>
                <w:szCs w:val="28"/>
                <w:u w:val="single"/>
              </w:rPr>
              <w:t>～</w:t>
            </w:r>
            <w:r>
              <w:rPr>
                <w:color w:val="auto"/>
                <w:sz w:val="24"/>
                <w:szCs w:val="28"/>
                <w:u w:val="single"/>
              </w:rPr>
              <w:t>6</w:t>
            </w:r>
            <w:r>
              <w:rPr>
                <w:rFonts w:hAnsi="宋体"/>
                <w:color w:val="auto"/>
                <w:sz w:val="24"/>
                <w:szCs w:val="28"/>
                <w:u w:val="single"/>
              </w:rPr>
              <w:t>次），可以使空气中粉尘量减少</w:t>
            </w:r>
            <w:r>
              <w:rPr>
                <w:color w:val="auto"/>
                <w:sz w:val="24"/>
                <w:szCs w:val="28"/>
                <w:u w:val="single"/>
              </w:rPr>
              <w:t>70%</w:t>
            </w:r>
            <w:r>
              <w:rPr>
                <w:rFonts w:hAnsi="宋体"/>
                <w:color w:val="auto"/>
                <w:sz w:val="24"/>
                <w:szCs w:val="28"/>
                <w:u w:val="single"/>
              </w:rPr>
              <w:t>左右，可收到很好的降尘效果。相关洒水降尘试验资料如下表。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w:t>
            </w:r>
            <w:r>
              <w:rPr>
                <w:rFonts w:hint="eastAsia" w:hAnsi="宋体"/>
                <w:b/>
                <w:bCs/>
                <w:color w:val="auto"/>
                <w:u w:val="single"/>
              </w:rPr>
              <w:t>3</w:t>
            </w:r>
            <w:r>
              <w:rPr>
                <w:rFonts w:hint="eastAsia" w:hAnsi="宋体"/>
                <w:b/>
                <w:bCs/>
                <w:color w:val="auto"/>
                <w:u w:val="single"/>
                <w:lang w:val="en-US" w:eastAsia="zh-CN"/>
              </w:rPr>
              <w:t xml:space="preserve">5  </w:t>
            </w:r>
            <w:r>
              <w:rPr>
                <w:rFonts w:hAnsi="宋体"/>
                <w:b/>
                <w:bCs/>
                <w:color w:val="auto"/>
                <w:u w:val="single"/>
              </w:rPr>
              <w:t>洒水降尘的试验资料</w:t>
            </w:r>
          </w:p>
          <w:tbl>
            <w:tblPr>
              <w:tblStyle w:val="30"/>
              <w:tblW w:w="9060"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09"/>
              <w:gridCol w:w="1511"/>
              <w:gridCol w:w="1510"/>
              <w:gridCol w:w="1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020" w:type="dxa"/>
                  <w:gridSpan w:val="2"/>
                  <w:tcBorders>
                    <w:tl2br w:val="nil"/>
                    <w:tr2bl w:val="nil"/>
                  </w:tcBorders>
                  <w:vAlign w:val="center"/>
                </w:tcPr>
                <w:p>
                  <w:pPr>
                    <w:jc w:val="center"/>
                    <w:rPr>
                      <w:bCs/>
                      <w:color w:val="auto"/>
                      <w:sz w:val="21"/>
                      <w:szCs w:val="21"/>
                      <w:u w:val="single"/>
                    </w:rPr>
                  </w:pPr>
                  <w:r>
                    <w:rPr>
                      <w:rFonts w:hAnsi="宋体"/>
                      <w:bCs/>
                      <w:color w:val="auto"/>
                      <w:sz w:val="21"/>
                      <w:szCs w:val="21"/>
                      <w:u w:val="single"/>
                    </w:rPr>
                    <w:t>距路边距离（</w:t>
                  </w:r>
                  <w:r>
                    <w:rPr>
                      <w:bCs/>
                      <w:color w:val="auto"/>
                      <w:sz w:val="21"/>
                      <w:szCs w:val="21"/>
                      <w:u w:val="single"/>
                    </w:rPr>
                    <w:t>m</w:t>
                  </w:r>
                  <w:r>
                    <w:rPr>
                      <w:rFonts w:hAnsi="宋体"/>
                      <w:bCs/>
                      <w:color w:val="auto"/>
                      <w:sz w:val="21"/>
                      <w:szCs w:val="21"/>
                      <w:u w:val="single"/>
                    </w:rPr>
                    <w:t>）</w:t>
                  </w:r>
                </w:p>
              </w:tc>
              <w:tc>
                <w:tcPr>
                  <w:tcW w:w="1509" w:type="dxa"/>
                  <w:tcBorders>
                    <w:tl2br w:val="nil"/>
                    <w:tr2bl w:val="nil"/>
                  </w:tcBorders>
                  <w:vAlign w:val="center"/>
                </w:tcPr>
                <w:p>
                  <w:pPr>
                    <w:jc w:val="center"/>
                    <w:rPr>
                      <w:bCs/>
                      <w:color w:val="auto"/>
                      <w:sz w:val="21"/>
                      <w:szCs w:val="21"/>
                      <w:u w:val="single"/>
                    </w:rPr>
                  </w:pPr>
                  <w:r>
                    <w:rPr>
                      <w:bCs/>
                      <w:color w:val="auto"/>
                      <w:sz w:val="21"/>
                      <w:szCs w:val="21"/>
                      <w:u w:val="single"/>
                    </w:rPr>
                    <w:t>5</w:t>
                  </w:r>
                </w:p>
              </w:tc>
              <w:tc>
                <w:tcPr>
                  <w:tcW w:w="1511" w:type="dxa"/>
                  <w:tcBorders>
                    <w:tl2br w:val="nil"/>
                    <w:tr2bl w:val="nil"/>
                  </w:tcBorders>
                  <w:vAlign w:val="center"/>
                </w:tcPr>
                <w:p>
                  <w:pPr>
                    <w:jc w:val="center"/>
                    <w:rPr>
                      <w:bCs/>
                      <w:color w:val="auto"/>
                      <w:sz w:val="21"/>
                      <w:szCs w:val="21"/>
                      <w:u w:val="single"/>
                    </w:rPr>
                  </w:pPr>
                  <w:r>
                    <w:rPr>
                      <w:bCs/>
                      <w:color w:val="auto"/>
                      <w:sz w:val="21"/>
                      <w:szCs w:val="21"/>
                      <w:u w:val="single"/>
                    </w:rPr>
                    <w:t>20</w:t>
                  </w:r>
                </w:p>
              </w:tc>
              <w:tc>
                <w:tcPr>
                  <w:tcW w:w="1510" w:type="dxa"/>
                  <w:tcBorders>
                    <w:tl2br w:val="nil"/>
                    <w:tr2bl w:val="nil"/>
                  </w:tcBorders>
                  <w:vAlign w:val="center"/>
                </w:tcPr>
                <w:p>
                  <w:pPr>
                    <w:jc w:val="center"/>
                    <w:rPr>
                      <w:bCs/>
                      <w:color w:val="auto"/>
                      <w:sz w:val="21"/>
                      <w:szCs w:val="21"/>
                      <w:u w:val="single"/>
                    </w:rPr>
                  </w:pPr>
                  <w:r>
                    <w:rPr>
                      <w:bCs/>
                      <w:color w:val="auto"/>
                      <w:sz w:val="21"/>
                      <w:szCs w:val="21"/>
                      <w:u w:val="single"/>
                    </w:rPr>
                    <w:t>50</w:t>
                  </w:r>
                </w:p>
              </w:tc>
              <w:tc>
                <w:tcPr>
                  <w:tcW w:w="1510" w:type="dxa"/>
                  <w:tcBorders>
                    <w:tl2br w:val="nil"/>
                    <w:tr2bl w:val="nil"/>
                  </w:tcBorders>
                  <w:vAlign w:val="center"/>
                </w:tcPr>
                <w:p>
                  <w:pPr>
                    <w:jc w:val="center"/>
                    <w:rPr>
                      <w:bCs/>
                      <w:color w:val="auto"/>
                      <w:sz w:val="21"/>
                      <w:szCs w:val="21"/>
                      <w:u w:val="single"/>
                    </w:rPr>
                  </w:pPr>
                  <w:r>
                    <w:rPr>
                      <w:bCs/>
                      <w:color w:val="auto"/>
                      <w:sz w:val="21"/>
                      <w:szCs w:val="21"/>
                      <w:u w:val="singl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10" w:type="dxa"/>
                  <w:vMerge w:val="restart"/>
                  <w:tcBorders>
                    <w:tl2br w:val="nil"/>
                    <w:tr2bl w:val="nil"/>
                  </w:tcBorders>
                  <w:vAlign w:val="center"/>
                </w:tcPr>
                <w:p>
                  <w:pPr>
                    <w:jc w:val="center"/>
                    <w:rPr>
                      <w:color w:val="auto"/>
                      <w:sz w:val="21"/>
                      <w:szCs w:val="21"/>
                      <w:u w:val="single"/>
                    </w:rPr>
                  </w:pPr>
                  <w:r>
                    <w:rPr>
                      <w:color w:val="auto"/>
                      <w:sz w:val="21"/>
                      <w:szCs w:val="21"/>
                      <w:u w:val="single"/>
                    </w:rPr>
                    <w:t>TSP</w:t>
                  </w:r>
                  <w:r>
                    <w:rPr>
                      <w:rFonts w:hAnsi="宋体"/>
                      <w:color w:val="auto"/>
                      <w:sz w:val="21"/>
                      <w:szCs w:val="21"/>
                      <w:u w:val="single"/>
                    </w:rPr>
                    <w:t>浓度</w:t>
                  </w:r>
                </w:p>
                <w:p>
                  <w:pPr>
                    <w:jc w:val="center"/>
                    <w:rPr>
                      <w:color w:val="auto"/>
                      <w:sz w:val="21"/>
                      <w:szCs w:val="21"/>
                      <w:u w:val="single"/>
                    </w:rPr>
                  </w:pPr>
                  <w:r>
                    <w:rPr>
                      <w:rFonts w:hAnsi="宋体"/>
                      <w:color w:val="auto"/>
                      <w:sz w:val="21"/>
                      <w:szCs w:val="21"/>
                      <w:u w:val="single"/>
                    </w:rPr>
                    <w:t>（</w:t>
                  </w:r>
                  <w:r>
                    <w:rPr>
                      <w:color w:val="auto"/>
                      <w:sz w:val="21"/>
                      <w:szCs w:val="21"/>
                      <w:u w:val="single"/>
                    </w:rPr>
                    <w:t>mg/m</w:t>
                  </w:r>
                  <w:r>
                    <w:rPr>
                      <w:color w:val="auto"/>
                      <w:sz w:val="21"/>
                      <w:szCs w:val="21"/>
                      <w:u w:val="single"/>
                      <w:vertAlign w:val="superscript"/>
                    </w:rPr>
                    <w:t>3</w:t>
                  </w:r>
                  <w:r>
                    <w:rPr>
                      <w:rFonts w:hAnsi="宋体"/>
                      <w:color w:val="auto"/>
                      <w:sz w:val="21"/>
                      <w:szCs w:val="21"/>
                      <w:u w:val="single"/>
                    </w:rPr>
                    <w:t>）</w:t>
                  </w:r>
                </w:p>
              </w:tc>
              <w:tc>
                <w:tcPr>
                  <w:tcW w:w="1510" w:type="dxa"/>
                  <w:tcBorders>
                    <w:tl2br w:val="nil"/>
                    <w:tr2bl w:val="nil"/>
                  </w:tcBorders>
                  <w:vAlign w:val="center"/>
                </w:tcPr>
                <w:p>
                  <w:pPr>
                    <w:jc w:val="center"/>
                    <w:rPr>
                      <w:color w:val="auto"/>
                      <w:sz w:val="21"/>
                      <w:szCs w:val="21"/>
                      <w:u w:val="single"/>
                    </w:rPr>
                  </w:pPr>
                  <w:r>
                    <w:rPr>
                      <w:rFonts w:hAnsi="宋体"/>
                      <w:color w:val="auto"/>
                      <w:sz w:val="21"/>
                      <w:szCs w:val="21"/>
                      <w:u w:val="single"/>
                    </w:rPr>
                    <w:t>不洒水</w:t>
                  </w:r>
                </w:p>
              </w:tc>
              <w:tc>
                <w:tcPr>
                  <w:tcW w:w="1509" w:type="dxa"/>
                  <w:tcBorders>
                    <w:tl2br w:val="nil"/>
                    <w:tr2bl w:val="nil"/>
                  </w:tcBorders>
                  <w:vAlign w:val="center"/>
                </w:tcPr>
                <w:p>
                  <w:pPr>
                    <w:jc w:val="center"/>
                    <w:rPr>
                      <w:color w:val="auto"/>
                      <w:sz w:val="21"/>
                      <w:szCs w:val="21"/>
                      <w:u w:val="single"/>
                    </w:rPr>
                  </w:pPr>
                  <w:r>
                    <w:rPr>
                      <w:color w:val="auto"/>
                      <w:sz w:val="21"/>
                      <w:szCs w:val="21"/>
                      <w:u w:val="single"/>
                    </w:rPr>
                    <w:t>10.14</w:t>
                  </w:r>
                </w:p>
              </w:tc>
              <w:tc>
                <w:tcPr>
                  <w:tcW w:w="1511" w:type="dxa"/>
                  <w:tcBorders>
                    <w:tl2br w:val="nil"/>
                    <w:tr2bl w:val="nil"/>
                  </w:tcBorders>
                  <w:vAlign w:val="center"/>
                </w:tcPr>
                <w:p>
                  <w:pPr>
                    <w:jc w:val="center"/>
                    <w:rPr>
                      <w:color w:val="auto"/>
                      <w:sz w:val="21"/>
                      <w:szCs w:val="21"/>
                      <w:u w:val="single"/>
                    </w:rPr>
                  </w:pPr>
                  <w:r>
                    <w:rPr>
                      <w:color w:val="auto"/>
                      <w:sz w:val="21"/>
                      <w:szCs w:val="21"/>
                      <w:u w:val="single"/>
                    </w:rPr>
                    <w:t>2.810</w:t>
                  </w:r>
                </w:p>
              </w:tc>
              <w:tc>
                <w:tcPr>
                  <w:tcW w:w="1510" w:type="dxa"/>
                  <w:tcBorders>
                    <w:tl2br w:val="nil"/>
                    <w:tr2bl w:val="nil"/>
                  </w:tcBorders>
                  <w:vAlign w:val="center"/>
                </w:tcPr>
                <w:p>
                  <w:pPr>
                    <w:jc w:val="center"/>
                    <w:rPr>
                      <w:color w:val="auto"/>
                      <w:sz w:val="21"/>
                      <w:szCs w:val="21"/>
                      <w:u w:val="single"/>
                    </w:rPr>
                  </w:pPr>
                  <w:r>
                    <w:rPr>
                      <w:color w:val="auto"/>
                      <w:sz w:val="21"/>
                      <w:szCs w:val="21"/>
                      <w:u w:val="single"/>
                    </w:rPr>
                    <w:t>1.15</w:t>
                  </w:r>
                </w:p>
              </w:tc>
              <w:tc>
                <w:tcPr>
                  <w:tcW w:w="1510" w:type="dxa"/>
                  <w:tcBorders>
                    <w:tl2br w:val="nil"/>
                    <w:tr2bl w:val="nil"/>
                  </w:tcBorders>
                  <w:vAlign w:val="center"/>
                </w:tcPr>
                <w:p>
                  <w:pPr>
                    <w:jc w:val="center"/>
                    <w:rPr>
                      <w:color w:val="auto"/>
                      <w:sz w:val="21"/>
                      <w:szCs w:val="21"/>
                      <w:u w:val="single"/>
                    </w:rPr>
                  </w:pPr>
                  <w:r>
                    <w:rPr>
                      <w:color w:val="auto"/>
                      <w:sz w:val="21"/>
                      <w:szCs w:val="21"/>
                      <w:u w:val="single"/>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510" w:type="dxa"/>
                  <w:vMerge w:val="continue"/>
                  <w:tcBorders>
                    <w:tl2br w:val="nil"/>
                    <w:tr2bl w:val="nil"/>
                  </w:tcBorders>
                  <w:vAlign w:val="center"/>
                </w:tcPr>
                <w:p>
                  <w:pPr>
                    <w:jc w:val="center"/>
                    <w:rPr>
                      <w:color w:val="auto"/>
                      <w:sz w:val="21"/>
                      <w:szCs w:val="21"/>
                      <w:u w:val="single"/>
                    </w:rPr>
                  </w:pPr>
                </w:p>
              </w:tc>
              <w:tc>
                <w:tcPr>
                  <w:tcW w:w="1510" w:type="dxa"/>
                  <w:tcBorders>
                    <w:tl2br w:val="nil"/>
                    <w:tr2bl w:val="nil"/>
                  </w:tcBorders>
                  <w:vAlign w:val="center"/>
                </w:tcPr>
                <w:p>
                  <w:pPr>
                    <w:jc w:val="center"/>
                    <w:rPr>
                      <w:color w:val="auto"/>
                      <w:sz w:val="21"/>
                      <w:szCs w:val="21"/>
                      <w:u w:val="single"/>
                    </w:rPr>
                  </w:pPr>
                  <w:r>
                    <w:rPr>
                      <w:rFonts w:hAnsi="宋体"/>
                      <w:color w:val="auto"/>
                      <w:sz w:val="21"/>
                      <w:szCs w:val="21"/>
                      <w:u w:val="single"/>
                    </w:rPr>
                    <w:t>洒水</w:t>
                  </w:r>
                </w:p>
              </w:tc>
              <w:tc>
                <w:tcPr>
                  <w:tcW w:w="1509" w:type="dxa"/>
                  <w:tcBorders>
                    <w:tl2br w:val="nil"/>
                    <w:tr2bl w:val="nil"/>
                  </w:tcBorders>
                  <w:vAlign w:val="center"/>
                </w:tcPr>
                <w:p>
                  <w:pPr>
                    <w:jc w:val="center"/>
                    <w:rPr>
                      <w:color w:val="auto"/>
                      <w:sz w:val="21"/>
                      <w:szCs w:val="21"/>
                      <w:u w:val="single"/>
                    </w:rPr>
                  </w:pPr>
                  <w:r>
                    <w:rPr>
                      <w:color w:val="auto"/>
                      <w:sz w:val="21"/>
                      <w:szCs w:val="21"/>
                      <w:u w:val="single"/>
                    </w:rPr>
                    <w:t>2.01</w:t>
                  </w:r>
                </w:p>
              </w:tc>
              <w:tc>
                <w:tcPr>
                  <w:tcW w:w="1511" w:type="dxa"/>
                  <w:tcBorders>
                    <w:tl2br w:val="nil"/>
                    <w:tr2bl w:val="nil"/>
                  </w:tcBorders>
                  <w:vAlign w:val="center"/>
                </w:tcPr>
                <w:p>
                  <w:pPr>
                    <w:jc w:val="center"/>
                    <w:rPr>
                      <w:color w:val="auto"/>
                      <w:sz w:val="21"/>
                      <w:szCs w:val="21"/>
                      <w:u w:val="single"/>
                    </w:rPr>
                  </w:pPr>
                  <w:r>
                    <w:rPr>
                      <w:color w:val="auto"/>
                      <w:sz w:val="21"/>
                      <w:szCs w:val="21"/>
                      <w:u w:val="single"/>
                    </w:rPr>
                    <w:t>1.40</w:t>
                  </w:r>
                </w:p>
              </w:tc>
              <w:tc>
                <w:tcPr>
                  <w:tcW w:w="1510" w:type="dxa"/>
                  <w:tcBorders>
                    <w:tl2br w:val="nil"/>
                    <w:tr2bl w:val="nil"/>
                  </w:tcBorders>
                  <w:vAlign w:val="center"/>
                </w:tcPr>
                <w:p>
                  <w:pPr>
                    <w:jc w:val="center"/>
                    <w:rPr>
                      <w:color w:val="auto"/>
                      <w:sz w:val="21"/>
                      <w:szCs w:val="21"/>
                      <w:u w:val="single"/>
                    </w:rPr>
                  </w:pPr>
                  <w:r>
                    <w:rPr>
                      <w:color w:val="auto"/>
                      <w:sz w:val="21"/>
                      <w:szCs w:val="21"/>
                      <w:u w:val="single"/>
                    </w:rPr>
                    <w:t>0.68</w:t>
                  </w:r>
                </w:p>
              </w:tc>
              <w:tc>
                <w:tcPr>
                  <w:tcW w:w="1510" w:type="dxa"/>
                  <w:tcBorders>
                    <w:tl2br w:val="nil"/>
                    <w:tr2bl w:val="nil"/>
                  </w:tcBorders>
                  <w:vAlign w:val="center"/>
                </w:tcPr>
                <w:p>
                  <w:pPr>
                    <w:jc w:val="center"/>
                    <w:rPr>
                      <w:color w:val="auto"/>
                      <w:sz w:val="21"/>
                      <w:szCs w:val="21"/>
                      <w:u w:val="single"/>
                    </w:rPr>
                  </w:pPr>
                  <w:r>
                    <w:rPr>
                      <w:color w:val="auto"/>
                      <w:sz w:val="21"/>
                      <w:szCs w:val="21"/>
                      <w:u w:val="single"/>
                    </w:rPr>
                    <w:t>0.60</w:t>
                  </w:r>
                </w:p>
              </w:tc>
            </w:tr>
          </w:tbl>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8"/>
                <w:u w:val="single"/>
              </w:rPr>
            </w:pPr>
            <w:r>
              <w:rPr>
                <w:rFonts w:hAnsi="宋体"/>
                <w:color w:val="auto"/>
                <w:sz w:val="24"/>
                <w:szCs w:val="28"/>
                <w:u w:val="single"/>
              </w:rPr>
              <w:t>当施工场地洒水频率为</w:t>
            </w:r>
            <w:r>
              <w:rPr>
                <w:color w:val="auto"/>
                <w:sz w:val="24"/>
                <w:szCs w:val="28"/>
                <w:u w:val="single"/>
              </w:rPr>
              <w:t>4</w:t>
            </w:r>
            <w:r>
              <w:rPr>
                <w:rFonts w:hAnsi="宋体"/>
                <w:color w:val="auto"/>
                <w:sz w:val="24"/>
                <w:szCs w:val="28"/>
                <w:u w:val="single"/>
              </w:rPr>
              <w:t>～</w:t>
            </w:r>
            <w:r>
              <w:rPr>
                <w:color w:val="auto"/>
                <w:sz w:val="24"/>
                <w:szCs w:val="28"/>
                <w:u w:val="single"/>
              </w:rPr>
              <w:t>6</w:t>
            </w:r>
            <w:r>
              <w:rPr>
                <w:rFonts w:hAnsi="宋体"/>
                <w:color w:val="auto"/>
                <w:sz w:val="24"/>
                <w:szCs w:val="28"/>
                <w:u w:val="single"/>
              </w:rPr>
              <w:t>次</w:t>
            </w:r>
            <w:r>
              <w:rPr>
                <w:color w:val="auto"/>
                <w:sz w:val="24"/>
                <w:szCs w:val="28"/>
                <w:u w:val="single"/>
              </w:rPr>
              <w:t>/d</w:t>
            </w:r>
            <w:r>
              <w:rPr>
                <w:rFonts w:hAnsi="宋体"/>
                <w:color w:val="auto"/>
                <w:sz w:val="24"/>
                <w:szCs w:val="28"/>
                <w:u w:val="single"/>
              </w:rPr>
              <w:t>时，扬尘造成的</w:t>
            </w:r>
            <w:r>
              <w:rPr>
                <w:color w:val="auto"/>
                <w:sz w:val="24"/>
                <w:szCs w:val="28"/>
                <w:u w:val="single"/>
              </w:rPr>
              <w:t>TSP</w:t>
            </w:r>
            <w:r>
              <w:rPr>
                <w:rFonts w:hAnsi="宋体"/>
                <w:color w:val="auto"/>
                <w:sz w:val="24"/>
                <w:szCs w:val="28"/>
                <w:u w:val="single"/>
              </w:rPr>
              <w:t>污染距离可大大缩小，降低项目扬尘对周围敏感点的影响。</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8"/>
                <w:u w:val="single"/>
              </w:rPr>
            </w:pPr>
            <w:r>
              <w:rPr>
                <w:rFonts w:hint="eastAsia" w:hAnsi="宋体"/>
                <w:color w:val="auto"/>
                <w:sz w:val="24"/>
                <w:szCs w:val="28"/>
                <w:u w:val="single"/>
                <w:lang w:eastAsia="zh-CN"/>
              </w:rPr>
              <w:t>③</w:t>
            </w:r>
            <w:r>
              <w:rPr>
                <w:rFonts w:hAnsi="宋体"/>
                <w:color w:val="auto"/>
                <w:sz w:val="24"/>
                <w:szCs w:val="28"/>
                <w:u w:val="single"/>
              </w:rPr>
              <w:t>围挡、防尘网设置</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Ansi="宋体"/>
                <w:color w:val="auto"/>
                <w:sz w:val="24"/>
                <w:u w:val="single"/>
              </w:rPr>
              <w:t>施工现场四侧架设</w:t>
            </w:r>
            <w:r>
              <w:rPr>
                <w:color w:val="auto"/>
                <w:sz w:val="24"/>
                <w:u w:val="single"/>
              </w:rPr>
              <w:t>2</w:t>
            </w:r>
            <w:r>
              <w:rPr>
                <w:rFonts w:hAnsi="宋体"/>
                <w:color w:val="auto"/>
                <w:sz w:val="24"/>
                <w:u w:val="single"/>
              </w:rPr>
              <w:t>～</w:t>
            </w:r>
            <w:r>
              <w:rPr>
                <w:color w:val="auto"/>
                <w:sz w:val="24"/>
                <w:u w:val="single"/>
              </w:rPr>
              <w:t>2.5</w:t>
            </w:r>
            <w:r>
              <w:rPr>
                <w:rFonts w:hAnsi="宋体"/>
                <w:color w:val="auto"/>
                <w:sz w:val="24"/>
                <w:u w:val="single"/>
              </w:rPr>
              <w:t>米围挡，封闭施工现场，工程脚手架外侧必须采用密目安全网进行密封，以减少结构和装修过程中的粉尘飞扬现象，降低粉尘向大气中的排放；脚手架在拆除前，先将脚手板上的垃圾清理干净，清理时应避免扬尘。</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Ansi="宋体"/>
                <w:color w:val="auto"/>
                <w:sz w:val="24"/>
                <w:u w:val="single"/>
              </w:rPr>
              <w:t>禁止在大风天进行渣土堆放作业，渣土、建材堆放地点要相对集中，临时废弃固废堆场及时清运，并对堆场以毡布覆盖，裸露地面进行硬化和绿化，减少固废、建材的露天堆放时间。</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int="eastAsia" w:hAnsi="宋体"/>
                <w:color w:val="auto"/>
                <w:sz w:val="24"/>
                <w:u w:val="single"/>
                <w:lang w:eastAsia="zh-CN"/>
              </w:rPr>
              <w:t>④</w:t>
            </w:r>
            <w:r>
              <w:rPr>
                <w:rFonts w:hAnsi="宋体"/>
                <w:color w:val="auto"/>
                <w:sz w:val="24"/>
                <w:u w:val="single"/>
              </w:rPr>
              <w:t>运输车辆防尘措施</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运输车辆不得超载，防止物料泼洒，轻装轻卸，装卸时应局部喷淋降尘；</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运输垃圾、土石方和粉状料的车辆应当密闭或者加盖篷布，并保证物料不遗撒外漏；</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清运固废的车辆应当随车携带审批或核准文件，按照审批或核准的线路和时间运行，不得沿途丢弃、遗撒城市垃圾，并按指定的地点倾倒；</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施工单位不得将建筑垃圾交给个人或者未经核准从事建筑垃圾运输的单位运输；</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施工场地需设置洗车平台，车辆驶出装、卸场地前用水将车厢和轮胎冲洗干净；运输车辆驶出施工现场前要将车轮和槽帮冲洗干净，确保车辆不带泥土驶离工地；洗车平台旁设置废水收集池及沉淀池，收集洗车废水、基坑废水后统一进废水处理设施处理；</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运输车辆行使路线应避免穿越城市中心区，尽量避开居民点和环境敏感点。严禁使用敞口运输车运输施工垃圾；</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运输车辆的物料、垃圾、渣土的装载高度不得超过车辆槽帮上沿，车斗应用苫布遮盖严实，保证物料、渣土、垃圾不露出；</w:t>
            </w:r>
          </w:p>
          <w:p>
            <w:pPr>
              <w:keepNext w:val="0"/>
              <w:keepLines w:val="0"/>
              <w:pageBreakBefore w:val="0"/>
              <w:numPr>
                <w:ilvl w:val="0"/>
                <w:numId w:val="11"/>
              </w:numPr>
              <w:kinsoku/>
              <w:wordWrap/>
              <w:overflowPunct/>
              <w:topLinePunct w:val="0"/>
              <w:autoSpaceDE/>
              <w:autoSpaceDN/>
              <w:bidi w:val="0"/>
              <w:adjustRightInd/>
              <w:snapToGrid/>
              <w:spacing w:line="360" w:lineRule="auto"/>
              <w:ind w:left="420" w:leftChars="0" w:right="0" w:rightChars="0" w:hanging="420" w:firstLineChars="0"/>
              <w:jc w:val="both"/>
              <w:textAlignment w:val="auto"/>
              <w:outlineLvl w:val="9"/>
              <w:rPr>
                <w:color w:val="auto"/>
                <w:sz w:val="24"/>
                <w:u w:val="single"/>
              </w:rPr>
            </w:pPr>
            <w:r>
              <w:rPr>
                <w:rFonts w:hAnsi="宋体"/>
                <w:color w:val="auto"/>
                <w:sz w:val="24"/>
                <w:u w:val="single"/>
              </w:rPr>
              <w:t>对施工车辆必须实施限速行驶，同时施工现场主要运输道路尽量采用硬化路面减少扬尘。</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u w:val="single"/>
              </w:rPr>
            </w:pPr>
            <w:r>
              <w:rPr>
                <w:rFonts w:hint="eastAsia" w:hAnsi="宋体"/>
                <w:color w:val="auto"/>
                <w:sz w:val="24"/>
                <w:u w:val="single"/>
                <w:lang w:eastAsia="zh-CN"/>
              </w:rPr>
              <w:t>⑤</w:t>
            </w:r>
            <w:r>
              <w:rPr>
                <w:rFonts w:hAnsi="宋体"/>
                <w:color w:val="auto"/>
                <w:sz w:val="24"/>
                <w:u w:val="single"/>
              </w:rPr>
              <w:t>施工场地管理措施</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u w:val="single"/>
              </w:rPr>
            </w:pPr>
            <w:r>
              <w:rPr>
                <w:rFonts w:hAnsi="宋体"/>
                <w:color w:val="auto"/>
                <w:sz w:val="24"/>
                <w:u w:val="single"/>
              </w:rPr>
              <w:t>各施工阶段应有专职环境保护管理人员，其职责是知道和管理施工现场的建筑垃圾收集、处置、清运、堆放，场地恢复，清除进出施工场地道路上的泥土、弃料以及轮胎上的泥土，防治二次扬尘污染，做到科学管理、文明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color w:val="auto"/>
                <w:sz w:val="24"/>
                <w:szCs w:val="24"/>
                <w:u w:val="single"/>
                <w:lang w:eastAsia="zh-CN"/>
              </w:rPr>
            </w:pPr>
            <w:r>
              <w:rPr>
                <w:rFonts w:hint="eastAsia" w:hAnsi="宋体"/>
                <w:color w:val="auto"/>
                <w:sz w:val="24"/>
                <w:szCs w:val="24"/>
                <w:u w:val="single"/>
                <w:lang w:eastAsia="zh-CN"/>
              </w:rPr>
              <w:t>除上述扬尘防治措施外还应遵守平江县施工扬尘控制要求，主要执行《建筑施工扬尘污染长效综合治理工作方案》（岳建发〔2015〕35号），具体措施如下：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①现场围挡与大门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施工现场应封闭施工，符合安全、牢固、美观、亮化的要求。围挡高度不得低于1.8米。施工现场大门口应美观规范，设立企业标志、企业名称和工程名称。在建工程主体必须用密目式安全网进行全封闭，表面美观整洁、不破损、不污染，正立面要悬挂施工安全、文明管理内容的条幅。</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②施工场地硬化</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施工现场内道路、加工区、办公区、生活区必须采用混凝土进行硬化，其他区域平整后使用碎石覆盖。硬化后的地面不得有浮土、积土。施工现场土方必须进行覆盖，其他裸露的地面必须采取绿化、洒水或其他防尘措施。加强施工现场绿化和喷水降尘管理。建筑施工现场要设置喷水降尘设施，遇到干燥季节和大风天气时，要安排专人定时喷水降尘，保持路面清洁湿润。</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③车辆冲洗设施</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建筑工程施工现场大门出入口处必须设置车辆冲洗设施，对驶出施工现场的机动车辆冲洗底盘和车轮干净后方可上路行驶，严禁将施工现场内的泥土带出污染城市道路。</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④材料堆放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施工现场建筑材料应按规定要求分类堆放，设置标牌，并稳定牢固、整齐有序。水泥、石灰等易产生扬尘的材料必须入库入罐存放。砂浆搅拌机等机械设备必须搭设安全防护棚，使用密目网进行有效围挡，最大限度地减少粉尘污染。</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szCs w:val="24"/>
                <w:u w:val="single"/>
                <w:lang w:eastAsia="zh-CN"/>
              </w:rPr>
            </w:pPr>
            <w:r>
              <w:rPr>
                <w:rFonts w:hint="eastAsia" w:hAnsi="宋体"/>
                <w:color w:val="auto"/>
                <w:sz w:val="24"/>
                <w:szCs w:val="24"/>
                <w:u w:val="single"/>
                <w:lang w:eastAsia="zh-CN"/>
              </w:rPr>
              <w:t>⑤</w:t>
            </w:r>
            <w:r>
              <w:rPr>
                <w:rFonts w:ascii="宋体" w:hAnsi="宋体" w:eastAsia="宋体" w:cs="宋体"/>
                <w:b w:val="0"/>
                <w:i w:val="0"/>
                <w:caps w:val="0"/>
                <w:color w:val="auto"/>
                <w:spacing w:val="0"/>
                <w:sz w:val="24"/>
                <w:szCs w:val="24"/>
                <w:u w:val="single"/>
                <w:shd w:val="clear" w:fill="FFFFFF"/>
              </w:rPr>
              <w:t>建筑垃圾、土方、渣土清运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auto"/>
                <w:sz w:val="24"/>
                <w:u w:val="single"/>
                <w:lang w:eastAsia="zh-CN"/>
              </w:rPr>
            </w:pPr>
            <w:r>
              <w:rPr>
                <w:rFonts w:ascii="宋体" w:hAnsi="宋体" w:eastAsia="宋体" w:cs="宋体"/>
                <w:b w:val="0"/>
                <w:i w:val="0"/>
                <w:caps w:val="0"/>
                <w:color w:val="auto"/>
                <w:spacing w:val="0"/>
                <w:sz w:val="24"/>
                <w:szCs w:val="24"/>
                <w:u w:val="single"/>
                <w:shd w:val="clear" w:fill="FFFFFF"/>
              </w:rPr>
              <w:t>建筑物内施工垃圾的清运，必须采用相应的容器或管道运输，严禁凌空抛掷。施工现场严禁焚烧各类废弃物。建筑垃圾、工程渣土在48小时内不能完成清运的，应当在施工工地内设置临时堆放场，临时堆放场应当采取围挡、覆盖等防尘措施；施工现场裸露的场地和集中堆放的土方应采取覆盖、固化或绿化等措施。外脚手架拆除时应当采取洒水等防尘措施，禁止拍抖密目网造成扬尘。</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int="eastAsia" w:hAnsi="宋体"/>
                <w:color w:val="auto"/>
                <w:sz w:val="24"/>
                <w:u w:val="single"/>
                <w:lang w:eastAsia="zh-CN"/>
              </w:rPr>
              <w:t>本次评价建议从严执行扬尘控制措施。</w:t>
            </w:r>
            <w:r>
              <w:rPr>
                <w:rFonts w:hAnsi="宋体"/>
                <w:color w:val="auto"/>
                <w:sz w:val="24"/>
                <w:u w:val="single"/>
              </w:rPr>
              <w:t>在采取以上措施后，本项目施工期扬尘对周边环境影响较小。</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rPr>
            </w:pPr>
            <w:r>
              <w:rPr>
                <w:bCs/>
                <w:color w:val="auto"/>
                <w:sz w:val="24"/>
              </w:rPr>
              <w:t>(</w:t>
            </w:r>
            <w:r>
              <w:rPr>
                <w:rFonts w:hint="eastAsia"/>
                <w:bCs/>
                <w:color w:val="auto"/>
                <w:sz w:val="24"/>
                <w:lang w:val="en-US" w:eastAsia="zh-CN"/>
              </w:rPr>
              <w:t>2</w:t>
            </w:r>
            <w:r>
              <w:rPr>
                <w:bCs/>
                <w:color w:val="auto"/>
                <w:sz w:val="24"/>
              </w:rPr>
              <w:t>)</w:t>
            </w:r>
            <w:r>
              <w:rPr>
                <w:rFonts w:hAnsi="宋体"/>
                <w:bCs/>
                <w:color w:val="auto"/>
                <w:sz w:val="24"/>
              </w:rPr>
              <w:t>施工设备、车辆尾气</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2"/>
              </w:rPr>
            </w:pPr>
            <w:r>
              <w:rPr>
                <w:rFonts w:hAnsi="宋体"/>
                <w:color w:val="auto"/>
                <w:sz w:val="24"/>
              </w:rPr>
              <w:t>施工期间各类施工机械流动性强，所产生的尾气较为分散，在易于扩散的气象条件下，施工机械尾气对周围环境影响不会很大。但工程车辆的行驶将加重城市车辆尾气污染负荷。因此，施工单位应选用环保的机械设备，注意车辆保养，保证车辆尾气达标排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rFonts w:hint="eastAsia" w:hAnsi="宋体"/>
                <w:color w:val="auto"/>
                <w:sz w:val="24"/>
                <w:lang w:val="en-US" w:eastAsia="zh-CN"/>
              </w:rPr>
              <w:t>3</w:t>
            </w:r>
            <w:r>
              <w:rPr>
                <w:rFonts w:hAnsi="宋体"/>
                <w:color w:val="auto"/>
                <w:sz w:val="24"/>
              </w:rPr>
              <w:t>）柴油发电机尾气</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pacing w:val="6"/>
                <w:sz w:val="24"/>
              </w:rPr>
            </w:pPr>
            <w:r>
              <w:rPr>
                <w:rFonts w:hAnsi="宋体"/>
                <w:color w:val="auto"/>
                <w:sz w:val="24"/>
              </w:rPr>
              <w:t>为防止停电影响项目的正常实施，项目设有备用发电机。由于备用柴油发电机为断电后备用机组，使用率很小。备用发电机采用</w:t>
            </w:r>
            <w:r>
              <w:rPr>
                <w:color w:val="auto"/>
                <w:sz w:val="24"/>
              </w:rPr>
              <w:t>0#</w:t>
            </w:r>
            <w:r>
              <w:rPr>
                <w:rFonts w:hAnsi="宋体"/>
                <w:color w:val="auto"/>
                <w:sz w:val="24"/>
              </w:rPr>
              <w:t>柴油作为燃料，其中轻质柴油按《普通柴油》（</w:t>
            </w:r>
            <w:r>
              <w:rPr>
                <w:color w:val="auto"/>
                <w:sz w:val="24"/>
              </w:rPr>
              <w:t>GB252-2011</w:t>
            </w:r>
            <w:r>
              <w:rPr>
                <w:rFonts w:hAnsi="宋体"/>
                <w:color w:val="auto"/>
                <w:sz w:val="24"/>
              </w:rPr>
              <w:t>）的要求，柴油发电机燃油尾气通至楼顶排放，可达《大气污染物综合排放标准》</w:t>
            </w:r>
            <w:r>
              <w:rPr>
                <w:color w:val="auto"/>
                <w:sz w:val="24"/>
              </w:rPr>
              <w:t>(GB16297-1996)</w:t>
            </w:r>
            <w:r>
              <w:rPr>
                <w:rFonts w:hAnsi="宋体"/>
                <w:color w:val="auto"/>
                <w:sz w:val="24"/>
              </w:rPr>
              <w:t>中新污染源大气污染物排放限值，废气排放对周围环境影响较小</w:t>
            </w:r>
            <w:r>
              <w:rPr>
                <w:rFonts w:hAnsi="宋体"/>
                <w:color w:val="auto"/>
                <w:spacing w:val="6"/>
                <w:sz w:val="24"/>
              </w:rPr>
              <w:t>。</w:t>
            </w:r>
          </w:p>
          <w:p>
            <w:pPr>
              <w:pStyle w:val="2"/>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color w:val="auto"/>
                <w:sz w:val="24"/>
                <w:szCs w:val="24"/>
                <w:u w:val="single"/>
                <w:lang w:eastAsia="zh-CN"/>
              </w:rPr>
            </w:pPr>
            <w:r>
              <w:rPr>
                <w:rFonts w:hint="eastAsia" w:hAnsi="宋体"/>
                <w:color w:val="auto"/>
                <w:sz w:val="24"/>
                <w:szCs w:val="24"/>
                <w:u w:val="single"/>
                <w:lang w:eastAsia="zh-CN"/>
              </w:rPr>
              <w:t>负压大棚废气</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eastAsia="宋体"/>
                <w:color w:val="auto"/>
                <w:kern w:val="0"/>
                <w:sz w:val="24"/>
                <w:u w:val="single"/>
                <w:lang w:eastAsia="zh-CN" w:bidi="ar"/>
              </w:rPr>
            </w:pPr>
            <w:r>
              <w:rPr>
                <w:rFonts w:hint="eastAsia"/>
                <w:color w:val="auto"/>
                <w:kern w:val="0"/>
                <w:sz w:val="24"/>
                <w:u w:val="single"/>
                <w:lang w:eastAsia="zh-CN" w:bidi="ar"/>
              </w:rPr>
              <w:t>根据建设单位提供的资料可知，本项目负压大棚内预处理车间、氧化还原车间及其他大棚内点源主要为异味、扬尘、</w:t>
            </w:r>
            <w:r>
              <w:rPr>
                <w:rFonts w:hint="eastAsia"/>
                <w:color w:val="auto"/>
                <w:kern w:val="0"/>
                <w:sz w:val="24"/>
                <w:u w:val="single"/>
                <w:lang w:val="en-US" w:eastAsia="zh-CN" w:bidi="ar"/>
              </w:rPr>
              <w:t>VOCs废气，其废气主要通过集气设备收集后通过负压大棚尾气处理装置进行处理，因此项目负压大棚内各污染点源不会直接对外环境造成影响。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u w:val="single"/>
                <w:lang w:val="en-US" w:eastAsia="zh-CN"/>
              </w:rPr>
            </w:pPr>
            <w:r>
              <w:rPr>
                <w:rFonts w:hint="eastAsia" w:eastAsia="宋体"/>
                <w:sz w:val="24"/>
                <w:szCs w:val="24"/>
                <w:u w:val="single"/>
                <w:lang w:val="en-US" w:eastAsia="zh-CN"/>
              </w:rPr>
              <w:t>①无组织有机废气环境影响分析及防治措施分析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u w:val="single"/>
                <w:lang w:val="en-US" w:eastAsia="zh-CN"/>
              </w:rPr>
            </w:pPr>
            <w:r>
              <w:rPr>
                <w:rFonts w:hint="eastAsia" w:eastAsia="宋体"/>
                <w:sz w:val="24"/>
                <w:szCs w:val="24"/>
                <w:u w:val="single"/>
                <w:lang w:val="en-US" w:eastAsia="zh-CN"/>
              </w:rPr>
              <w:t>根据有机物在土壤中的迁移规律，有机物进入土壤后，经过静电吸附、配位体交换、氢键作用、阳离子键桥、熵值效应等作用与土壤胶体结合，从而被土壤吸附固定，土壤对有机物的吸附能力与土壤颗粒比表面积、颗粒粒径大小等因素有关。项目场地土壤开挖对土壤的粒径比表面积、粒径大小等影响不大，因此有机物从土壤中解吸挥发出的量较少。同时本项目加强施工管理，开挖的土方及时运往处置场进行处理，减少土方停留时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u w:val="single"/>
                <w:lang w:val="en-US" w:eastAsia="zh-CN"/>
              </w:rPr>
            </w:pPr>
            <w:r>
              <w:rPr>
                <w:rFonts w:hint="eastAsia" w:eastAsia="宋体"/>
                <w:sz w:val="24"/>
                <w:szCs w:val="24"/>
                <w:u w:val="single"/>
                <w:lang w:val="en-US" w:eastAsia="zh-CN"/>
              </w:rPr>
              <w:t>本项目在挖掘过程中采用AC-645气味抑制剂进行喷洒，可以迅速控制灰尘、气味及有机废气的的挥发。开挖的土方立即运往处置场进行处理，减少土方停留时间。因此本项目无组织有机废气可达到《恶臭污染物排放标准》（GB14554-93）中厂界控制限值。</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jc w:val="both"/>
              <w:textAlignment w:val="auto"/>
              <w:rPr>
                <w:rFonts w:hint="eastAsia" w:eastAsia="宋体"/>
                <w:b/>
                <w:bCs/>
                <w:sz w:val="24"/>
                <w:szCs w:val="24"/>
                <w:u w:val="single"/>
                <w:lang w:val="en-US" w:eastAsia="zh-CN"/>
              </w:rPr>
            </w:pPr>
            <w:r>
              <w:rPr>
                <w:rFonts w:hint="eastAsia" w:eastAsia="宋体"/>
                <w:b/>
                <w:bCs/>
                <w:sz w:val="24"/>
                <w:szCs w:val="24"/>
                <w:u w:val="single"/>
                <w:lang w:val="en-US" w:eastAsia="zh-CN"/>
              </w:rPr>
              <w:t>AC-645气味抑制剂可靠性分析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u w:val="single"/>
                <w:lang w:val="en-US" w:eastAsia="zh-CN"/>
              </w:rPr>
            </w:pPr>
            <w:r>
              <w:rPr>
                <w:rFonts w:hint="eastAsia" w:eastAsia="宋体"/>
                <w:sz w:val="24"/>
                <w:szCs w:val="24"/>
                <w:u w:val="single"/>
                <w:lang w:val="en-US" w:eastAsia="zh-CN"/>
              </w:rPr>
              <w:t>AC-645气味抑制剂是美国环保署和美国陆军工程兵团公认的能够提供长达17小时高效挥发控制的产品。AC-645在美国的超级基金场地，及美国和加拿大其他污染场地被广泛使用。其具有可生物降解、低成本、没有室外温度要求、比防水布（油布）有效、简单操作、不易反应、无害、对人与环境无害、只需使用水稀释、无需后期清洁、不易燃、可以覆盖任何污染源等特点，使用后对环境无危害作用。AC-645气味抑制剂主要用于控制场地修复挖掘过程中产生的气味，VOCs和灰尘，以及对需要过夜的开挖截面进行临时覆盖。AC-645气味抑制剂也可以被用于覆盖液体表面。综上所述，AC-645气味抑制剂在本项目应用过程中可靠性较高。本环评要求，若采用其他类型气味抑制剂，其效果不得低于AC-645气味抑制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u w:val="single"/>
                <w:lang w:val="en-US" w:eastAsia="zh-CN"/>
              </w:rPr>
            </w:pPr>
            <w:r>
              <w:rPr>
                <w:rFonts w:hint="eastAsia" w:eastAsia="宋体"/>
                <w:sz w:val="24"/>
                <w:szCs w:val="24"/>
                <w:u w:val="single"/>
                <w:lang w:val="en-US" w:eastAsia="zh-CN"/>
              </w:rPr>
              <w:t>②有组织有机废气环境影响分析及防治措施分析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u w:val="single"/>
                <w:lang w:val="en-US" w:eastAsia="zh-CN"/>
              </w:rPr>
            </w:pPr>
            <w:r>
              <w:rPr>
                <w:rFonts w:hint="eastAsia" w:eastAsia="宋体"/>
                <w:sz w:val="24"/>
                <w:szCs w:val="24"/>
                <w:u w:val="single"/>
                <w:lang w:val="en-US" w:eastAsia="zh-CN"/>
              </w:rPr>
              <w:t>项目有机物污染土壤修复在负压密闭大棚内实施，同时对负压大棚内的废气进行收集后使用</w:t>
            </w:r>
            <w:r>
              <w:rPr>
                <w:rFonts w:hint="eastAsia"/>
                <w:sz w:val="24"/>
                <w:szCs w:val="24"/>
                <w:u w:val="single"/>
                <w:lang w:val="en-US" w:eastAsia="zh-CN"/>
              </w:rPr>
              <w:t>活性炭吸附处理</w:t>
            </w:r>
            <w:r>
              <w:rPr>
                <w:rFonts w:hint="eastAsia" w:eastAsia="宋体"/>
                <w:sz w:val="24"/>
                <w:szCs w:val="24"/>
                <w:u w:val="single"/>
                <w:lang w:val="en-US" w:eastAsia="zh-CN"/>
              </w:rPr>
              <w:t>，设计集气风</w:t>
            </w:r>
            <w:r>
              <w:rPr>
                <w:rFonts w:hint="eastAsia"/>
                <w:sz w:val="24"/>
                <w:szCs w:val="24"/>
                <w:u w:val="single"/>
                <w:lang w:val="en-US" w:eastAsia="zh-CN"/>
              </w:rPr>
              <w:t>5</w:t>
            </w:r>
            <w:r>
              <w:rPr>
                <w:rFonts w:hint="eastAsia" w:eastAsia="宋体"/>
                <w:sz w:val="24"/>
                <w:szCs w:val="24"/>
                <w:u w:val="single"/>
                <w:lang w:val="en-US" w:eastAsia="zh-CN"/>
              </w:rPr>
              <w:t>000m</w:t>
            </w:r>
            <w:r>
              <w:rPr>
                <w:rFonts w:hint="eastAsia" w:eastAsia="宋体"/>
                <w:sz w:val="24"/>
                <w:szCs w:val="24"/>
                <w:u w:val="single"/>
                <w:vertAlign w:val="superscript"/>
                <w:lang w:val="en-US" w:eastAsia="zh-CN"/>
              </w:rPr>
              <w:t>3</w:t>
            </w:r>
            <w:r>
              <w:rPr>
                <w:rFonts w:hint="eastAsia" w:eastAsia="宋体"/>
                <w:sz w:val="24"/>
                <w:szCs w:val="24"/>
                <w:u w:val="single"/>
                <w:lang w:val="en-US" w:eastAsia="zh-CN"/>
              </w:rPr>
              <w:t>/h，</w:t>
            </w:r>
            <w:r>
              <w:rPr>
                <w:rFonts w:hint="eastAsia"/>
                <w:sz w:val="24"/>
                <w:szCs w:val="24"/>
                <w:u w:val="single"/>
                <w:lang w:val="en-US" w:eastAsia="zh-CN"/>
              </w:rPr>
              <w:t>活性炭吸附处理</w:t>
            </w:r>
            <w:r>
              <w:rPr>
                <w:rFonts w:hint="eastAsia" w:eastAsia="宋体"/>
                <w:sz w:val="24"/>
                <w:szCs w:val="24"/>
                <w:u w:val="single"/>
                <w:lang w:val="en-US" w:eastAsia="zh-CN"/>
              </w:rPr>
              <w:t>对有机污染物去除效率达98%以上，可以对有机污染物进行有效去除，最后通过15m高排气筒进行排放。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highlight w:val="none"/>
                <w:u w:val="single"/>
                <w:lang w:val="en-US" w:eastAsia="zh-CN"/>
              </w:rPr>
            </w:pPr>
            <w:r>
              <w:rPr>
                <w:rFonts w:hint="eastAsia" w:eastAsia="宋体"/>
                <w:sz w:val="24"/>
                <w:szCs w:val="24"/>
                <w:highlight w:val="none"/>
                <w:u w:val="single"/>
                <w:lang w:val="en-US" w:eastAsia="zh-CN"/>
              </w:rPr>
              <w:t>经工程分析计算可知</w:t>
            </w:r>
            <w:r>
              <w:rPr>
                <w:rFonts w:hint="eastAsia"/>
                <w:sz w:val="24"/>
                <w:szCs w:val="24"/>
                <w:highlight w:val="none"/>
                <w:u w:val="single"/>
                <w:lang w:val="en-US" w:eastAsia="zh-CN"/>
              </w:rPr>
              <w:t>VOCs</w:t>
            </w:r>
            <w:r>
              <w:rPr>
                <w:rFonts w:hint="eastAsia" w:eastAsia="宋体"/>
                <w:sz w:val="24"/>
                <w:szCs w:val="24"/>
                <w:highlight w:val="none"/>
                <w:u w:val="single"/>
                <w:lang w:val="en-US" w:eastAsia="zh-CN"/>
              </w:rPr>
              <w:t>放量为</w:t>
            </w:r>
            <w:r>
              <w:rPr>
                <w:color w:val="auto"/>
                <w:sz w:val="24"/>
                <w:szCs w:val="24"/>
                <w:highlight w:val="none"/>
                <w:u w:val="single"/>
              </w:rPr>
              <w:t>0.0</w:t>
            </w:r>
            <w:r>
              <w:rPr>
                <w:rFonts w:hint="eastAsia"/>
                <w:color w:val="auto"/>
                <w:sz w:val="24"/>
                <w:szCs w:val="24"/>
                <w:highlight w:val="none"/>
                <w:u w:val="single"/>
                <w:lang w:val="en-US" w:eastAsia="zh-CN"/>
              </w:rPr>
              <w:t>77</w:t>
            </w:r>
            <w:r>
              <w:rPr>
                <w:color w:val="auto"/>
                <w:sz w:val="24"/>
                <w:szCs w:val="24"/>
                <w:highlight w:val="none"/>
                <w:u w:val="single"/>
              </w:rPr>
              <w:t>Kg，排放速率为0.0</w:t>
            </w:r>
            <w:r>
              <w:rPr>
                <w:rFonts w:hint="eastAsia"/>
                <w:color w:val="auto"/>
                <w:sz w:val="24"/>
                <w:szCs w:val="24"/>
                <w:highlight w:val="none"/>
                <w:u w:val="single"/>
                <w:lang w:val="en-US" w:eastAsia="zh-CN"/>
              </w:rPr>
              <w:t>8</w:t>
            </w:r>
            <w:r>
              <w:rPr>
                <w:rFonts w:eastAsia="TimesNewRomanPSMT"/>
                <w:color w:val="auto"/>
                <w:sz w:val="24"/>
                <w:szCs w:val="24"/>
                <w:highlight w:val="none"/>
                <w:u w:val="single"/>
              </w:rPr>
              <w:t>×</w:t>
            </w:r>
            <w:r>
              <w:rPr>
                <w:color w:val="auto"/>
                <w:sz w:val="24"/>
                <w:szCs w:val="24"/>
                <w:highlight w:val="none"/>
                <w:u w:val="single"/>
              </w:rPr>
              <w:t>10</w:t>
            </w:r>
            <w:r>
              <w:rPr>
                <w:color w:val="auto"/>
                <w:sz w:val="24"/>
                <w:szCs w:val="24"/>
                <w:highlight w:val="none"/>
                <w:u w:val="single"/>
                <w:vertAlign w:val="superscript"/>
              </w:rPr>
              <w:t>-3</w:t>
            </w:r>
            <w:r>
              <w:rPr>
                <w:color w:val="auto"/>
                <w:sz w:val="24"/>
                <w:szCs w:val="24"/>
                <w:highlight w:val="none"/>
                <w:u w:val="single"/>
              </w:rPr>
              <w:t>Kg/h，排放浓度为</w:t>
            </w:r>
            <w:r>
              <w:rPr>
                <w:rFonts w:hint="eastAsia"/>
                <w:color w:val="auto"/>
                <w:sz w:val="24"/>
                <w:szCs w:val="24"/>
                <w:highlight w:val="none"/>
                <w:u w:val="single"/>
                <w:lang w:val="en-US" w:eastAsia="zh-CN"/>
              </w:rPr>
              <w:t>0.016</w:t>
            </w:r>
            <w:r>
              <w:rPr>
                <w:color w:val="auto"/>
                <w:sz w:val="24"/>
                <w:szCs w:val="24"/>
                <w:highlight w:val="none"/>
                <w:u w:val="single"/>
              </w:rPr>
              <w:t>mg/m</w:t>
            </w:r>
            <w:r>
              <w:rPr>
                <w:color w:val="auto"/>
                <w:sz w:val="24"/>
                <w:szCs w:val="24"/>
                <w:highlight w:val="none"/>
                <w:u w:val="single"/>
                <w:vertAlign w:val="superscript"/>
              </w:rPr>
              <w:t>3</w:t>
            </w:r>
            <w:r>
              <w:rPr>
                <w:rFonts w:hint="eastAsia" w:eastAsia="宋体"/>
                <w:sz w:val="24"/>
                <w:szCs w:val="24"/>
                <w:highlight w:val="none"/>
                <w:u w:val="single"/>
                <w:lang w:val="en-US" w:eastAsia="zh-CN"/>
              </w:rPr>
              <w:t>。</w:t>
            </w:r>
            <w:r>
              <w:rPr>
                <w:rFonts w:hint="eastAsia"/>
                <w:sz w:val="24"/>
                <w:szCs w:val="24"/>
                <w:highlight w:val="none"/>
                <w:u w:val="single"/>
                <w:lang w:val="en-US" w:eastAsia="zh-CN"/>
              </w:rPr>
              <w:t>DDT和六六六均</w:t>
            </w:r>
            <w:r>
              <w:rPr>
                <w:rFonts w:hint="eastAsia" w:eastAsia="宋体"/>
                <w:sz w:val="24"/>
                <w:szCs w:val="24"/>
                <w:highlight w:val="none"/>
                <w:u w:val="single"/>
                <w:lang w:val="en-US" w:eastAsia="zh-CN"/>
              </w:rPr>
              <w:t>属于SVOCs</w:t>
            </w:r>
            <w:r>
              <w:rPr>
                <w:rFonts w:hint="eastAsia"/>
                <w:sz w:val="24"/>
                <w:szCs w:val="24"/>
                <w:highlight w:val="none"/>
                <w:u w:val="single"/>
                <w:lang w:val="en-US" w:eastAsia="zh-CN"/>
              </w:rPr>
              <w:t>（</w:t>
            </w:r>
            <w:r>
              <w:rPr>
                <w:rFonts w:hint="eastAsia" w:eastAsia="宋体"/>
                <w:sz w:val="24"/>
                <w:szCs w:val="24"/>
                <w:highlight w:val="none"/>
                <w:u w:val="single"/>
                <w:lang w:val="en-US" w:eastAsia="zh-CN"/>
              </w:rPr>
              <w:t>半挥发性有机物</w:t>
            </w:r>
            <w:r>
              <w:rPr>
                <w:rFonts w:hint="eastAsia"/>
                <w:sz w:val="24"/>
                <w:szCs w:val="24"/>
                <w:highlight w:val="none"/>
                <w:u w:val="single"/>
                <w:lang w:val="en-US" w:eastAsia="zh-CN"/>
              </w:rPr>
              <w:t>）</w:t>
            </w:r>
            <w:r>
              <w:rPr>
                <w:rFonts w:hint="eastAsia" w:eastAsia="宋体"/>
                <w:sz w:val="24"/>
                <w:szCs w:val="24"/>
                <w:highlight w:val="none"/>
                <w:u w:val="single"/>
                <w:lang w:val="en-US" w:eastAsia="zh-CN"/>
              </w:rPr>
              <w:t>，饱和蒸气压很小，污染物扩散到大气中量极小，本环评从严原则出发，</w:t>
            </w:r>
            <w:r>
              <w:rPr>
                <w:rFonts w:hint="eastAsia"/>
                <w:sz w:val="24"/>
                <w:szCs w:val="24"/>
                <w:highlight w:val="none"/>
                <w:u w:val="single"/>
                <w:lang w:val="en-US" w:eastAsia="zh-CN"/>
              </w:rPr>
              <w:t>DDT和六六六总</w:t>
            </w:r>
            <w:r>
              <w:rPr>
                <w:rFonts w:hint="eastAsia" w:eastAsia="宋体"/>
                <w:sz w:val="24"/>
                <w:szCs w:val="24"/>
                <w:highlight w:val="none"/>
                <w:u w:val="single"/>
                <w:lang w:val="en-US" w:eastAsia="zh-CN"/>
              </w:rPr>
              <w:t>废气排放浓度参考执行VOCs，排放标准浓度参照执行天津市地方标准《工业企业挥发性有机物排放标准》（DB12/524-2014）中表2其他行业“15m排气筒”浓度限值，即为≤80mg/m</w:t>
            </w:r>
            <w:r>
              <w:rPr>
                <w:rFonts w:hint="eastAsia" w:eastAsia="宋体"/>
                <w:sz w:val="24"/>
                <w:szCs w:val="24"/>
                <w:highlight w:val="none"/>
                <w:u w:val="single"/>
                <w:vertAlign w:val="superscript"/>
                <w:lang w:val="en-US" w:eastAsia="zh-CN"/>
              </w:rPr>
              <w:t>3</w:t>
            </w:r>
            <w:r>
              <w:rPr>
                <w:rFonts w:hint="eastAsia" w:eastAsia="宋体"/>
                <w:sz w:val="24"/>
                <w:szCs w:val="24"/>
                <w:highlight w:val="none"/>
                <w:u w:val="single"/>
                <w:lang w:val="en-US" w:eastAsia="zh-CN"/>
              </w:rPr>
              <w:t>、</w:t>
            </w:r>
            <w:r>
              <w:rPr>
                <w:rFonts w:hint="eastAsia"/>
                <w:sz w:val="24"/>
                <w:szCs w:val="24"/>
                <w:highlight w:val="none"/>
                <w:u w:val="single"/>
                <w:lang w:val="en-US" w:eastAsia="zh-CN"/>
              </w:rPr>
              <w:t>2</w:t>
            </w:r>
            <w:r>
              <w:rPr>
                <w:rFonts w:hint="eastAsia" w:eastAsia="宋体"/>
                <w:sz w:val="24"/>
                <w:szCs w:val="24"/>
                <w:highlight w:val="none"/>
                <w:u w:val="single"/>
                <w:lang w:val="en-US" w:eastAsia="zh-CN"/>
              </w:rPr>
              <w:t>.0Kg/h。</w:t>
            </w:r>
          </w:p>
          <w:p>
            <w:pPr>
              <w:pStyle w:val="2"/>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rPr>
                <w:rFonts w:hint="eastAsia" w:eastAsia="宋体"/>
                <w:color w:val="0000FF"/>
                <w:sz w:val="24"/>
                <w:szCs w:val="24"/>
                <w:highlight w:val="none"/>
                <w:u w:val="single"/>
                <w:lang w:val="en-US" w:eastAsia="zh-CN"/>
              </w:rPr>
            </w:pPr>
            <w:r>
              <w:rPr>
                <w:rFonts w:hint="eastAsia"/>
                <w:color w:val="0000FF"/>
                <w:sz w:val="24"/>
                <w:szCs w:val="24"/>
                <w:highlight w:val="none"/>
                <w:u w:val="single"/>
                <w:lang w:val="en-US" w:eastAsia="zh-CN"/>
              </w:rPr>
              <w:t>由于本项目排气筒周边200m半径内建筑高度不高于5m以上，因此废气排放速率标准值严格50%执行，因此本项目VOCs废气排放速率执行1.0kg/h。</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eastAsia="宋体"/>
                <w:sz w:val="24"/>
                <w:szCs w:val="24"/>
                <w:highlight w:val="none"/>
                <w:u w:val="single"/>
                <w:lang w:val="en-US" w:eastAsia="zh-CN"/>
              </w:rPr>
            </w:pPr>
            <w:r>
              <w:rPr>
                <w:rFonts w:hint="eastAsia"/>
                <w:color w:val="0000FF"/>
                <w:sz w:val="24"/>
                <w:szCs w:val="24"/>
                <w:highlight w:val="none"/>
                <w:u w:val="single"/>
                <w:lang w:val="en-US" w:eastAsia="zh-CN"/>
              </w:rPr>
              <w:t>综上分析，</w:t>
            </w:r>
            <w:r>
              <w:rPr>
                <w:rFonts w:hint="eastAsia" w:eastAsia="宋体"/>
                <w:sz w:val="24"/>
                <w:szCs w:val="24"/>
                <w:highlight w:val="none"/>
                <w:u w:val="single"/>
                <w:lang w:val="en-US" w:eastAsia="zh-CN"/>
              </w:rPr>
              <w:t>可知本项目密闭大棚尾气处理装置处理后排放的</w:t>
            </w:r>
            <w:r>
              <w:rPr>
                <w:rFonts w:hint="eastAsia"/>
                <w:sz w:val="24"/>
                <w:szCs w:val="24"/>
                <w:highlight w:val="none"/>
                <w:u w:val="single"/>
                <w:lang w:val="en-US" w:eastAsia="zh-CN"/>
              </w:rPr>
              <w:t>VOCs</w:t>
            </w:r>
            <w:r>
              <w:rPr>
                <w:rFonts w:hint="eastAsia" w:eastAsia="宋体"/>
                <w:sz w:val="24"/>
                <w:szCs w:val="24"/>
                <w:highlight w:val="none"/>
                <w:u w:val="single"/>
                <w:lang w:val="en-US" w:eastAsia="zh-CN"/>
              </w:rPr>
              <w:t>满足相关标准要求。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9"/>
              <w:rPr>
                <w:rFonts w:hint="eastAsia" w:cs="Times New Roman"/>
                <w:color w:val="auto"/>
                <w:sz w:val="24"/>
                <w:szCs w:val="24"/>
                <w:u w:val="single"/>
                <w:lang w:val="en-US" w:eastAsia="zh-CN"/>
              </w:rPr>
            </w:pPr>
            <w:r>
              <w:rPr>
                <w:rFonts w:hint="eastAsia" w:cs="Times New Roman"/>
                <w:b/>
                <w:bCs/>
                <w:color w:val="auto"/>
                <w:sz w:val="24"/>
                <w:szCs w:val="24"/>
                <w:u w:val="single"/>
                <w:lang w:eastAsia="zh-CN"/>
              </w:rPr>
              <w:t>活性炭吸附处理</w:t>
            </w:r>
            <w:r>
              <w:rPr>
                <w:rFonts w:hint="eastAsia" w:cs="Times New Roman"/>
                <w:b/>
                <w:bCs/>
                <w:color w:val="auto"/>
                <w:sz w:val="24"/>
                <w:szCs w:val="24"/>
                <w:u w:val="single"/>
                <w:lang w:val="en-US" w:eastAsia="zh-CN"/>
              </w:rPr>
              <w:t>VOCs的可行性分析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s="Times New Roman"/>
                <w:color w:val="auto"/>
                <w:sz w:val="24"/>
                <w:szCs w:val="24"/>
                <w:u w:val="single"/>
                <w:lang w:val="en-US" w:eastAsia="zh-CN"/>
              </w:rPr>
            </w:pPr>
            <w:r>
              <w:rPr>
                <w:rFonts w:hint="eastAsia" w:cs="Times New Roman"/>
                <w:color w:val="auto"/>
                <w:sz w:val="24"/>
                <w:szCs w:val="24"/>
                <w:u w:val="single"/>
                <w:lang w:val="en-US" w:eastAsia="zh-CN"/>
              </w:rPr>
              <w:t>活性炭是一种非常优良的吸附剂，它是利用木炭、各种果壳和优质煤等作为原料，通过物理和化学方法对原料进行破碎、过筛、催化剂活化、漂洗、烘干和筛选等一系列工序加工制造而成。活性炭具有物理吸附和化学吸附的双重特性，可以有选择的吸附气相、液相中的各种物质，以达到脱色精制、消毒除臭和去污提纯等目的。活性炭吸附法就是利用活性炭作为物理吸附剂，把生产过程中产生的有害物质成分，在固相表面进行浓缩，从而使废气得到净化治理。吸附过程是在固相—气相间界面发生的物理过程。活性炭主要是以含炭量较高的物质制成，如木材、煤、果壳、骨、石油残渣等，而以椰子壳为最常用的原料，在同等条件下，椰壳活性炭的活性质量及其它特性是最好的，因其有最大的比表面积。因此，建议本项目选用椰壳活性炭，活性炭吸附装置可设计为固定床式。</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s="Times New Roman"/>
                <w:color w:val="auto"/>
                <w:sz w:val="24"/>
                <w:szCs w:val="24"/>
                <w:u w:val="single"/>
                <w:lang w:val="en-US" w:eastAsia="zh-CN"/>
              </w:rPr>
            </w:pPr>
            <w:r>
              <w:rPr>
                <w:rFonts w:hint="eastAsia" w:cs="Times New Roman"/>
                <w:color w:val="auto"/>
                <w:sz w:val="24"/>
                <w:szCs w:val="24"/>
                <w:u w:val="single"/>
                <w:lang w:val="en-US" w:eastAsia="zh-CN"/>
              </w:rPr>
              <w:t>其中活性炭的吸附原理是：进入吸附塔的有机废气在流经活性炭层时被比表面积很大的活性炭截留，在其颗粒表面形成一层平衡的表面浓度，并将有机物等吸附到活性炭的细孔，使用初期的吸附效果很高。但时间一长，活性炭的吸附能力会不同程度地减弱，吸附效果也随之下降。活性炭颗粒的大小对吸附能力也有影响。一般来说，活性炭颗粒越小，过滤面积就越大，但过小的颗粒将会使有机气体流过碳层的气流阻力过大，造成气流不通畅，吸附法气体净化设备的设计主要参数是空塔风速，现一般使用0.5～2m/s。炭层高度为0.5～1.5m。吸附后的饱和活性炭均交由委托有资质的单位进行回收处理，杜绝二次污染。根据国内对活性炭吸附有机废气的研究，其处理效率约98%以上，能有效减轻对周边大气环境的影响。根据工程分析，</w:t>
            </w:r>
            <w:r>
              <w:rPr>
                <w:rFonts w:hint="eastAsia" w:eastAsia="宋体"/>
                <w:sz w:val="24"/>
                <w:szCs w:val="24"/>
                <w:u w:val="single"/>
                <w:lang w:val="en-US" w:eastAsia="zh-CN"/>
              </w:rPr>
              <w:t>可知本项目本项目密闭大棚尾气</w:t>
            </w:r>
            <w:r>
              <w:rPr>
                <w:rFonts w:hint="eastAsia"/>
                <w:sz w:val="24"/>
                <w:szCs w:val="24"/>
                <w:u w:val="single"/>
                <w:lang w:val="en-US" w:eastAsia="zh-CN"/>
              </w:rPr>
              <w:t>经活性炭</w:t>
            </w:r>
            <w:r>
              <w:rPr>
                <w:rFonts w:hint="eastAsia" w:eastAsia="宋体"/>
                <w:sz w:val="24"/>
                <w:szCs w:val="24"/>
                <w:u w:val="single"/>
                <w:lang w:val="en-US" w:eastAsia="zh-CN"/>
              </w:rPr>
              <w:t>处理后排放的</w:t>
            </w:r>
            <w:r>
              <w:rPr>
                <w:rFonts w:hint="eastAsia"/>
                <w:sz w:val="24"/>
                <w:szCs w:val="24"/>
                <w:u w:val="single"/>
                <w:lang w:val="en-US" w:eastAsia="zh-CN"/>
              </w:rPr>
              <w:t>VOCs</w:t>
            </w:r>
            <w:r>
              <w:rPr>
                <w:rFonts w:hint="eastAsia" w:eastAsia="宋体"/>
                <w:sz w:val="24"/>
                <w:szCs w:val="24"/>
                <w:u w:val="single"/>
                <w:lang w:val="en-US" w:eastAsia="zh-CN"/>
              </w:rPr>
              <w:t>满足相关标准要求。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bCs/>
                <w:color w:val="auto"/>
                <w:sz w:val="24"/>
                <w:highlight w:val="none"/>
                <w:u w:val="single"/>
              </w:rPr>
            </w:pPr>
            <w:r>
              <w:rPr>
                <w:rFonts w:hint="eastAsia" w:cs="Times New Roman"/>
                <w:color w:val="auto"/>
                <w:sz w:val="24"/>
                <w:szCs w:val="24"/>
                <w:u w:val="single"/>
                <w:lang w:val="en-US" w:eastAsia="zh-CN"/>
              </w:rPr>
              <w:t>根据《挥发性有机物（VOCs）污染防治技术政策》(环保部公告2013年第31号)可知，本项目采用的活性炭吸附VOCs处理符合该政策的第（二十三）条规定：“高效吸附材料（如特种用途活性炭、高强度活性炭纤维、改性疏水分子筛和硅胶等）、催化材料（如广谱性VOCs氧化催化剂等）、高效生物填料和吸收剂等。”因此</w:t>
            </w:r>
            <w:r>
              <w:rPr>
                <w:rFonts w:hint="eastAsia" w:ascii="宋体" w:hAnsi="宋体" w:cs="宋体"/>
                <w:color w:val="auto"/>
                <w:sz w:val="24"/>
                <w:szCs w:val="20"/>
                <w:highlight w:val="none"/>
                <w:u w:val="single"/>
                <w:shd w:val="clear" w:color="auto" w:fill="FFFFFF"/>
                <w:lang w:bidi="ar"/>
              </w:rPr>
              <w:t>本项目</w:t>
            </w:r>
            <w:r>
              <w:rPr>
                <w:rFonts w:hint="eastAsia" w:ascii="宋体" w:hAnsi="宋体" w:cs="宋体"/>
                <w:color w:val="auto"/>
                <w:sz w:val="24"/>
                <w:szCs w:val="20"/>
                <w:highlight w:val="none"/>
                <w:u w:val="single"/>
                <w:shd w:val="clear" w:color="auto" w:fill="FFFFFF"/>
                <w:lang w:val="en-US" w:eastAsia="zh-CN" w:bidi="ar"/>
              </w:rPr>
              <w:t>VOCs废气处理能</w:t>
            </w:r>
            <w:r>
              <w:rPr>
                <w:rFonts w:hint="eastAsia" w:ascii="宋体" w:hAnsi="宋体" w:cs="宋体"/>
                <w:color w:val="auto"/>
                <w:sz w:val="24"/>
                <w:szCs w:val="20"/>
                <w:highlight w:val="none"/>
                <w:u w:val="single"/>
                <w:shd w:val="clear" w:color="auto" w:fill="FFFFFF"/>
                <w:lang w:bidi="ar"/>
              </w:rPr>
              <w:t>够符合</w:t>
            </w:r>
            <w:r>
              <w:rPr>
                <w:bCs/>
                <w:color w:val="auto"/>
                <w:sz w:val="24"/>
                <w:highlight w:val="none"/>
                <w:u w:val="single"/>
              </w:rPr>
              <w:t>《挥发性有机物（VOCs）污染防治技术政策》</w:t>
            </w:r>
            <w:r>
              <w:rPr>
                <w:rFonts w:hint="eastAsia"/>
                <w:bCs/>
                <w:color w:val="auto"/>
                <w:sz w:val="24"/>
                <w:highlight w:val="none"/>
                <w:u w:val="single"/>
              </w:rPr>
              <w:t>中相关政策和要求。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s="Times New Roman"/>
                <w:color w:val="auto"/>
                <w:sz w:val="24"/>
                <w:szCs w:val="24"/>
                <w:u w:val="single"/>
                <w:lang w:val="en-US" w:eastAsia="zh-CN"/>
              </w:rPr>
            </w:pPr>
            <w:r>
              <w:rPr>
                <w:rFonts w:hint="eastAsia" w:cs="Times New Roman"/>
                <w:color w:val="auto"/>
                <w:sz w:val="24"/>
                <w:szCs w:val="24"/>
                <w:u w:val="single"/>
                <w:lang w:val="en-US" w:eastAsia="zh-CN"/>
              </w:rPr>
              <w:t>综上所述，本项目采用活性炭吸附处理VOCs废气可行，同时本环评从减排原则出发，建议采用光催化等无二次废物产生的VOCs废气处理装置。</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u w:val="single"/>
                <w:lang w:eastAsia="zh-CN"/>
              </w:rPr>
            </w:pPr>
            <w:r>
              <w:rPr>
                <w:rFonts w:hint="eastAsia" w:cs="Times New Roman"/>
                <w:color w:val="auto"/>
                <w:sz w:val="24"/>
                <w:szCs w:val="24"/>
                <w:u w:val="single"/>
                <w:lang w:eastAsia="zh-CN"/>
              </w:rPr>
              <w:t>（</w:t>
            </w:r>
            <w:r>
              <w:rPr>
                <w:rFonts w:hint="eastAsia" w:cs="Times New Roman"/>
                <w:color w:val="auto"/>
                <w:sz w:val="24"/>
                <w:szCs w:val="24"/>
                <w:u w:val="single"/>
                <w:lang w:val="en-US" w:eastAsia="zh-CN"/>
              </w:rPr>
              <w:t>5</w:t>
            </w:r>
            <w:r>
              <w:rPr>
                <w:rFonts w:hint="eastAsia" w:cs="Times New Roman"/>
                <w:color w:val="auto"/>
                <w:sz w:val="24"/>
                <w:szCs w:val="24"/>
                <w:u w:val="single"/>
                <w:lang w:eastAsia="zh-CN"/>
              </w:rPr>
              <w:t>）</w:t>
            </w:r>
            <w:r>
              <w:rPr>
                <w:rFonts w:hint="default" w:ascii="Times New Roman" w:hAnsi="Times New Roman" w:cs="Times New Roman"/>
                <w:color w:val="auto"/>
                <w:sz w:val="24"/>
                <w:szCs w:val="24"/>
                <w:u w:val="single"/>
                <w:lang w:eastAsia="zh-CN"/>
              </w:rPr>
              <w:t>异味环境影响及防治措施分析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kern w:val="0"/>
                <w:sz w:val="24"/>
                <w:szCs w:val="24"/>
                <w:u w:val="single"/>
                <w:lang w:bidi="ar"/>
              </w:rPr>
            </w:pPr>
            <w:r>
              <w:rPr>
                <w:rFonts w:hint="default" w:ascii="Times New Roman" w:hAnsi="Times New Roman" w:cs="Times New Roman"/>
                <w:color w:val="auto"/>
                <w:kern w:val="0"/>
                <w:sz w:val="24"/>
                <w:szCs w:val="24"/>
                <w:u w:val="single"/>
                <w:lang w:bidi="ar"/>
              </w:rPr>
              <w:t>由于项目污染土壤中存在</w:t>
            </w:r>
            <w:r>
              <w:rPr>
                <w:rFonts w:hint="eastAsia" w:cs="Times New Roman"/>
                <w:color w:val="auto"/>
                <w:kern w:val="0"/>
                <w:sz w:val="24"/>
                <w:szCs w:val="24"/>
                <w:u w:val="single"/>
                <w:lang w:val="en-US" w:eastAsia="zh-CN" w:bidi="ar"/>
              </w:rPr>
              <w:t>DDT和六六六</w:t>
            </w:r>
            <w:r>
              <w:rPr>
                <w:rFonts w:hint="default" w:ascii="Times New Roman" w:hAnsi="Times New Roman" w:cs="Times New Roman"/>
                <w:color w:val="auto"/>
                <w:kern w:val="0"/>
                <w:sz w:val="24"/>
                <w:szCs w:val="24"/>
                <w:u w:val="single"/>
                <w:lang w:bidi="ar"/>
              </w:rPr>
              <w:t>，在挖掘过程中可能会有刺激性气味逸散，其排放方式为无组织排放面源。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kern w:val="0"/>
                <w:sz w:val="24"/>
                <w:szCs w:val="24"/>
                <w:u w:val="single"/>
                <w:lang w:bidi="ar"/>
              </w:rPr>
            </w:pPr>
            <w:r>
              <w:rPr>
                <w:rFonts w:hint="default" w:ascii="Times New Roman" w:hAnsi="Times New Roman" w:cs="Times New Roman"/>
                <w:color w:val="auto"/>
                <w:kern w:val="0"/>
                <w:sz w:val="24"/>
                <w:szCs w:val="24"/>
                <w:u w:val="single"/>
                <w:lang w:bidi="ar"/>
              </w:rPr>
              <w:t>由于本项目对污染物土壤挖掘期间挥发至大气的刺激性其他量较小，挖掘后立即转运至负压密闭大棚进行土壤修复，无挖掘土壤堆存。若出现一定量的刺激性气体，并对周边大气环境产生一定影响时，将对挖掘土壤及基坑喷洒AC-645气味抑制剂，可迅速控制气味及</w:t>
            </w:r>
            <w:r>
              <w:rPr>
                <w:rFonts w:hint="eastAsia" w:cs="Times New Roman"/>
                <w:color w:val="auto"/>
                <w:kern w:val="0"/>
                <w:sz w:val="24"/>
                <w:szCs w:val="24"/>
                <w:u w:val="single"/>
                <w:lang w:val="en-US" w:eastAsia="zh-CN" w:bidi="ar"/>
              </w:rPr>
              <w:t>DDT和六六六</w:t>
            </w:r>
            <w:r>
              <w:rPr>
                <w:rFonts w:hint="default" w:ascii="Times New Roman" w:hAnsi="Times New Roman" w:cs="Times New Roman"/>
                <w:color w:val="auto"/>
                <w:kern w:val="0"/>
                <w:sz w:val="24"/>
                <w:szCs w:val="24"/>
                <w:u w:val="single"/>
                <w:lang w:bidi="ar"/>
              </w:rPr>
              <w:t>的挥发，进而降低对周边大气环境的影响。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kern w:val="0"/>
                <w:sz w:val="24"/>
                <w:szCs w:val="24"/>
                <w:u w:val="single"/>
                <w:lang w:bidi="ar"/>
              </w:rPr>
            </w:pPr>
            <w:r>
              <w:rPr>
                <w:rFonts w:hint="default" w:ascii="Times New Roman" w:hAnsi="Times New Roman" w:cs="Times New Roman"/>
                <w:color w:val="auto"/>
                <w:kern w:val="0"/>
                <w:sz w:val="24"/>
                <w:szCs w:val="24"/>
                <w:u w:val="single"/>
                <w:lang w:bidi="ar"/>
              </w:rPr>
              <w:t>项目有机物污染土壤和复合污染土壤处置车间采用密闭大棚的形式，对废气进行收集后使用</w:t>
            </w:r>
            <w:r>
              <w:rPr>
                <w:rFonts w:hint="eastAsia" w:cs="Times New Roman"/>
                <w:color w:val="auto"/>
                <w:kern w:val="0"/>
                <w:sz w:val="24"/>
                <w:szCs w:val="24"/>
                <w:u w:val="single"/>
                <w:lang w:eastAsia="zh-CN" w:bidi="ar"/>
              </w:rPr>
              <w:t>活性炭吸附</w:t>
            </w:r>
            <w:r>
              <w:rPr>
                <w:rFonts w:hint="default" w:ascii="Times New Roman" w:hAnsi="Times New Roman" w:cs="Times New Roman"/>
                <w:color w:val="auto"/>
                <w:kern w:val="0"/>
                <w:sz w:val="24"/>
                <w:szCs w:val="24"/>
                <w:u w:val="single"/>
                <w:lang w:bidi="ar"/>
              </w:rPr>
              <w:t>处理，产生的异味很小。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kern w:val="0"/>
                <w:sz w:val="24"/>
                <w:szCs w:val="24"/>
                <w:u w:val="single"/>
                <w:lang w:bidi="ar"/>
              </w:rPr>
            </w:pPr>
            <w:r>
              <w:rPr>
                <w:rStyle w:val="244"/>
                <w:rFonts w:hint="default" w:ascii="Times New Roman" w:hAnsi="Times New Roman" w:eastAsia="新宋体" w:cs="Times New Roman"/>
                <w:color w:val="auto"/>
                <w:sz w:val="24"/>
                <w:szCs w:val="24"/>
                <w:highlight w:val="none"/>
                <w:u w:val="single"/>
                <w:lang w:eastAsia="zh-CN"/>
              </w:rPr>
              <w:t>根据类似项目</w:t>
            </w:r>
            <w:r>
              <w:rPr>
                <w:rFonts w:hint="default" w:ascii="Times New Roman" w:hAnsi="Times New Roman" w:cs="Times New Roman"/>
                <w:color w:val="auto"/>
                <w:sz w:val="24"/>
                <w:szCs w:val="24"/>
                <w:highlight w:val="none"/>
                <w:u w:val="single"/>
              </w:rPr>
              <w:t>《南宁化工集团有限公司搬迁的款土壤治理修复工程建设项目环境影响评价报告》</w:t>
            </w:r>
            <w:r>
              <w:rPr>
                <w:rFonts w:hint="eastAsia" w:ascii="Times New Roman" w:hAnsi="Times New Roman" w:cs="Times New Roman"/>
                <w:color w:val="auto"/>
                <w:sz w:val="24"/>
                <w:szCs w:val="24"/>
                <w:highlight w:val="none"/>
                <w:u w:val="single"/>
                <w:lang w:eastAsia="zh-CN"/>
              </w:rPr>
              <w:t>（</w:t>
            </w:r>
            <w:r>
              <w:rPr>
                <w:rFonts w:hint="eastAsia" w:ascii="Times New Roman" w:hAnsi="Times New Roman" w:cs="Times New Roman"/>
                <w:color w:val="auto"/>
                <w:sz w:val="24"/>
                <w:szCs w:val="24"/>
                <w:highlight w:val="none"/>
                <w:u w:val="single"/>
                <w:lang w:val="en-US" w:eastAsia="zh-CN"/>
              </w:rPr>
              <w:t>2016年6月</w:t>
            </w:r>
            <w:r>
              <w:rPr>
                <w:rFonts w:hint="eastAsia"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lang w:eastAsia="zh-CN"/>
              </w:rPr>
              <w:t>类比可知</w:t>
            </w:r>
            <w:r>
              <w:rPr>
                <w:rFonts w:hint="eastAsia" w:ascii="Times New Roman" w:hAnsi="Times New Roman" w:cs="Times New Roman"/>
                <w:color w:val="auto"/>
                <w:sz w:val="24"/>
                <w:szCs w:val="24"/>
                <w:highlight w:val="none"/>
                <w:u w:val="single"/>
                <w:lang w:eastAsia="zh-CN"/>
              </w:rPr>
              <w:t>，在采取喷洒</w:t>
            </w:r>
            <w:r>
              <w:rPr>
                <w:rFonts w:hint="eastAsia" w:ascii="Times New Roman" w:hAnsi="Times New Roman" w:cs="Times New Roman"/>
                <w:color w:val="auto"/>
                <w:sz w:val="24"/>
                <w:szCs w:val="24"/>
                <w:highlight w:val="none"/>
                <w:u w:val="single"/>
                <w:lang w:val="en-US" w:eastAsia="zh-CN"/>
              </w:rPr>
              <w:t>AC-645气味抑制剂、对开挖后的裸露土壤进行覆盖等</w:t>
            </w:r>
            <w:r>
              <w:rPr>
                <w:rFonts w:hint="eastAsia" w:ascii="Times New Roman" w:hAnsi="Times New Roman" w:cs="Times New Roman"/>
                <w:color w:val="auto"/>
                <w:sz w:val="24"/>
                <w:szCs w:val="24"/>
                <w:highlight w:val="none"/>
                <w:u w:val="single"/>
                <w:lang w:eastAsia="zh-CN"/>
              </w:rPr>
              <w:t>措施后异味对周边环境影响较小。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 w:val="0"/>
                <w:i w:val="0"/>
                <w:color w:val="auto"/>
                <w:kern w:val="2"/>
                <w:sz w:val="24"/>
                <w:szCs w:val="24"/>
                <w:u w:val="single"/>
                <w:lang w:val="en-US" w:eastAsia="zh-CN" w:bidi="ar-SA"/>
              </w:rPr>
            </w:pPr>
            <w:r>
              <w:rPr>
                <w:rFonts w:hint="default" w:ascii="Times New Roman" w:hAnsi="Times New Roman" w:eastAsia="宋体" w:cs="Times New Roman"/>
                <w:b w:val="0"/>
                <w:i w:val="0"/>
                <w:color w:val="auto"/>
                <w:kern w:val="2"/>
                <w:sz w:val="24"/>
                <w:szCs w:val="24"/>
                <w:u w:val="single"/>
                <w:lang w:val="en-US" w:eastAsia="zh-CN" w:bidi="ar-SA"/>
              </w:rPr>
              <w:t>综上，项目产生的异味经采取相应的处理措施后，排放量不大，厂界可以满足《恶臭污染物排放标准》（GB14554-93）厂界标准限值，对周围环境影响不大。</w:t>
            </w:r>
          </w:p>
          <w:p>
            <w:pPr>
              <w:pStyle w:val="2"/>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eastAsia" w:cs="Times New Roman"/>
                <w:b/>
                <w:bCs/>
                <w:i w:val="0"/>
                <w:color w:val="0000FF"/>
                <w:kern w:val="2"/>
                <w:sz w:val="24"/>
                <w:szCs w:val="24"/>
                <w:u w:val="single"/>
                <w:lang w:val="en-US" w:eastAsia="zh-CN" w:bidi="ar-SA"/>
              </w:rPr>
            </w:pPr>
            <w:r>
              <w:rPr>
                <w:rFonts w:hint="eastAsia" w:cs="Times New Roman"/>
                <w:b/>
                <w:bCs/>
                <w:i w:val="0"/>
                <w:color w:val="0000FF"/>
                <w:kern w:val="2"/>
                <w:sz w:val="24"/>
                <w:szCs w:val="24"/>
                <w:u w:val="single"/>
                <w:lang w:val="en-US" w:eastAsia="zh-CN" w:bidi="ar-SA"/>
              </w:rPr>
              <w:t>排气筒高度可行性分析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b w:val="0"/>
                <w:bCs w:val="0"/>
                <w:snapToGrid w:val="0"/>
                <w:color w:val="0000FF"/>
                <w:kern w:val="0"/>
                <w:sz w:val="24"/>
                <w:szCs w:val="24"/>
                <w:u w:val="single"/>
                <w:lang w:val="en-US" w:eastAsia="zh-CN"/>
              </w:rPr>
            </w:pPr>
            <w:r>
              <w:rPr>
                <w:rFonts w:hint="eastAsia" w:hAnsi="宋体"/>
                <w:b w:val="0"/>
                <w:bCs w:val="0"/>
                <w:snapToGrid w:val="0"/>
                <w:color w:val="0000FF"/>
                <w:kern w:val="0"/>
                <w:sz w:val="24"/>
                <w:szCs w:val="24"/>
                <w:u w:val="single"/>
                <w:lang w:eastAsia="zh-CN"/>
              </w:rPr>
              <w:t>根据</w:t>
            </w:r>
            <w:r>
              <w:rPr>
                <w:rFonts w:hAnsi="宋体"/>
                <w:b w:val="0"/>
                <w:bCs w:val="0"/>
                <w:snapToGrid w:val="0"/>
                <w:color w:val="0000FF"/>
                <w:kern w:val="0"/>
                <w:sz w:val="24"/>
                <w:szCs w:val="24"/>
                <w:u w:val="single"/>
              </w:rPr>
              <w:t>《大气污染物综合排放标准》(GB16297-1996)</w:t>
            </w:r>
            <w:r>
              <w:rPr>
                <w:rFonts w:hint="eastAsia" w:hAnsi="宋体"/>
                <w:b w:val="0"/>
                <w:bCs w:val="0"/>
                <w:snapToGrid w:val="0"/>
                <w:color w:val="0000FF"/>
                <w:kern w:val="0"/>
                <w:sz w:val="24"/>
                <w:szCs w:val="24"/>
                <w:u w:val="single"/>
                <w:lang w:eastAsia="zh-CN"/>
              </w:rPr>
              <w:t>和</w:t>
            </w:r>
            <w:r>
              <w:rPr>
                <w:color w:val="0000FF"/>
                <w:sz w:val="24"/>
                <w:szCs w:val="24"/>
                <w:u w:val="single"/>
              </w:rPr>
              <w:fldChar w:fldCharType="begin"/>
            </w:r>
            <w:r>
              <w:rPr>
                <w:color w:val="0000FF"/>
                <w:sz w:val="24"/>
                <w:szCs w:val="24"/>
                <w:u w:val="single"/>
              </w:rPr>
              <w:instrText xml:space="preserve"> HYPERLINK "https://www.baidu.com/link?url=fqyCLL6en6lZGXqY8VyGy0pfQN88VjPnhx-yCGQwWnDsrGnTVbTZsVSutPZUEitw5wCWLfxFYMZXrkg1f9V1Z7aF5rYSxVIR8-5Y6ZmWTwi&amp;wd=&amp;eqid=ed54434d0000cb8a0000000259ef525f" \t "_blank" </w:instrText>
            </w:r>
            <w:r>
              <w:rPr>
                <w:color w:val="0000FF"/>
                <w:sz w:val="24"/>
                <w:szCs w:val="24"/>
                <w:u w:val="single"/>
              </w:rPr>
              <w:fldChar w:fldCharType="separate"/>
            </w:r>
            <w:r>
              <w:rPr>
                <w:rFonts w:hint="eastAsia" w:hAnsi="宋体"/>
                <w:b w:val="0"/>
                <w:bCs w:val="0"/>
                <w:snapToGrid w:val="0"/>
                <w:color w:val="0000FF"/>
                <w:kern w:val="0"/>
                <w:sz w:val="24"/>
                <w:szCs w:val="24"/>
                <w:u w:val="single"/>
              </w:rPr>
              <w:t>《</w:t>
            </w:r>
            <w:r>
              <w:rPr>
                <w:rFonts w:hAnsi="宋体"/>
                <w:b w:val="0"/>
                <w:bCs w:val="0"/>
                <w:snapToGrid w:val="0"/>
                <w:color w:val="0000FF"/>
                <w:kern w:val="0"/>
                <w:sz w:val="24"/>
                <w:szCs w:val="24"/>
                <w:u w:val="single"/>
              </w:rPr>
              <w:t>工业企业挥发性有机物排放控制标准</w:t>
            </w:r>
            <w:r>
              <w:rPr>
                <w:rFonts w:hint="eastAsia" w:hAnsi="宋体"/>
                <w:b w:val="0"/>
                <w:bCs w:val="0"/>
                <w:snapToGrid w:val="0"/>
                <w:color w:val="0000FF"/>
                <w:kern w:val="0"/>
                <w:sz w:val="24"/>
                <w:szCs w:val="24"/>
                <w:u w:val="single"/>
              </w:rPr>
              <w:t>》</w:t>
            </w:r>
            <w:r>
              <w:rPr>
                <w:rFonts w:hint="eastAsia" w:hAnsi="宋体"/>
                <w:b w:val="0"/>
                <w:bCs w:val="0"/>
                <w:snapToGrid w:val="0"/>
                <w:color w:val="0000FF"/>
                <w:kern w:val="0"/>
                <w:sz w:val="24"/>
                <w:szCs w:val="24"/>
                <w:u w:val="single"/>
              </w:rPr>
              <w:fldChar w:fldCharType="end"/>
            </w:r>
            <w:r>
              <w:rPr>
                <w:rFonts w:hint="eastAsia" w:hAnsi="宋体"/>
                <w:b w:val="0"/>
                <w:bCs w:val="0"/>
                <w:snapToGrid w:val="0"/>
                <w:color w:val="0000FF"/>
                <w:kern w:val="0"/>
                <w:sz w:val="24"/>
                <w:szCs w:val="24"/>
                <w:u w:val="single"/>
              </w:rPr>
              <w:t>（</w:t>
            </w:r>
            <w:r>
              <w:rPr>
                <w:rFonts w:hAnsi="宋体"/>
                <w:b w:val="0"/>
                <w:bCs w:val="0"/>
                <w:snapToGrid w:val="0"/>
                <w:color w:val="0000FF"/>
                <w:kern w:val="0"/>
                <w:sz w:val="24"/>
                <w:szCs w:val="24"/>
                <w:u w:val="single"/>
              </w:rPr>
              <w:t>DB12/524-2014</w:t>
            </w:r>
            <w:r>
              <w:rPr>
                <w:rFonts w:hint="eastAsia" w:hAnsi="宋体"/>
                <w:b w:val="0"/>
                <w:bCs w:val="0"/>
                <w:snapToGrid w:val="0"/>
                <w:color w:val="0000FF"/>
                <w:kern w:val="0"/>
                <w:sz w:val="24"/>
                <w:szCs w:val="24"/>
                <w:u w:val="single"/>
              </w:rPr>
              <w:t>）</w:t>
            </w:r>
            <w:r>
              <w:rPr>
                <w:rFonts w:hint="eastAsia" w:hAnsi="宋体"/>
                <w:b w:val="0"/>
                <w:bCs w:val="0"/>
                <w:snapToGrid w:val="0"/>
                <w:color w:val="0000FF"/>
                <w:kern w:val="0"/>
                <w:sz w:val="24"/>
                <w:szCs w:val="24"/>
                <w:u w:val="single"/>
                <w:lang w:eastAsia="zh-CN"/>
              </w:rPr>
              <w:t>可知，排气筒应高出</w:t>
            </w:r>
            <w:r>
              <w:rPr>
                <w:rFonts w:hint="eastAsia" w:hAnsi="宋体"/>
                <w:b w:val="0"/>
                <w:bCs w:val="0"/>
                <w:snapToGrid w:val="0"/>
                <w:color w:val="0000FF"/>
                <w:kern w:val="0"/>
                <w:sz w:val="24"/>
                <w:szCs w:val="24"/>
                <w:u w:val="single"/>
                <w:lang w:val="en-US" w:eastAsia="zh-CN"/>
              </w:rPr>
              <w:t>200m半径范围内的建筑5m以上，不能达到则排放速率标准值严格50%执行，由于本项目200m范围内有居民楼，且排气筒高度无法达到高出建筑5m以上，因此有组织排放速率严格50%执行，即颗粒物排放速率执行1.75kg/h、VOCs排放速率执行1.0kg/h。</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0000FF"/>
                <w:sz w:val="24"/>
                <w:szCs w:val="24"/>
                <w:highlight w:val="none"/>
                <w:u w:val="single"/>
                <w:lang w:val="en-US" w:eastAsia="zh-CN"/>
              </w:rPr>
            </w:pPr>
            <w:r>
              <w:rPr>
                <w:rFonts w:hint="eastAsia" w:hAnsi="宋体"/>
                <w:b w:val="0"/>
                <w:bCs w:val="0"/>
                <w:snapToGrid w:val="0"/>
                <w:color w:val="0000FF"/>
                <w:kern w:val="0"/>
                <w:sz w:val="24"/>
                <w:szCs w:val="24"/>
                <w:u w:val="single"/>
                <w:lang w:val="en-US" w:eastAsia="zh-CN"/>
              </w:rPr>
              <w:t>本项目有组织排放废气主要为负压大棚经处理后的废气，可知排放的主要为颗粒物和VOCs，根据工程分析可知，本项目颗粒物排放速率约为0.0067kg/h、VOCs排放速率约</w:t>
            </w:r>
            <w:r>
              <w:rPr>
                <w:rFonts w:hint="eastAsia" w:hAnsi="宋体"/>
                <w:b w:val="0"/>
                <w:bCs w:val="0"/>
                <w:snapToGrid w:val="0"/>
                <w:color w:val="0000FF"/>
                <w:kern w:val="0"/>
                <w:sz w:val="24"/>
                <w:szCs w:val="24"/>
                <w:highlight w:val="none"/>
                <w:u w:val="single"/>
                <w:lang w:val="en-US" w:eastAsia="zh-CN"/>
              </w:rPr>
              <w:t>为</w:t>
            </w:r>
            <w:r>
              <w:rPr>
                <w:color w:val="0000FF"/>
                <w:sz w:val="24"/>
                <w:szCs w:val="24"/>
                <w:highlight w:val="none"/>
                <w:u w:val="single"/>
              </w:rPr>
              <w:t>0.0</w:t>
            </w:r>
            <w:r>
              <w:rPr>
                <w:rFonts w:hint="eastAsia"/>
                <w:color w:val="0000FF"/>
                <w:sz w:val="24"/>
                <w:szCs w:val="24"/>
                <w:highlight w:val="none"/>
                <w:u w:val="single"/>
                <w:lang w:val="en-US" w:eastAsia="zh-CN"/>
              </w:rPr>
              <w:t>8</w:t>
            </w:r>
            <w:r>
              <w:rPr>
                <w:rFonts w:eastAsia="TimesNewRomanPSMT"/>
                <w:color w:val="0000FF"/>
                <w:sz w:val="24"/>
                <w:szCs w:val="24"/>
                <w:highlight w:val="none"/>
                <w:u w:val="single"/>
              </w:rPr>
              <w:t>×</w:t>
            </w:r>
            <w:r>
              <w:rPr>
                <w:color w:val="0000FF"/>
                <w:sz w:val="24"/>
                <w:szCs w:val="24"/>
                <w:highlight w:val="none"/>
                <w:u w:val="single"/>
              </w:rPr>
              <w:t>10</w:t>
            </w:r>
            <w:r>
              <w:rPr>
                <w:color w:val="0000FF"/>
                <w:sz w:val="24"/>
                <w:szCs w:val="24"/>
                <w:highlight w:val="none"/>
                <w:u w:val="single"/>
                <w:vertAlign w:val="superscript"/>
              </w:rPr>
              <w:t>-3</w:t>
            </w:r>
            <w:r>
              <w:rPr>
                <w:color w:val="0000FF"/>
                <w:sz w:val="24"/>
                <w:szCs w:val="24"/>
                <w:highlight w:val="none"/>
                <w:u w:val="single"/>
              </w:rPr>
              <w:t>Kg/h</w:t>
            </w:r>
            <w:r>
              <w:rPr>
                <w:rFonts w:hint="eastAsia"/>
                <w:color w:val="0000FF"/>
                <w:sz w:val="24"/>
                <w:szCs w:val="24"/>
                <w:highlight w:val="none"/>
                <w:u w:val="single"/>
                <w:lang w:eastAsia="zh-CN"/>
              </w:rPr>
              <w:t>，可知本项目设置</w:t>
            </w:r>
            <w:r>
              <w:rPr>
                <w:rFonts w:hint="eastAsia"/>
                <w:color w:val="0000FF"/>
                <w:sz w:val="24"/>
                <w:szCs w:val="24"/>
                <w:highlight w:val="none"/>
                <w:u w:val="single"/>
                <w:lang w:val="en-US" w:eastAsia="zh-CN"/>
              </w:rPr>
              <w:t>15m高排气筒污染物排放速率可以达到相关排放要求。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0000FF"/>
                <w:sz w:val="24"/>
                <w:szCs w:val="24"/>
                <w:highlight w:val="none"/>
                <w:u w:val="single"/>
                <w:lang w:val="en-US" w:eastAsia="zh-CN"/>
              </w:rPr>
            </w:pPr>
            <w:r>
              <w:rPr>
                <w:rFonts w:hint="eastAsia"/>
                <w:color w:val="0000FF"/>
                <w:sz w:val="24"/>
                <w:szCs w:val="24"/>
                <w:highlight w:val="none"/>
                <w:u w:val="single"/>
                <w:lang w:val="en-US" w:eastAsia="zh-CN"/>
              </w:rPr>
              <w:t>综上所述，本项目设置15m高排气筒合理可行。</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二、水环境影响分析</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1</w:t>
            </w:r>
            <w:r>
              <w:rPr>
                <w:rFonts w:hAnsi="宋体"/>
                <w:color w:val="auto"/>
                <w:sz w:val="24"/>
              </w:rPr>
              <w:t>）施工废水</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0000FF"/>
                <w:sz w:val="24"/>
                <w:u w:val="single"/>
                <w:lang w:val="zh-CN"/>
              </w:rPr>
            </w:pPr>
            <w:r>
              <w:rPr>
                <w:rFonts w:hint="eastAsia" w:hAnsi="宋体"/>
                <w:color w:val="auto"/>
                <w:sz w:val="24"/>
                <w:lang w:eastAsia="zh-CN"/>
              </w:rPr>
              <w:t>根据工程分析可知，</w:t>
            </w:r>
            <w:r>
              <w:rPr>
                <w:rFonts w:hAnsi="宋体"/>
                <w:color w:val="auto"/>
                <w:sz w:val="24"/>
              </w:rPr>
              <w:t>项目实施期的废水主要来源于</w:t>
            </w:r>
            <w:r>
              <w:rPr>
                <w:rFonts w:hint="eastAsia" w:hAnsi="宋体"/>
                <w:color w:val="auto"/>
                <w:sz w:val="24"/>
                <w:lang w:eastAsia="zh-CN"/>
              </w:rPr>
              <w:t>车辆清洗</w:t>
            </w:r>
            <w:r>
              <w:rPr>
                <w:rFonts w:hAnsi="宋体"/>
                <w:color w:val="auto"/>
                <w:sz w:val="24"/>
              </w:rPr>
              <w:t>废水</w:t>
            </w:r>
            <w:r>
              <w:rPr>
                <w:rFonts w:hint="eastAsia" w:hAnsi="宋体"/>
                <w:color w:val="auto"/>
                <w:sz w:val="24"/>
                <w:lang w:eastAsia="zh-CN"/>
              </w:rPr>
              <w:t>、</w:t>
            </w:r>
            <w:r>
              <w:rPr>
                <w:rFonts w:hint="eastAsia" w:hAnsi="宋体"/>
                <w:color w:val="auto"/>
                <w:sz w:val="24"/>
              </w:rPr>
              <w:t>场地雨水</w:t>
            </w:r>
            <w:r>
              <w:rPr>
                <w:rFonts w:hAnsi="宋体"/>
                <w:color w:val="auto"/>
                <w:sz w:val="24"/>
              </w:rPr>
              <w:t>和基坑废水，</w:t>
            </w:r>
            <w:r>
              <w:rPr>
                <w:rFonts w:hAnsi="宋体"/>
                <w:color w:val="auto"/>
                <w:sz w:val="24"/>
                <w:szCs w:val="22"/>
              </w:rPr>
              <w:t>合计</w:t>
            </w:r>
            <w:r>
              <w:rPr>
                <w:rFonts w:hint="eastAsia"/>
                <w:color w:val="auto"/>
                <w:sz w:val="24"/>
                <w:szCs w:val="22"/>
                <w:lang w:eastAsia="zh-CN"/>
              </w:rPr>
              <w:t>3244</w:t>
            </w:r>
            <w:r>
              <w:rPr>
                <w:color w:val="auto"/>
                <w:sz w:val="24"/>
                <w:lang w:val="zh-CN"/>
              </w:rPr>
              <w:t>m</w:t>
            </w:r>
            <w:r>
              <w:rPr>
                <w:color w:val="auto"/>
                <w:sz w:val="24"/>
                <w:vertAlign w:val="superscript"/>
                <w:lang w:val="zh-CN"/>
              </w:rPr>
              <w:t>3</w:t>
            </w:r>
            <w:r>
              <w:rPr>
                <w:rFonts w:hAnsi="宋体"/>
                <w:color w:val="auto"/>
                <w:sz w:val="24"/>
                <w:lang w:val="zh-CN"/>
              </w:rPr>
              <w:t>，</w:t>
            </w:r>
            <w:r>
              <w:rPr>
                <w:rFonts w:hint="eastAsia" w:hAnsi="宋体"/>
                <w:color w:val="auto"/>
                <w:sz w:val="24"/>
                <w:lang w:val="zh-CN"/>
              </w:rPr>
              <w:t>按施工</w:t>
            </w:r>
            <w:r>
              <w:rPr>
                <w:rFonts w:hint="eastAsia" w:hAnsi="宋体"/>
                <w:color w:val="auto"/>
                <w:sz w:val="24"/>
                <w:lang w:val="en-US" w:eastAsia="zh-CN"/>
              </w:rPr>
              <w:t>90天计算，</w:t>
            </w:r>
            <w:r>
              <w:rPr>
                <w:rFonts w:hAnsi="宋体"/>
                <w:color w:val="auto"/>
                <w:sz w:val="24"/>
              </w:rPr>
              <w:t>产生量约</w:t>
            </w:r>
            <w:r>
              <w:rPr>
                <w:rFonts w:hint="eastAsia"/>
                <w:color w:val="auto"/>
                <w:sz w:val="24"/>
                <w:szCs w:val="22"/>
                <w:lang w:val="en-US" w:eastAsia="zh-CN"/>
              </w:rPr>
              <w:t>36.04</w:t>
            </w:r>
            <w:r>
              <w:rPr>
                <w:color w:val="auto"/>
                <w:sz w:val="24"/>
                <w:lang w:val="zh-CN"/>
              </w:rPr>
              <w:t>m</w:t>
            </w:r>
            <w:r>
              <w:rPr>
                <w:color w:val="auto"/>
                <w:sz w:val="24"/>
                <w:vertAlign w:val="superscript"/>
                <w:lang w:val="zh-CN"/>
              </w:rPr>
              <w:t>3</w:t>
            </w:r>
            <w:r>
              <w:rPr>
                <w:color w:val="auto"/>
                <w:sz w:val="24"/>
                <w:lang w:val="zh-CN"/>
              </w:rPr>
              <w:t>/d</w:t>
            </w:r>
            <w:r>
              <w:rPr>
                <w:rFonts w:hAnsi="宋体"/>
                <w:color w:val="auto"/>
                <w:sz w:val="24"/>
                <w:szCs w:val="22"/>
              </w:rPr>
              <w:t>，</w:t>
            </w:r>
            <w:r>
              <w:rPr>
                <w:rFonts w:hAnsi="宋体"/>
                <w:color w:val="auto"/>
                <w:sz w:val="24"/>
                <w:lang w:val="zh-CN"/>
              </w:rPr>
              <w:t>主要污染物为</w:t>
            </w:r>
            <w:r>
              <w:rPr>
                <w:color w:val="auto"/>
                <w:sz w:val="24"/>
                <w:lang w:val="zh-CN"/>
              </w:rPr>
              <w:t>SS</w:t>
            </w:r>
            <w:r>
              <w:rPr>
                <w:rFonts w:hAnsi="宋体"/>
                <w:color w:val="auto"/>
                <w:sz w:val="24"/>
                <w:lang w:val="zh-CN"/>
              </w:rPr>
              <w:t>、石油类，还可能还有少量</w:t>
            </w:r>
            <w:r>
              <w:rPr>
                <w:rFonts w:hint="eastAsia" w:hAnsi="宋体"/>
                <w:color w:val="auto"/>
                <w:sz w:val="24"/>
                <w:lang w:val="zh-CN"/>
              </w:rPr>
              <w:t>有机物六六六及滴滴涕</w:t>
            </w:r>
            <w:r>
              <w:rPr>
                <w:rFonts w:hAnsi="宋体"/>
                <w:color w:val="auto"/>
                <w:sz w:val="24"/>
                <w:lang w:val="zh-CN"/>
              </w:rPr>
              <w:t>等</w:t>
            </w:r>
            <w:r>
              <w:rPr>
                <w:rFonts w:hint="eastAsia" w:hAnsi="宋体"/>
                <w:color w:val="0000FF"/>
                <w:sz w:val="24"/>
                <w:u w:val="single"/>
                <w:lang w:val="zh-CN"/>
              </w:rPr>
              <w:t>，另</w:t>
            </w:r>
            <w:r>
              <w:rPr>
                <w:rFonts w:hAnsi="宋体"/>
                <w:color w:val="0000FF"/>
                <w:sz w:val="24"/>
                <w:szCs w:val="22"/>
                <w:u w:val="single"/>
              </w:rPr>
              <w:t>降尘用水全部蒸发损耗，不外排</w:t>
            </w:r>
            <w:r>
              <w:rPr>
                <w:rFonts w:hAnsi="宋体"/>
                <w:color w:val="0000FF"/>
                <w:sz w:val="24"/>
                <w:u w:val="single"/>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0000FF"/>
                <w:sz w:val="24"/>
                <w:u w:val="single"/>
              </w:rPr>
            </w:pPr>
            <w:r>
              <w:rPr>
                <w:rFonts w:hint="eastAsia" w:hAnsi="宋体"/>
                <w:color w:val="0000FF"/>
                <w:sz w:val="24"/>
                <w:u w:val="single"/>
                <w:lang w:eastAsia="zh-CN"/>
              </w:rPr>
              <w:t>①</w:t>
            </w:r>
            <w:r>
              <w:rPr>
                <w:rFonts w:hAnsi="宋体"/>
                <w:color w:val="0000FF"/>
                <w:sz w:val="24"/>
                <w:u w:val="single"/>
              </w:rPr>
              <w:t>车辆清洗废水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Ansi="宋体"/>
                <w:color w:val="0000FF"/>
                <w:sz w:val="24"/>
                <w:szCs w:val="22"/>
                <w:u w:val="single"/>
              </w:rPr>
              <w:t>项目施工机械每天需清洗的数量为</w:t>
            </w:r>
            <w:r>
              <w:rPr>
                <w:color w:val="0000FF"/>
                <w:sz w:val="24"/>
                <w:szCs w:val="22"/>
                <w:u w:val="single"/>
              </w:rPr>
              <w:t>7</w:t>
            </w:r>
            <w:r>
              <w:rPr>
                <w:rFonts w:hAnsi="宋体"/>
                <w:color w:val="0000FF"/>
                <w:sz w:val="24"/>
                <w:szCs w:val="22"/>
                <w:u w:val="single"/>
              </w:rPr>
              <w:t>台，包括</w:t>
            </w:r>
            <w:r>
              <w:rPr>
                <w:color w:val="0000FF"/>
                <w:sz w:val="24"/>
                <w:szCs w:val="22"/>
                <w:u w:val="single"/>
              </w:rPr>
              <w:t>3</w:t>
            </w:r>
            <w:r>
              <w:rPr>
                <w:rFonts w:hAnsi="宋体"/>
                <w:color w:val="0000FF"/>
                <w:sz w:val="24"/>
                <w:szCs w:val="22"/>
                <w:u w:val="single"/>
              </w:rPr>
              <w:t>台挖机和</w:t>
            </w:r>
            <w:r>
              <w:rPr>
                <w:color w:val="0000FF"/>
                <w:sz w:val="24"/>
                <w:szCs w:val="22"/>
                <w:u w:val="single"/>
              </w:rPr>
              <w:t>4</w:t>
            </w:r>
            <w:r>
              <w:rPr>
                <w:rFonts w:hAnsi="宋体"/>
                <w:color w:val="0000FF"/>
                <w:sz w:val="24"/>
                <w:szCs w:val="22"/>
                <w:u w:val="single"/>
              </w:rPr>
              <w:t>台运输车。</w:t>
            </w:r>
            <w:r>
              <w:rPr>
                <w:rFonts w:hint="eastAsia" w:hAnsi="宋体"/>
                <w:color w:val="0000FF"/>
                <w:sz w:val="24"/>
                <w:szCs w:val="22"/>
                <w:u w:val="single"/>
                <w:lang w:val="en-US" w:eastAsia="zh-CN"/>
              </w:rPr>
              <w:t>由于六六六、滴滴涕均不溶于水，</w:t>
            </w:r>
            <w:r>
              <w:rPr>
                <w:rFonts w:hint="eastAsia" w:hAnsi="宋体"/>
                <w:color w:val="0000FF"/>
                <w:sz w:val="24"/>
                <w:szCs w:val="22"/>
                <w:u w:val="single"/>
                <w:lang w:eastAsia="zh-CN"/>
              </w:rPr>
              <w:t>车辆清洗废水主要污染物为</w:t>
            </w:r>
            <w:r>
              <w:rPr>
                <w:rFonts w:hint="eastAsia" w:hAnsi="宋体"/>
                <w:color w:val="0000FF"/>
                <w:sz w:val="24"/>
                <w:szCs w:val="22"/>
                <w:u w:val="single"/>
                <w:lang w:val="en-US" w:eastAsia="zh-CN"/>
              </w:rPr>
              <w:t>SS、石油类。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color w:val="0000FF"/>
                <w:u w:val="single"/>
                <w:lang w:eastAsia="zh-CN"/>
              </w:rPr>
            </w:pPr>
            <w:r>
              <w:rPr>
                <w:rFonts w:hAnsi="宋体"/>
                <w:color w:val="0000FF"/>
                <w:sz w:val="24"/>
                <w:szCs w:val="24"/>
                <w:u w:val="single"/>
              </w:rPr>
              <w:t>土壤治理产生的</w:t>
            </w:r>
            <w:r>
              <w:rPr>
                <w:rFonts w:hint="eastAsia" w:hAnsi="宋体"/>
                <w:color w:val="0000FF"/>
                <w:sz w:val="24"/>
                <w:szCs w:val="24"/>
                <w:u w:val="single"/>
              </w:rPr>
              <w:t>洗车废水</w:t>
            </w:r>
            <w:r>
              <w:rPr>
                <w:rFonts w:hAnsi="宋体"/>
                <w:color w:val="0000FF"/>
                <w:sz w:val="24"/>
                <w:szCs w:val="24"/>
                <w:u w:val="single"/>
              </w:rPr>
              <w:t>经</w:t>
            </w:r>
            <w:r>
              <w:rPr>
                <w:rFonts w:hint="eastAsia" w:hAnsi="宋体"/>
                <w:color w:val="0000FF"/>
                <w:sz w:val="24"/>
                <w:szCs w:val="24"/>
                <w:u w:val="single"/>
              </w:rPr>
              <w:t>截流沟、</w:t>
            </w:r>
            <w:r>
              <w:rPr>
                <w:rFonts w:hAnsi="宋体"/>
                <w:color w:val="0000FF"/>
                <w:sz w:val="24"/>
                <w:szCs w:val="24"/>
                <w:u w:val="single"/>
              </w:rPr>
              <w:t>废水收集管网送至废水收集池，经</w:t>
            </w:r>
            <w:r>
              <w:rPr>
                <w:rFonts w:hint="eastAsia" w:hAnsi="宋体"/>
                <w:color w:val="0000FF"/>
                <w:sz w:val="24"/>
                <w:szCs w:val="24"/>
                <w:u w:val="single"/>
              </w:rPr>
              <w:t>两级沉淀池处理后</w:t>
            </w:r>
            <w:r>
              <w:rPr>
                <w:rFonts w:hint="eastAsia" w:hAnsi="宋体"/>
                <w:color w:val="0000FF"/>
                <w:sz w:val="24"/>
                <w:szCs w:val="24"/>
                <w:u w:val="single"/>
                <w:lang w:eastAsia="zh-CN"/>
              </w:rPr>
              <w:t>经槽罐车</w:t>
            </w:r>
            <w:r>
              <w:rPr>
                <w:rFonts w:hint="eastAsia" w:hAnsi="宋体"/>
                <w:color w:val="0000FF"/>
                <w:sz w:val="24"/>
                <w:szCs w:val="24"/>
                <w:u w:val="single"/>
              </w:rPr>
              <w:t>运输至有处理能力的污水处理厂或企业污水处理装置处理，不外排</w:t>
            </w:r>
            <w:r>
              <w:rPr>
                <w:rFonts w:hint="eastAsia" w:hAnsi="宋体"/>
                <w:color w:val="0000FF"/>
                <w:sz w:val="24"/>
                <w:szCs w:val="22"/>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0000FF"/>
                <w:sz w:val="24"/>
                <w:szCs w:val="22"/>
                <w:u w:val="single"/>
              </w:rPr>
            </w:pPr>
            <w:r>
              <w:rPr>
                <w:rFonts w:hint="eastAsia" w:hAnsi="宋体"/>
                <w:color w:val="0000FF"/>
                <w:sz w:val="24"/>
                <w:szCs w:val="22"/>
                <w:u w:val="single"/>
                <w:lang w:eastAsia="zh-CN"/>
              </w:rPr>
              <w:t>②</w:t>
            </w:r>
            <w:r>
              <w:rPr>
                <w:rFonts w:hint="eastAsia" w:hAnsi="宋体"/>
                <w:color w:val="0000FF"/>
                <w:sz w:val="24"/>
                <w:szCs w:val="22"/>
                <w:u w:val="single"/>
              </w:rPr>
              <w:t>场地雨水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u w:val="single"/>
              </w:rPr>
            </w:pPr>
            <w:r>
              <w:rPr>
                <w:rFonts w:hint="eastAsia" w:hAnsi="宋体"/>
                <w:color w:val="0000FF"/>
                <w:sz w:val="24"/>
                <w:szCs w:val="22"/>
                <w:u w:val="single"/>
                <w:lang w:eastAsia="zh-CN"/>
              </w:rPr>
              <w:t>根据工程分析可知，</w:t>
            </w:r>
            <w:r>
              <w:rPr>
                <w:rFonts w:hint="eastAsia" w:hAnsi="宋体"/>
                <w:color w:val="0000FF"/>
                <w:sz w:val="24"/>
                <w:u w:val="single"/>
              </w:rPr>
              <w:t>项目施工期场地雨水量：</w:t>
            </w:r>
            <w:r>
              <w:rPr>
                <w:rFonts w:hint="eastAsia"/>
                <w:snapToGrid w:val="0"/>
                <w:color w:val="0000FF"/>
                <w:kern w:val="0"/>
                <w:sz w:val="24"/>
                <w:u w:val="single"/>
                <w:lang w:eastAsia="zh-CN"/>
              </w:rPr>
              <w:t>13539.777</w:t>
            </w:r>
            <w:r>
              <w:rPr>
                <w:snapToGrid w:val="0"/>
                <w:color w:val="0000FF"/>
                <w:kern w:val="0"/>
                <w:sz w:val="24"/>
                <w:u w:val="single"/>
              </w:rPr>
              <w:t>m</w:t>
            </w:r>
            <w:r>
              <w:rPr>
                <w:snapToGrid w:val="0"/>
                <w:color w:val="0000FF"/>
                <w:kern w:val="0"/>
                <w:sz w:val="24"/>
                <w:u w:val="single"/>
                <w:vertAlign w:val="superscript"/>
              </w:rPr>
              <w:t>2</w:t>
            </w:r>
            <w:r>
              <w:rPr>
                <w:rFonts w:hint="eastAsia"/>
                <w:snapToGrid w:val="0"/>
                <w:color w:val="0000FF"/>
                <w:kern w:val="0"/>
                <w:sz w:val="24"/>
                <w:u w:val="single"/>
              </w:rPr>
              <w:t>×1418mm×5%=</w:t>
            </w:r>
            <w:r>
              <w:rPr>
                <w:rFonts w:hint="eastAsia"/>
                <w:snapToGrid w:val="0"/>
                <w:color w:val="0000FF"/>
                <w:kern w:val="0"/>
                <w:sz w:val="24"/>
                <w:u w:val="single"/>
                <w:lang w:eastAsia="zh-CN"/>
              </w:rPr>
              <w:t>960</w:t>
            </w:r>
            <w:r>
              <w:rPr>
                <w:rFonts w:hint="eastAsia"/>
                <w:snapToGrid w:val="0"/>
                <w:color w:val="0000FF"/>
                <w:kern w:val="0"/>
                <w:sz w:val="24"/>
                <w:u w:val="single"/>
              </w:rPr>
              <w:t>m</w:t>
            </w:r>
            <w:r>
              <w:rPr>
                <w:rFonts w:hint="eastAsia"/>
                <w:snapToGrid w:val="0"/>
                <w:color w:val="0000FF"/>
                <w:kern w:val="0"/>
                <w:sz w:val="24"/>
                <w:u w:val="single"/>
                <w:vertAlign w:val="superscript"/>
              </w:rPr>
              <w:t>3</w:t>
            </w:r>
            <w:r>
              <w:rPr>
                <w:rFonts w:hint="eastAsia"/>
                <w:snapToGrid w:val="0"/>
                <w:color w:val="0000FF"/>
                <w:kern w:val="0"/>
                <w:sz w:val="24"/>
                <w:u w:val="single"/>
              </w:rPr>
              <w:t>。设置一座</w:t>
            </w:r>
            <w:r>
              <w:rPr>
                <w:rFonts w:hint="eastAsia"/>
                <w:snapToGrid w:val="0"/>
                <w:color w:val="0000FF"/>
                <w:kern w:val="0"/>
                <w:sz w:val="24"/>
                <w:u w:val="single"/>
                <w:lang w:eastAsia="zh-CN"/>
              </w:rPr>
              <w:t>1000</w:t>
            </w:r>
            <w:r>
              <w:rPr>
                <w:color w:val="0000FF"/>
                <w:sz w:val="24"/>
                <w:szCs w:val="22"/>
                <w:u w:val="single"/>
              </w:rPr>
              <w:t xml:space="preserve"> m</w:t>
            </w:r>
            <w:r>
              <w:rPr>
                <w:color w:val="0000FF"/>
                <w:sz w:val="24"/>
                <w:szCs w:val="22"/>
                <w:u w:val="single"/>
                <w:vertAlign w:val="superscript"/>
              </w:rPr>
              <w:t>3</w:t>
            </w:r>
            <w:r>
              <w:rPr>
                <w:rFonts w:hint="eastAsia"/>
                <w:color w:val="0000FF"/>
                <w:sz w:val="24"/>
                <w:szCs w:val="22"/>
                <w:u w:val="single"/>
              </w:rPr>
              <w:t>的雨水收集池，同时设置收集系统，做好防渗工作，雨水经沉淀后部分回用于泼洒抑尘</w:t>
            </w:r>
            <w:r>
              <w:rPr>
                <w:rFonts w:hint="eastAsia" w:hAnsi="宋体"/>
                <w:color w:val="0000FF"/>
                <w:sz w:val="24"/>
                <w:u w:val="single"/>
                <w:lang w:eastAsia="zh-CN"/>
              </w:rPr>
              <w:t>，回用废水按</w:t>
            </w:r>
            <w:r>
              <w:rPr>
                <w:rFonts w:hint="eastAsia" w:hAnsi="宋体"/>
                <w:color w:val="0000FF"/>
                <w:sz w:val="24"/>
                <w:u w:val="single"/>
                <w:lang w:val="en-US" w:eastAsia="zh-CN"/>
              </w:rPr>
              <w:t>200m³计，剩余废水</w:t>
            </w:r>
            <w:r>
              <w:rPr>
                <w:rFonts w:hAnsi="宋体"/>
                <w:color w:val="0000FF"/>
                <w:sz w:val="24"/>
                <w:szCs w:val="24"/>
                <w:u w:val="single"/>
              </w:rPr>
              <w:t>经</w:t>
            </w:r>
            <w:r>
              <w:rPr>
                <w:rFonts w:hint="eastAsia" w:hAnsi="宋体"/>
                <w:color w:val="0000FF"/>
                <w:sz w:val="24"/>
                <w:szCs w:val="24"/>
                <w:u w:val="single"/>
              </w:rPr>
              <w:t>两级沉淀池处理后</w:t>
            </w:r>
            <w:r>
              <w:rPr>
                <w:rFonts w:hint="eastAsia" w:hAnsi="宋体"/>
                <w:color w:val="0000FF"/>
                <w:sz w:val="24"/>
                <w:szCs w:val="24"/>
                <w:u w:val="single"/>
                <w:lang w:eastAsia="zh-CN"/>
              </w:rPr>
              <w:t>经槽罐车</w:t>
            </w:r>
            <w:r>
              <w:rPr>
                <w:rFonts w:hint="eastAsia" w:hAnsi="宋体"/>
                <w:color w:val="0000FF"/>
                <w:sz w:val="24"/>
                <w:szCs w:val="24"/>
                <w:u w:val="single"/>
              </w:rPr>
              <w:t>运输至有处理能力的污水处理厂或企业污水处理装置处理，不外排</w:t>
            </w:r>
            <w:r>
              <w:rPr>
                <w:rFonts w:hint="eastAsia" w:hAnsi="宋体"/>
                <w:color w:val="0000FF"/>
                <w:sz w:val="24"/>
                <w:szCs w:val="22"/>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0000FF"/>
                <w:u w:val="single"/>
              </w:rPr>
            </w:pPr>
            <w:r>
              <w:rPr>
                <w:rFonts w:hint="eastAsia" w:hAnsi="宋体"/>
                <w:color w:val="0000FF"/>
                <w:sz w:val="24"/>
                <w:szCs w:val="22"/>
                <w:u w:val="single"/>
                <w:lang w:eastAsia="zh-CN"/>
              </w:rPr>
              <w:t>③</w:t>
            </w:r>
            <w:r>
              <w:rPr>
                <w:rFonts w:hAnsi="宋体"/>
                <w:color w:val="0000FF"/>
                <w:sz w:val="24"/>
                <w:szCs w:val="22"/>
                <w:u w:val="single"/>
              </w:rPr>
              <w:t>基坑废水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rPr>
            </w:pPr>
            <w:r>
              <w:rPr>
                <w:rFonts w:hint="eastAsia" w:hAnsi="宋体"/>
                <w:color w:val="0000FF"/>
                <w:sz w:val="24"/>
                <w:szCs w:val="22"/>
                <w:u w:val="single"/>
              </w:rPr>
              <w:t>根据开挖深度及土壤孔隙比，基坑降水约为3000</w:t>
            </w:r>
            <w:r>
              <w:rPr>
                <w:rFonts w:hint="eastAsia"/>
                <w:snapToGrid w:val="0"/>
                <w:color w:val="0000FF"/>
                <w:kern w:val="0"/>
                <w:sz w:val="24"/>
                <w:u w:val="single"/>
              </w:rPr>
              <w:t xml:space="preserve"> m</w:t>
            </w:r>
            <w:r>
              <w:rPr>
                <w:rFonts w:hint="eastAsia"/>
                <w:snapToGrid w:val="0"/>
                <w:color w:val="0000FF"/>
                <w:kern w:val="0"/>
                <w:sz w:val="24"/>
                <w:u w:val="single"/>
                <w:vertAlign w:val="superscript"/>
              </w:rPr>
              <w:t>3</w:t>
            </w:r>
            <w:r>
              <w:rPr>
                <w:rFonts w:hint="eastAsia"/>
                <w:snapToGrid w:val="0"/>
                <w:color w:val="0000FF"/>
                <w:kern w:val="0"/>
                <w:sz w:val="24"/>
                <w:u w:val="single"/>
                <w:vertAlign w:val="baseline"/>
                <w:lang w:eastAsia="zh-CN"/>
              </w:rPr>
              <w:t>，部分基坑废水</w:t>
            </w:r>
            <w:r>
              <w:rPr>
                <w:rFonts w:hint="eastAsia"/>
                <w:color w:val="0000FF"/>
                <w:sz w:val="24"/>
                <w:szCs w:val="22"/>
                <w:u w:val="single"/>
              </w:rPr>
              <w:t>回用于泼洒抑尘，</w:t>
            </w:r>
            <w:r>
              <w:rPr>
                <w:rFonts w:hint="eastAsia"/>
                <w:color w:val="0000FF"/>
                <w:sz w:val="24"/>
                <w:szCs w:val="22"/>
                <w:u w:val="single"/>
                <w:lang w:eastAsia="zh-CN"/>
              </w:rPr>
              <w:t>回用</w:t>
            </w:r>
            <w:r>
              <w:rPr>
                <w:rFonts w:hint="eastAsia"/>
                <w:color w:val="0000FF"/>
                <w:sz w:val="24"/>
                <w:szCs w:val="22"/>
                <w:u w:val="single"/>
              </w:rPr>
              <w:t>泼洒抑尘</w:t>
            </w:r>
            <w:r>
              <w:rPr>
                <w:rFonts w:hint="eastAsia"/>
                <w:color w:val="0000FF"/>
                <w:sz w:val="24"/>
                <w:szCs w:val="22"/>
                <w:u w:val="single"/>
                <w:lang w:eastAsia="zh-CN"/>
              </w:rPr>
              <w:t>按</w:t>
            </w:r>
            <w:r>
              <w:rPr>
                <w:rFonts w:hint="eastAsia"/>
                <w:color w:val="0000FF"/>
                <w:sz w:val="24"/>
                <w:szCs w:val="22"/>
                <w:u w:val="single"/>
                <w:lang w:val="en-US" w:eastAsia="zh-CN"/>
              </w:rPr>
              <w:t>600m³计，</w:t>
            </w:r>
            <w:r>
              <w:rPr>
                <w:rFonts w:hint="eastAsia" w:hAnsi="宋体"/>
                <w:color w:val="0000FF"/>
                <w:sz w:val="24"/>
                <w:szCs w:val="24"/>
                <w:u w:val="single"/>
              </w:rPr>
              <w:t>基坑</w:t>
            </w:r>
            <w:r>
              <w:rPr>
                <w:rFonts w:hAnsi="宋体"/>
                <w:color w:val="0000FF"/>
                <w:sz w:val="24"/>
                <w:szCs w:val="24"/>
                <w:u w:val="single"/>
              </w:rPr>
              <w:t>积水经</w:t>
            </w:r>
            <w:r>
              <w:rPr>
                <w:rFonts w:hint="eastAsia" w:hAnsi="宋体"/>
                <w:color w:val="0000FF"/>
                <w:sz w:val="24"/>
                <w:szCs w:val="24"/>
                <w:u w:val="single"/>
              </w:rPr>
              <w:t>截流沟、</w:t>
            </w:r>
            <w:r>
              <w:rPr>
                <w:rFonts w:hAnsi="宋体"/>
                <w:color w:val="0000FF"/>
                <w:sz w:val="24"/>
                <w:szCs w:val="24"/>
                <w:u w:val="single"/>
              </w:rPr>
              <w:t>废水收集管网送至废水收集池，经</w:t>
            </w:r>
            <w:r>
              <w:rPr>
                <w:rFonts w:hint="eastAsia" w:hAnsi="宋体"/>
                <w:color w:val="0000FF"/>
                <w:sz w:val="24"/>
                <w:szCs w:val="24"/>
                <w:u w:val="single"/>
              </w:rPr>
              <w:t>两级沉淀池处理后</w:t>
            </w:r>
            <w:r>
              <w:rPr>
                <w:rFonts w:hint="eastAsia" w:hAnsi="宋体"/>
                <w:color w:val="0000FF"/>
                <w:sz w:val="24"/>
                <w:szCs w:val="24"/>
                <w:u w:val="single"/>
                <w:lang w:eastAsia="zh-CN"/>
              </w:rPr>
              <w:t>经槽罐车</w:t>
            </w:r>
            <w:r>
              <w:rPr>
                <w:rFonts w:hint="eastAsia" w:hAnsi="宋体"/>
                <w:color w:val="0000FF"/>
                <w:sz w:val="24"/>
                <w:szCs w:val="24"/>
                <w:u w:val="single"/>
              </w:rPr>
              <w:t>运输至有处理能力的污水处理厂或企业污水处理装置处理，不外排</w:t>
            </w:r>
            <w:r>
              <w:rPr>
                <w:rFonts w:hint="eastAsia" w:hAnsi="宋体"/>
                <w:color w:val="0000FF"/>
                <w:sz w:val="24"/>
                <w:szCs w:val="22"/>
                <w:u w:val="singl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eastAsia="zh-CN"/>
              </w:rPr>
            </w:pPr>
            <w:r>
              <w:rPr>
                <w:rFonts w:hint="eastAsia" w:hAnsi="宋体"/>
                <w:color w:val="0000FF"/>
                <w:sz w:val="24"/>
                <w:szCs w:val="22"/>
                <w:u w:val="single"/>
                <w:lang w:eastAsia="zh-CN"/>
              </w:rPr>
              <w:t>综上所述，本项目施工废水对周边水环境影响较小。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b/>
                <w:bCs/>
                <w:color w:val="0000FF"/>
                <w:sz w:val="24"/>
                <w:szCs w:val="24"/>
                <w:u w:val="single"/>
              </w:rPr>
            </w:pPr>
            <w:r>
              <w:rPr>
                <w:b/>
                <w:bCs/>
                <w:color w:val="0000FF"/>
                <w:sz w:val="24"/>
                <w:szCs w:val="24"/>
                <w:u w:val="single"/>
              </w:rPr>
              <w:t>施工废水运输至有处理能力的污水处理厂或企业的可行性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eastAsia="zh-CN"/>
              </w:rPr>
            </w:pPr>
            <w:r>
              <w:rPr>
                <w:rFonts w:hint="eastAsia" w:hAnsi="宋体"/>
                <w:color w:val="0000FF"/>
                <w:sz w:val="24"/>
                <w:szCs w:val="22"/>
                <w:u w:val="single"/>
                <w:lang w:eastAsia="zh-CN"/>
              </w:rPr>
              <w:t>根据现场勘查及相关资料显示，目前市政管网已铺设至周边小区，尚未铺设到本项目所在地。若建设单位自行铺设管网，将施工废水导入市政污水管网中，主要有如下难度：①铺设工作量大，距离本项目最近的小区约</w:t>
            </w:r>
            <w:r>
              <w:rPr>
                <w:rFonts w:hint="eastAsia" w:hAnsi="宋体"/>
                <w:color w:val="0000FF"/>
                <w:sz w:val="24"/>
                <w:szCs w:val="22"/>
                <w:u w:val="single"/>
                <w:lang w:val="en-US" w:eastAsia="zh-CN"/>
              </w:rPr>
              <w:t>240m，但需横跨一条小河及一条道路（详见附图7）；</w:t>
            </w:r>
            <w:r>
              <w:rPr>
                <w:rFonts w:hint="eastAsia" w:hAnsi="宋体"/>
                <w:color w:val="0000FF"/>
                <w:sz w:val="24"/>
                <w:szCs w:val="22"/>
                <w:u w:val="single"/>
                <w:lang w:eastAsia="zh-CN"/>
              </w:rPr>
              <w:t>②项目土壤修复周期不长，若自行铺设管道后，又需拆除，恢复原状，建设成本较大；③若采用转运车将施工废水转运至附近市政管网，则不符合我国相关市政相关管理规定，也不符合平江县市政、环保等规定。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eastAsia="zh-CN"/>
              </w:rPr>
            </w:pPr>
            <w:r>
              <w:rPr>
                <w:rFonts w:hint="eastAsia" w:hAnsi="宋体"/>
                <w:color w:val="0000FF"/>
                <w:sz w:val="24"/>
                <w:szCs w:val="22"/>
                <w:u w:val="single"/>
                <w:lang w:eastAsia="zh-CN"/>
              </w:rPr>
              <w:t>因此本项目施工废水不宜直接或间接导入市政管网中，本环评建议采用槽罐车将施工废水转运至污水处理厂或企业进行处理。主要有如下考虑及优势：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0000FF"/>
                <w:sz w:val="24"/>
                <w:szCs w:val="22"/>
                <w:u w:val="single"/>
                <w:lang w:eastAsia="zh-CN"/>
              </w:rPr>
              <w:t>①根据相关资料显示，槽车规格一般为</w:t>
            </w:r>
            <w:r>
              <w:rPr>
                <w:rFonts w:hint="eastAsia" w:hAnsi="宋体"/>
                <w:color w:val="0000FF"/>
                <w:sz w:val="24"/>
                <w:szCs w:val="22"/>
                <w:u w:val="single"/>
                <w:lang w:val="en-US" w:eastAsia="zh-CN"/>
              </w:rPr>
              <w:t>30~50m³，建设单位可采用40m³规格槽车，可一次将废水转运至污水处理厂或相关企业内，工作量较小；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0000FF"/>
                <w:sz w:val="24"/>
                <w:szCs w:val="22"/>
                <w:u w:val="single"/>
                <w:lang w:val="en-US" w:eastAsia="zh-CN"/>
              </w:rPr>
              <w:t>②由于本项目施工期不长，因此槽车可自行租赁，或由污水接纳单位负责转。本环评从槽车转运废水专业性、费用经济性考虑，建议由污水接纳单位负责对本项目施工废水进行转运。施工期结束后槽车转运自行结束，不会产期其他后续费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0000FF"/>
                <w:sz w:val="24"/>
                <w:szCs w:val="22"/>
                <w:u w:val="single"/>
                <w:lang w:val="en-US" w:eastAsia="zh-CN"/>
              </w:rPr>
              <w:t>③本项目采用槽车转运施工废水不会对当地土壤开挖、破坏路基等，对环境造成的二次污染较小；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0000FF"/>
                <w:sz w:val="24"/>
                <w:szCs w:val="22"/>
                <w:u w:val="single"/>
                <w:lang w:val="en-US" w:eastAsia="zh-CN"/>
              </w:rPr>
              <w:t>④本项目施工废水采用槽车转运至污水处理厂或其他企业符合相关政策；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0000FF"/>
                <w:sz w:val="24"/>
                <w:szCs w:val="22"/>
                <w:u w:val="single"/>
                <w:lang w:val="en-US" w:eastAsia="zh-CN"/>
              </w:rPr>
              <w:t>⑤本项目施工废水主要污染物为SS、石油类以及极少量的六六六、滴滴涕，且该废水不属于危险废物，因此符合相关转运条件要求；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0000FF"/>
                <w:sz w:val="24"/>
                <w:szCs w:val="22"/>
                <w:u w:val="single"/>
                <w:lang w:val="en-US" w:eastAsia="zh-CN"/>
              </w:rPr>
              <w:t>⑥采用槽车转运至污水处理厂或其他企业时，将会设置相关转运台账，有利于相关环保部门对本项目施工废水排放情况进行监管。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hAnsi="宋体"/>
                <w:color w:val="0000FF"/>
                <w:sz w:val="24"/>
                <w:szCs w:val="22"/>
                <w:u w:val="single"/>
                <w:lang w:val="en-US" w:eastAsia="zh-CN"/>
              </w:rPr>
            </w:pPr>
            <w:r>
              <w:rPr>
                <w:rFonts w:hint="eastAsia" w:hAnsi="宋体"/>
                <w:color w:val="0000FF"/>
                <w:sz w:val="24"/>
                <w:szCs w:val="22"/>
                <w:u w:val="single"/>
                <w:lang w:val="en-US" w:eastAsia="zh-CN"/>
              </w:rPr>
              <w:t>综上所述，本项目施工废水采用槽车转运至污水处理厂或企业是合理、可行的。</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2</w:t>
            </w:r>
            <w:r>
              <w:rPr>
                <w:rFonts w:hAnsi="宋体"/>
                <w:color w:val="auto"/>
                <w:sz w:val="24"/>
              </w:rPr>
              <w:t>）生活污水</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
                <w:color w:val="auto"/>
                <w:sz w:val="24"/>
              </w:rPr>
            </w:pPr>
            <w:r>
              <w:rPr>
                <w:rFonts w:hAnsi="宋体"/>
                <w:color w:val="auto"/>
                <w:sz w:val="24"/>
              </w:rPr>
              <w:t>项目配置员工约</w:t>
            </w:r>
            <w:r>
              <w:rPr>
                <w:color w:val="auto"/>
                <w:sz w:val="24"/>
              </w:rPr>
              <w:t>20</w:t>
            </w:r>
            <w:r>
              <w:rPr>
                <w:rFonts w:hAnsi="宋体"/>
                <w:color w:val="auto"/>
                <w:sz w:val="24"/>
              </w:rPr>
              <w:t>人，均不在厂区内食宿。生活污水</w:t>
            </w:r>
            <w:r>
              <w:rPr>
                <w:rFonts w:hAnsi="宋体"/>
                <w:color w:val="auto"/>
                <w:kern w:val="0"/>
                <w:sz w:val="24"/>
              </w:rPr>
              <w:t>产量少，约</w:t>
            </w:r>
            <w:r>
              <w:rPr>
                <w:color w:val="auto"/>
                <w:sz w:val="24"/>
                <w:lang w:val="zh-CN"/>
              </w:rPr>
              <w:t>0.72m</w:t>
            </w:r>
            <w:r>
              <w:rPr>
                <w:color w:val="auto"/>
                <w:sz w:val="24"/>
                <w:vertAlign w:val="superscript"/>
                <w:lang w:val="zh-CN"/>
              </w:rPr>
              <w:t>3</w:t>
            </w:r>
            <w:r>
              <w:rPr>
                <w:color w:val="auto"/>
                <w:sz w:val="24"/>
                <w:lang w:val="zh-CN"/>
              </w:rPr>
              <w:t>/d(</w:t>
            </w:r>
            <w:r>
              <w:rPr>
                <w:rFonts w:hAnsi="宋体"/>
                <w:color w:val="auto"/>
                <w:sz w:val="24"/>
                <w:lang w:val="zh-CN"/>
              </w:rPr>
              <w:t>共计</w:t>
            </w:r>
            <w:r>
              <w:rPr>
                <w:color w:val="auto"/>
                <w:sz w:val="24"/>
                <w:lang w:val="zh-CN"/>
              </w:rPr>
              <w:t>86.4m</w:t>
            </w:r>
            <w:r>
              <w:rPr>
                <w:color w:val="auto"/>
                <w:sz w:val="24"/>
                <w:vertAlign w:val="superscript"/>
                <w:lang w:val="zh-CN"/>
              </w:rPr>
              <w:t>3</w:t>
            </w:r>
            <w:r>
              <w:rPr>
                <w:color w:val="auto"/>
                <w:sz w:val="24"/>
                <w:lang w:val="zh-CN"/>
              </w:rPr>
              <w:t>)</w:t>
            </w:r>
            <w:r>
              <w:rPr>
                <w:rFonts w:hAnsi="宋体"/>
                <w:color w:val="auto"/>
                <w:sz w:val="24"/>
                <w:lang w:val="zh-CN"/>
              </w:rPr>
              <w:t>，</w:t>
            </w:r>
            <w:r>
              <w:rPr>
                <w:rFonts w:hAnsi="宋体"/>
                <w:color w:val="auto"/>
                <w:kern w:val="0"/>
                <w:sz w:val="24"/>
              </w:rPr>
              <w:t>主要污染因子为</w:t>
            </w:r>
            <w:r>
              <w:rPr>
                <w:color w:val="auto"/>
                <w:sz w:val="24"/>
              </w:rPr>
              <w:t>COD</w:t>
            </w:r>
            <w:r>
              <w:rPr>
                <w:rFonts w:hAnsi="宋体"/>
                <w:color w:val="auto"/>
                <w:sz w:val="24"/>
              </w:rPr>
              <w:t>、</w:t>
            </w:r>
            <w:r>
              <w:rPr>
                <w:color w:val="auto"/>
                <w:sz w:val="24"/>
              </w:rPr>
              <w:t xml:space="preserve"> BOD</w:t>
            </w:r>
            <w:r>
              <w:rPr>
                <w:color w:val="auto"/>
                <w:sz w:val="24"/>
                <w:vertAlign w:val="subscript"/>
              </w:rPr>
              <w:t>5</w:t>
            </w:r>
            <w:r>
              <w:rPr>
                <w:rFonts w:hAnsi="宋体"/>
                <w:color w:val="auto"/>
                <w:sz w:val="24"/>
              </w:rPr>
              <w:t>、</w:t>
            </w:r>
            <w:r>
              <w:rPr>
                <w:color w:val="auto"/>
                <w:sz w:val="24"/>
              </w:rPr>
              <w:t>SS</w:t>
            </w:r>
            <w:r>
              <w:rPr>
                <w:rFonts w:hAnsi="宋体"/>
                <w:color w:val="auto"/>
                <w:sz w:val="24"/>
              </w:rPr>
              <w:t>、</w:t>
            </w:r>
            <w:r>
              <w:rPr>
                <w:color w:val="auto"/>
                <w:sz w:val="24"/>
              </w:rPr>
              <w:t>NH</w:t>
            </w:r>
            <w:r>
              <w:rPr>
                <w:color w:val="auto"/>
                <w:sz w:val="24"/>
                <w:vertAlign w:val="subscript"/>
              </w:rPr>
              <w:t>3</w:t>
            </w:r>
            <w:r>
              <w:rPr>
                <w:color w:val="auto"/>
                <w:sz w:val="24"/>
              </w:rPr>
              <w:t>-N</w:t>
            </w:r>
            <w:r>
              <w:rPr>
                <w:rFonts w:hAnsi="宋体"/>
                <w:color w:val="auto"/>
                <w:sz w:val="24"/>
              </w:rPr>
              <w:t>等。项目在</w:t>
            </w:r>
            <w:r>
              <w:rPr>
                <w:rFonts w:hint="eastAsia" w:hAnsi="宋体"/>
                <w:color w:val="auto"/>
                <w:sz w:val="24"/>
              </w:rPr>
              <w:t>处置大棚一侧</w:t>
            </w:r>
            <w:r>
              <w:rPr>
                <w:rFonts w:hAnsi="宋体"/>
                <w:color w:val="auto"/>
                <w:sz w:val="24"/>
              </w:rPr>
              <w:t>设置</w:t>
            </w:r>
            <w:r>
              <w:rPr>
                <w:rFonts w:hint="eastAsia" w:hAnsi="宋体"/>
                <w:color w:val="auto"/>
                <w:sz w:val="24"/>
              </w:rPr>
              <w:t>一座隔油池+化粪池</w:t>
            </w:r>
            <w:r>
              <w:rPr>
                <w:rFonts w:hAnsi="宋体"/>
                <w:color w:val="auto"/>
                <w:sz w:val="24"/>
              </w:rPr>
              <w:t>，员工生活污水经厂区</w:t>
            </w:r>
            <w:r>
              <w:rPr>
                <w:rFonts w:hAnsi="宋体"/>
                <w:bCs/>
                <w:color w:val="auto"/>
                <w:sz w:val="24"/>
              </w:rPr>
              <w:t>隔油隔渣</w:t>
            </w:r>
            <w:r>
              <w:rPr>
                <w:bCs/>
                <w:color w:val="auto"/>
                <w:sz w:val="24"/>
              </w:rPr>
              <w:t>+</w:t>
            </w:r>
            <w:r>
              <w:rPr>
                <w:rFonts w:hAnsi="宋体"/>
                <w:bCs/>
                <w:color w:val="auto"/>
                <w:sz w:val="24"/>
              </w:rPr>
              <w:t>化粪池处理后</w:t>
            </w:r>
            <w:bookmarkStart w:id="16" w:name="OLE_LINK6"/>
            <w:r>
              <w:rPr>
                <w:rFonts w:hAnsi="宋体"/>
                <w:bCs/>
                <w:color w:val="auto"/>
                <w:sz w:val="24"/>
              </w:rPr>
              <w:t>定期清掏，用作周边居民、农户耕地肥料，不直接排入周边地表水环境，对周边水环境影响较小。</w:t>
            </w:r>
            <w:bookmarkEnd w:id="16"/>
            <w:bookmarkStart w:id="17" w:name="OLE_LINK13"/>
          </w:p>
          <w:bookmarkEnd w:id="17"/>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Ansi="宋体"/>
                <w:color w:val="auto"/>
                <w:sz w:val="24"/>
              </w:rPr>
              <w:t>项目化粪池设计容积不小于</w:t>
            </w:r>
            <w:r>
              <w:rPr>
                <w:color w:val="auto"/>
                <w:sz w:val="24"/>
              </w:rPr>
              <w:t>6m</w:t>
            </w:r>
            <w:r>
              <w:rPr>
                <w:color w:val="auto"/>
                <w:sz w:val="24"/>
                <w:vertAlign w:val="superscript"/>
              </w:rPr>
              <w:t>3</w:t>
            </w:r>
            <w:r>
              <w:rPr>
                <w:rFonts w:hAnsi="宋体"/>
                <w:color w:val="auto"/>
                <w:sz w:val="24"/>
              </w:rPr>
              <w:t>，生活污水量约</w:t>
            </w:r>
            <w:r>
              <w:rPr>
                <w:color w:val="auto"/>
                <w:sz w:val="24"/>
                <w:lang w:val="zh-CN"/>
              </w:rPr>
              <w:t>0.72m</w:t>
            </w:r>
            <w:r>
              <w:rPr>
                <w:color w:val="auto"/>
                <w:sz w:val="24"/>
                <w:vertAlign w:val="superscript"/>
                <w:lang w:val="zh-CN"/>
              </w:rPr>
              <w:t>3</w:t>
            </w:r>
            <w:r>
              <w:rPr>
                <w:color w:val="auto"/>
                <w:sz w:val="24"/>
                <w:lang w:val="zh-CN"/>
              </w:rPr>
              <w:t>/d</w:t>
            </w:r>
            <w:r>
              <w:rPr>
                <w:rFonts w:hAnsi="宋体"/>
                <w:color w:val="auto"/>
                <w:sz w:val="24"/>
              </w:rPr>
              <w:t>，则污水化粪池有足够的容量收集、处理、储存生活污水，可储存</w:t>
            </w:r>
            <w:r>
              <w:rPr>
                <w:color w:val="auto"/>
                <w:sz w:val="24"/>
              </w:rPr>
              <w:t>8</w:t>
            </w:r>
            <w:r>
              <w:rPr>
                <w:rFonts w:hAnsi="宋体"/>
                <w:color w:val="auto"/>
                <w:sz w:val="24"/>
              </w:rPr>
              <w:t>天以上的生活污水量。根据《建筑给水排水设计规范》（</w:t>
            </w:r>
            <w:r>
              <w:rPr>
                <w:color w:val="auto"/>
                <w:sz w:val="24"/>
              </w:rPr>
              <w:t>GB50015-2003</w:t>
            </w:r>
            <w:r>
              <w:rPr>
                <w:rFonts w:hAnsi="宋体"/>
                <w:color w:val="auto"/>
                <w:sz w:val="24"/>
              </w:rPr>
              <w:t>），一般生活污水化粪池内停留时间为</w:t>
            </w:r>
            <w:r>
              <w:rPr>
                <w:color w:val="auto"/>
                <w:sz w:val="24"/>
              </w:rPr>
              <w:t>12h</w:t>
            </w:r>
            <w:r>
              <w:rPr>
                <w:rFonts w:hAnsi="宋体"/>
                <w:color w:val="auto"/>
                <w:sz w:val="24"/>
              </w:rPr>
              <w:t>～</w:t>
            </w:r>
            <w:r>
              <w:rPr>
                <w:color w:val="auto"/>
                <w:sz w:val="24"/>
              </w:rPr>
              <w:t>24h</w:t>
            </w:r>
            <w:r>
              <w:rPr>
                <w:rFonts w:hAnsi="宋体"/>
                <w:color w:val="auto"/>
                <w:sz w:val="24"/>
              </w:rPr>
              <w:t>，其处理效果如下：</w:t>
            </w:r>
            <w:r>
              <w:rPr>
                <w:color w:val="auto"/>
                <w:sz w:val="24"/>
              </w:rPr>
              <w:t>COD</w:t>
            </w:r>
            <w:r>
              <w:rPr>
                <w:color w:val="auto"/>
                <w:sz w:val="24"/>
                <w:vertAlign w:val="subscript"/>
              </w:rPr>
              <w:t>Cr</w:t>
            </w:r>
            <w:r>
              <w:rPr>
                <w:rFonts w:hAnsi="宋体"/>
                <w:color w:val="auto"/>
                <w:sz w:val="24"/>
              </w:rPr>
              <w:t>处理效率为</w:t>
            </w:r>
            <w:r>
              <w:rPr>
                <w:color w:val="auto"/>
                <w:sz w:val="24"/>
              </w:rPr>
              <w:t>10%</w:t>
            </w:r>
            <w:r>
              <w:rPr>
                <w:rFonts w:hAnsi="宋体"/>
                <w:color w:val="auto"/>
                <w:sz w:val="24"/>
              </w:rPr>
              <w:t>～</w:t>
            </w:r>
            <w:r>
              <w:rPr>
                <w:color w:val="auto"/>
                <w:sz w:val="24"/>
              </w:rPr>
              <w:t>20%</w:t>
            </w:r>
            <w:r>
              <w:rPr>
                <w:rFonts w:hAnsi="宋体"/>
                <w:color w:val="auto"/>
                <w:sz w:val="24"/>
              </w:rPr>
              <w:t>，</w:t>
            </w:r>
            <w:r>
              <w:rPr>
                <w:color w:val="auto"/>
                <w:sz w:val="24"/>
              </w:rPr>
              <w:t>BOD</w:t>
            </w:r>
            <w:r>
              <w:rPr>
                <w:color w:val="auto"/>
                <w:sz w:val="24"/>
                <w:vertAlign w:val="subscript"/>
              </w:rPr>
              <w:t>5</w:t>
            </w:r>
            <w:r>
              <w:rPr>
                <w:rFonts w:hAnsi="宋体"/>
                <w:color w:val="auto"/>
                <w:sz w:val="24"/>
              </w:rPr>
              <w:t>处理效率为</w:t>
            </w:r>
            <w:r>
              <w:rPr>
                <w:color w:val="auto"/>
                <w:sz w:val="24"/>
              </w:rPr>
              <w:t>15%</w:t>
            </w:r>
            <w:r>
              <w:rPr>
                <w:rFonts w:hAnsi="宋体"/>
                <w:color w:val="auto"/>
                <w:sz w:val="24"/>
              </w:rPr>
              <w:t>～</w:t>
            </w:r>
            <w:r>
              <w:rPr>
                <w:color w:val="auto"/>
                <w:sz w:val="24"/>
              </w:rPr>
              <w:t>20%</w:t>
            </w:r>
            <w:r>
              <w:rPr>
                <w:rFonts w:hAnsi="宋体"/>
                <w:color w:val="auto"/>
                <w:sz w:val="24"/>
              </w:rPr>
              <w:t>，</w:t>
            </w:r>
            <w:r>
              <w:rPr>
                <w:color w:val="auto"/>
                <w:sz w:val="24"/>
              </w:rPr>
              <w:t>SS</w:t>
            </w:r>
            <w:r>
              <w:rPr>
                <w:rFonts w:hAnsi="宋体"/>
                <w:color w:val="auto"/>
                <w:sz w:val="24"/>
              </w:rPr>
              <w:t>处理效率为</w:t>
            </w:r>
            <w:r>
              <w:rPr>
                <w:color w:val="auto"/>
                <w:sz w:val="24"/>
              </w:rPr>
              <w:t>50%</w:t>
            </w:r>
            <w:r>
              <w:rPr>
                <w:rFonts w:hAnsi="宋体"/>
                <w:color w:val="auto"/>
                <w:sz w:val="24"/>
              </w:rPr>
              <w:t>～</w:t>
            </w:r>
            <w:r>
              <w:rPr>
                <w:color w:val="auto"/>
                <w:sz w:val="24"/>
              </w:rPr>
              <w:t>60%</w:t>
            </w:r>
            <w:r>
              <w:rPr>
                <w:rFonts w:hAnsi="宋体"/>
                <w:color w:val="auto"/>
                <w:sz w:val="24"/>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int="eastAsia" w:hAnsi="宋体"/>
                <w:color w:val="auto"/>
                <w:sz w:val="24"/>
              </w:rPr>
              <w:t>本项目南侧居民点处有农田、旱地约4亩，水稻种植用水定额按230m</w:t>
            </w:r>
            <w:r>
              <w:rPr>
                <w:rFonts w:hint="eastAsia" w:hAnsi="宋体"/>
                <w:color w:val="auto"/>
                <w:sz w:val="24"/>
                <w:vertAlign w:val="superscript"/>
              </w:rPr>
              <w:t>3</w:t>
            </w:r>
            <w:r>
              <w:rPr>
                <w:rFonts w:hint="eastAsia" w:hAnsi="宋体"/>
                <w:color w:val="auto"/>
                <w:sz w:val="24"/>
              </w:rPr>
              <w:t>/667m</w:t>
            </w:r>
            <w:r>
              <w:rPr>
                <w:rFonts w:hint="eastAsia" w:hAnsi="宋体"/>
                <w:color w:val="auto"/>
                <w:sz w:val="24"/>
                <w:vertAlign w:val="superscript"/>
              </w:rPr>
              <w:t>2</w:t>
            </w:r>
            <w:r>
              <w:rPr>
                <w:rFonts w:hint="eastAsia" w:hAnsi="宋体"/>
                <w:color w:val="auto"/>
                <w:sz w:val="24"/>
              </w:rPr>
              <w:t>﹒a，周边农田灌溉用水量为460m</w:t>
            </w:r>
            <w:r>
              <w:rPr>
                <w:rFonts w:hint="eastAsia" w:hAnsi="宋体"/>
                <w:color w:val="auto"/>
                <w:sz w:val="24"/>
                <w:vertAlign w:val="superscript"/>
              </w:rPr>
              <w:t>3</w:t>
            </w:r>
            <w:r>
              <w:rPr>
                <w:rFonts w:hint="eastAsia" w:hAnsi="宋体"/>
                <w:color w:val="auto"/>
                <w:sz w:val="24"/>
              </w:rPr>
              <w:t>/a，本项目生活污水量约86.4m</w:t>
            </w:r>
            <w:r>
              <w:rPr>
                <w:rFonts w:hint="eastAsia" w:hAnsi="宋体"/>
                <w:color w:val="auto"/>
                <w:sz w:val="24"/>
                <w:vertAlign w:val="superscript"/>
              </w:rPr>
              <w:t>3</w:t>
            </w:r>
            <w:r>
              <w:rPr>
                <w:rFonts w:hint="eastAsia" w:hAnsi="宋体"/>
                <w:color w:val="auto"/>
                <w:sz w:val="24"/>
              </w:rPr>
              <w:t>，可完全被消纳。</w:t>
            </w:r>
            <w:r>
              <w:rPr>
                <w:rFonts w:hAnsi="宋体"/>
                <w:color w:val="auto"/>
                <w:sz w:val="24"/>
              </w:rPr>
              <w:t>本项目生活污水经过隔油隔渣</w:t>
            </w:r>
            <w:r>
              <w:rPr>
                <w:color w:val="auto"/>
                <w:sz w:val="24"/>
              </w:rPr>
              <w:t>+</w:t>
            </w:r>
            <w:r>
              <w:rPr>
                <w:rFonts w:hAnsi="宋体"/>
                <w:color w:val="auto"/>
                <w:sz w:val="24"/>
              </w:rPr>
              <w:t>化粪池处理后，其污染物浓度大大降低，处理后</w:t>
            </w:r>
            <w:r>
              <w:rPr>
                <w:rFonts w:hAnsi="宋体"/>
                <w:bCs/>
                <w:color w:val="auto"/>
                <w:sz w:val="24"/>
              </w:rPr>
              <w:t>定期清掏，用作周边居民、农户耕地肥料，不直接排入周边地表水环境</w:t>
            </w:r>
            <w:r>
              <w:rPr>
                <w:rFonts w:hAnsi="宋体"/>
                <w:color w:val="auto"/>
                <w:sz w:val="24"/>
              </w:rPr>
              <w:t>，对外环境影响不大。</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auto"/>
                <w:sz w:val="24"/>
              </w:rPr>
              <w:t>（</w:t>
            </w:r>
            <w:r>
              <w:rPr>
                <w:color w:val="auto"/>
                <w:sz w:val="24"/>
              </w:rPr>
              <w:t>3</w:t>
            </w:r>
            <w:r>
              <w:rPr>
                <w:rFonts w:hAnsi="宋体"/>
                <w:color w:val="auto"/>
                <w:sz w:val="24"/>
              </w:rPr>
              <w:t>）地下水防渗</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Ansi="宋体"/>
                <w:color w:val="FF0000"/>
                <w:sz w:val="24"/>
                <w:u w:val="single"/>
              </w:rPr>
              <w:t>项目在土壤污染区</w:t>
            </w:r>
            <w:r>
              <w:rPr>
                <w:rFonts w:hint="eastAsia" w:hAnsi="宋体"/>
                <w:color w:val="FF0000"/>
                <w:sz w:val="24"/>
                <w:u w:val="single"/>
                <w:lang w:eastAsia="zh-CN"/>
              </w:rPr>
              <w:t>北</w:t>
            </w:r>
            <w:r>
              <w:rPr>
                <w:rFonts w:hAnsi="宋体"/>
                <w:color w:val="FF0000"/>
                <w:sz w:val="24"/>
                <w:u w:val="single"/>
              </w:rPr>
              <w:t>侧约</w:t>
            </w:r>
            <w:r>
              <w:rPr>
                <w:rFonts w:hint="eastAsia" w:hAnsi="宋体"/>
                <w:color w:val="FF0000"/>
                <w:sz w:val="24"/>
                <w:u w:val="single"/>
                <w:lang w:val="en-US" w:eastAsia="zh-CN"/>
              </w:rPr>
              <w:t>5</w:t>
            </w:r>
            <w:r>
              <w:rPr>
                <w:color w:val="FF0000"/>
                <w:sz w:val="24"/>
                <w:u w:val="single"/>
              </w:rPr>
              <w:t>m</w:t>
            </w:r>
            <w:r>
              <w:rPr>
                <w:rFonts w:hAnsi="宋体"/>
                <w:color w:val="FF0000"/>
                <w:sz w:val="24"/>
                <w:u w:val="single"/>
              </w:rPr>
              <w:t>处设置</w:t>
            </w:r>
            <w:r>
              <w:rPr>
                <w:rFonts w:hint="eastAsia" w:hAnsi="宋体"/>
                <w:color w:val="FF0000"/>
                <w:sz w:val="24"/>
                <w:u w:val="single"/>
              </w:rPr>
              <w:t>负压处置大棚</w:t>
            </w:r>
            <w:r>
              <w:rPr>
                <w:rFonts w:hAnsi="宋体"/>
                <w:color w:val="auto"/>
                <w:sz w:val="24"/>
              </w:rPr>
              <w:t>，对土壤进行修复处理。为了防止</w:t>
            </w:r>
            <w:r>
              <w:rPr>
                <w:rFonts w:hint="eastAsia" w:hAnsi="宋体"/>
                <w:color w:val="auto"/>
                <w:sz w:val="24"/>
              </w:rPr>
              <w:t>修复大棚</w:t>
            </w:r>
            <w:r>
              <w:rPr>
                <w:rFonts w:hAnsi="宋体"/>
                <w:color w:val="auto"/>
                <w:sz w:val="24"/>
              </w:rPr>
              <w:t>中土壤堆放对底部未污染区域土壤产生影响，应以整个</w:t>
            </w:r>
            <w:r>
              <w:rPr>
                <w:rFonts w:hint="eastAsia" w:hAnsi="宋体"/>
                <w:color w:val="auto"/>
                <w:sz w:val="24"/>
              </w:rPr>
              <w:t>负压大棚</w:t>
            </w:r>
            <w:r>
              <w:rPr>
                <w:rFonts w:hAnsi="宋体"/>
                <w:color w:val="auto"/>
                <w:sz w:val="24"/>
              </w:rPr>
              <w:t>为单位，完成地面基础防渗工程。</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int="eastAsia" w:hAnsi="宋体"/>
                <w:color w:val="auto"/>
                <w:sz w:val="24"/>
              </w:rPr>
              <w:t>负压处置大棚</w:t>
            </w:r>
            <w:r>
              <w:rPr>
                <w:rFonts w:hAnsi="宋体"/>
                <w:color w:val="auto"/>
                <w:sz w:val="24"/>
              </w:rPr>
              <w:t>共占地</w:t>
            </w:r>
            <w:r>
              <w:rPr>
                <w:rFonts w:hint="eastAsia" w:hAnsi="宋体"/>
                <w:color w:val="auto"/>
                <w:sz w:val="24"/>
              </w:rPr>
              <w:t>1</w:t>
            </w:r>
            <w:r>
              <w:rPr>
                <w:color w:val="auto"/>
                <w:sz w:val="24"/>
              </w:rPr>
              <w:t>800m</w:t>
            </w:r>
            <w:r>
              <w:rPr>
                <w:color w:val="auto"/>
                <w:sz w:val="24"/>
                <w:vertAlign w:val="superscript"/>
              </w:rPr>
              <w:t>2</w:t>
            </w:r>
            <w:r>
              <w:rPr>
                <w:rFonts w:hAnsi="宋体"/>
                <w:color w:val="auto"/>
                <w:sz w:val="24"/>
              </w:rPr>
              <w:t>，地面采用</w:t>
            </w:r>
            <w:r>
              <w:rPr>
                <w:color w:val="auto"/>
                <w:sz w:val="24"/>
              </w:rPr>
              <w:t>20cm</w:t>
            </w:r>
            <w:r>
              <w:rPr>
                <w:rFonts w:hAnsi="宋体"/>
                <w:color w:val="auto"/>
                <w:sz w:val="24"/>
              </w:rPr>
              <w:t>厚</w:t>
            </w:r>
            <w:r>
              <w:rPr>
                <w:color w:val="auto"/>
                <w:sz w:val="24"/>
              </w:rPr>
              <w:t>C30</w:t>
            </w:r>
            <w:r>
              <w:rPr>
                <w:rFonts w:hAnsi="宋体"/>
                <w:color w:val="auto"/>
                <w:sz w:val="24"/>
              </w:rPr>
              <w:t>水泥混凝土，</w:t>
            </w:r>
            <w:r>
              <w:rPr>
                <w:color w:val="auto"/>
                <w:sz w:val="24"/>
              </w:rPr>
              <w:t>20cm</w:t>
            </w:r>
            <w:r>
              <w:rPr>
                <w:rFonts w:hAnsi="宋体"/>
                <w:color w:val="auto"/>
                <w:sz w:val="24"/>
              </w:rPr>
              <w:t>厚</w:t>
            </w:r>
            <w:r>
              <w:rPr>
                <w:color w:val="auto"/>
                <w:sz w:val="24"/>
              </w:rPr>
              <w:t>5%</w:t>
            </w:r>
            <w:r>
              <w:rPr>
                <w:rFonts w:hAnsi="宋体"/>
                <w:color w:val="auto"/>
                <w:sz w:val="24"/>
              </w:rPr>
              <w:t>水泥稳定碎石上基层。</w:t>
            </w:r>
            <w:r>
              <w:rPr>
                <w:rFonts w:hint="eastAsia" w:hAnsi="宋体"/>
                <w:color w:val="auto"/>
                <w:sz w:val="24"/>
              </w:rPr>
              <w:t>修复后的土壤暂存区</w:t>
            </w:r>
            <w:r>
              <w:rPr>
                <w:rFonts w:hAnsi="宋体"/>
                <w:color w:val="auto"/>
                <w:sz w:val="24"/>
              </w:rPr>
              <w:t>地面做防渗处理，</w:t>
            </w:r>
            <w:r>
              <w:rPr>
                <w:rFonts w:hint="eastAsia" w:hAnsi="宋体"/>
                <w:color w:val="auto"/>
                <w:sz w:val="24"/>
              </w:rPr>
              <w:t>占地约800</w:t>
            </w:r>
            <w:r>
              <w:rPr>
                <w:color w:val="auto"/>
                <w:sz w:val="24"/>
              </w:rPr>
              <w:t xml:space="preserve"> m</w:t>
            </w:r>
            <w:r>
              <w:rPr>
                <w:color w:val="auto"/>
                <w:sz w:val="24"/>
                <w:vertAlign w:val="superscript"/>
              </w:rPr>
              <w:t>2</w:t>
            </w:r>
            <w:r>
              <w:rPr>
                <w:rFonts w:hint="eastAsia"/>
                <w:color w:val="auto"/>
                <w:sz w:val="24"/>
              </w:rPr>
              <w:t>，</w:t>
            </w:r>
            <w:r>
              <w:rPr>
                <w:rFonts w:hAnsi="宋体"/>
                <w:color w:val="auto"/>
                <w:sz w:val="24"/>
              </w:rPr>
              <w:t>敷设防渗透性能良好的厚度</w:t>
            </w:r>
            <w:r>
              <w:rPr>
                <w:color w:val="auto"/>
                <w:sz w:val="24"/>
              </w:rPr>
              <w:t>1.5mm</w:t>
            </w:r>
            <w:r>
              <w:rPr>
                <w:rFonts w:hAnsi="宋体"/>
                <w:color w:val="auto"/>
                <w:sz w:val="24"/>
              </w:rPr>
              <w:t>的</w:t>
            </w:r>
            <w:r>
              <w:rPr>
                <w:color w:val="auto"/>
                <w:sz w:val="24"/>
              </w:rPr>
              <w:t>HDPE</w:t>
            </w:r>
            <w:r>
              <w:rPr>
                <w:rFonts w:hAnsi="宋体"/>
                <w:color w:val="auto"/>
                <w:sz w:val="24"/>
              </w:rPr>
              <w:t>薄膜，防止修复后的土壤与原土接触。</w:t>
            </w:r>
            <w:r>
              <w:rPr>
                <w:rFonts w:hint="eastAsia" w:hAnsi="宋体"/>
                <w:color w:val="auto"/>
                <w:sz w:val="24"/>
              </w:rPr>
              <w:t>修复场地，基坑底部和侧壁采用黏土做好防渗工作，粘土厚度不小于1.5m。</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rPr>
            </w:pPr>
            <w:r>
              <w:rPr>
                <w:rFonts w:hint="eastAsia" w:hAnsi="宋体"/>
                <w:color w:val="auto"/>
                <w:sz w:val="24"/>
              </w:rPr>
              <w:t>另外，土壤修复后在本项目场地地下水水文场下游设置一个地下水跟踪监测井，定期监测地下水水质变化情况，监测因子包括</w:t>
            </w:r>
            <w:r>
              <w:rPr>
                <w:color w:val="auto"/>
                <w:sz w:val="24"/>
              </w:rPr>
              <w:t>pH</w:t>
            </w:r>
            <w:r>
              <w:rPr>
                <w:rFonts w:hAnsi="宋体"/>
                <w:color w:val="auto"/>
                <w:sz w:val="24"/>
              </w:rPr>
              <w:t>、</w:t>
            </w:r>
            <w:r>
              <w:rPr>
                <w:rFonts w:hAnsi="宋体"/>
                <w:color w:val="auto"/>
                <w:sz w:val="24"/>
                <w:lang w:val="zh-TW"/>
              </w:rPr>
              <w:t>铜、铅、砷、锌、镉、六价铬、锑等</w:t>
            </w:r>
            <w:r>
              <w:rPr>
                <w:rFonts w:hint="eastAsia" w:hAnsi="宋体"/>
                <w:color w:val="auto"/>
                <w:sz w:val="24"/>
                <w:lang w:val="zh-TW"/>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color w:val="auto"/>
                <w:sz w:val="24"/>
              </w:rPr>
            </w:pPr>
            <w:r>
              <w:rPr>
                <w:rFonts w:hAnsi="宋体"/>
                <w:color w:val="auto"/>
                <w:sz w:val="24"/>
              </w:rPr>
              <w:t>经以上防渗措施处理后，</w:t>
            </w:r>
            <w:r>
              <w:rPr>
                <w:rFonts w:hint="eastAsia" w:hAnsi="宋体"/>
                <w:color w:val="auto"/>
                <w:sz w:val="24"/>
              </w:rPr>
              <w:t>修复后土壤回填原基坑后，防止修复后土壤和为污染的土壤接触</w:t>
            </w:r>
            <w:r>
              <w:rPr>
                <w:rFonts w:hAnsi="宋体"/>
                <w:color w:val="auto"/>
                <w:sz w:val="24"/>
              </w:rPr>
              <w:t>，也不会对未污染区域地下水产生影响。</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三、噪声环境影响分析</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hAnsi="宋体" w:eastAsia="宋体"/>
                <w:color w:val="auto"/>
                <w:sz w:val="24"/>
                <w:lang w:val="en-US" w:eastAsia="zh-CN"/>
              </w:rPr>
            </w:pPr>
            <w:r>
              <w:rPr>
                <w:rFonts w:hint="eastAsia" w:hAnsi="宋体"/>
                <w:color w:val="auto"/>
                <w:sz w:val="24"/>
                <w:lang w:val="en-US" w:eastAsia="zh-CN"/>
              </w:rPr>
              <w:t>1、噪声环境影响</w:t>
            </w:r>
          </w:p>
          <w:p>
            <w:pPr>
              <w:pStyle w:val="2"/>
              <w:keepNext w:val="0"/>
              <w:keepLines w:val="0"/>
              <w:pageBreakBefore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color w:val="auto"/>
                <w:sz w:val="24"/>
              </w:rPr>
            </w:pPr>
            <w:r>
              <w:rPr>
                <w:rFonts w:hAnsi="宋体"/>
                <w:color w:val="auto"/>
                <w:sz w:val="24"/>
              </w:rPr>
              <w:t>噪声主要来自施工设备及运输车辆等。施工期间产生的噪声具有阶段性、临时性和不固定性。采用衰减模式计算施工期间各种主要施工机械不同距离处的声级值如下。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表3</w:t>
            </w:r>
            <w:r>
              <w:rPr>
                <w:rFonts w:hint="eastAsia" w:hAnsi="宋体"/>
                <w:b/>
                <w:bCs/>
                <w:color w:val="auto"/>
                <w:u w:val="single"/>
                <w:lang w:val="en-US" w:eastAsia="zh-CN"/>
              </w:rPr>
              <w:t xml:space="preserve">6  </w:t>
            </w:r>
            <w:r>
              <w:rPr>
                <w:rFonts w:hAnsi="宋体"/>
                <w:b/>
                <w:bCs/>
                <w:color w:val="auto"/>
                <w:u w:val="single"/>
              </w:rPr>
              <w:t>距施工机械不同距离处的噪声值单位：dB(A)</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75"/>
              <w:gridCol w:w="583"/>
              <w:gridCol w:w="584"/>
              <w:gridCol w:w="583"/>
              <w:gridCol w:w="585"/>
              <w:gridCol w:w="584"/>
              <w:gridCol w:w="585"/>
              <w:gridCol w:w="584"/>
              <w:gridCol w:w="585"/>
              <w:gridCol w:w="584"/>
              <w:gridCol w:w="585"/>
              <w:gridCol w:w="583"/>
              <w:gridCol w:w="585"/>
              <w:gridCol w:w="5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475" w:type="dxa"/>
                  <w:vMerge w:val="restart"/>
                  <w:vAlign w:val="center"/>
                </w:tcPr>
                <w:p>
                  <w:pPr>
                    <w:widowControl/>
                    <w:jc w:val="center"/>
                    <w:rPr>
                      <w:color w:val="auto"/>
                      <w:kern w:val="0"/>
                      <w:sz w:val="21"/>
                      <w:szCs w:val="21"/>
                    </w:rPr>
                  </w:pPr>
                  <w:r>
                    <w:rPr>
                      <w:rFonts w:hAnsi="宋体"/>
                      <w:color w:val="auto"/>
                      <w:kern w:val="0"/>
                      <w:sz w:val="21"/>
                      <w:szCs w:val="21"/>
                    </w:rPr>
                    <w:t>施工机械</w:t>
                  </w:r>
                </w:p>
              </w:tc>
              <w:tc>
                <w:tcPr>
                  <w:tcW w:w="7595" w:type="dxa"/>
                  <w:gridSpan w:val="13"/>
                  <w:vAlign w:val="center"/>
                </w:tcPr>
                <w:p>
                  <w:pPr>
                    <w:widowControl/>
                    <w:jc w:val="center"/>
                    <w:rPr>
                      <w:color w:val="auto"/>
                      <w:kern w:val="0"/>
                      <w:sz w:val="21"/>
                      <w:szCs w:val="21"/>
                    </w:rPr>
                  </w:pPr>
                  <w:r>
                    <w:rPr>
                      <w:rFonts w:hAnsi="宋体"/>
                      <w:color w:val="auto"/>
                      <w:kern w:val="0"/>
                      <w:sz w:val="21"/>
                      <w:szCs w:val="21"/>
                    </w:rPr>
                    <w:t>距离</w:t>
                  </w:r>
                  <w:r>
                    <w:rPr>
                      <w:color w:val="auto"/>
                      <w:kern w:val="0"/>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475" w:type="dxa"/>
                  <w:vMerge w:val="continue"/>
                  <w:vAlign w:val="center"/>
                </w:tcPr>
                <w:p>
                  <w:pPr>
                    <w:widowControl/>
                    <w:jc w:val="center"/>
                    <w:rPr>
                      <w:color w:val="auto"/>
                      <w:kern w:val="0"/>
                      <w:sz w:val="21"/>
                      <w:szCs w:val="21"/>
                    </w:rPr>
                  </w:pPr>
                </w:p>
              </w:tc>
              <w:tc>
                <w:tcPr>
                  <w:tcW w:w="583" w:type="dxa"/>
                  <w:vAlign w:val="center"/>
                </w:tcPr>
                <w:p>
                  <w:pPr>
                    <w:widowControl/>
                    <w:jc w:val="center"/>
                    <w:rPr>
                      <w:color w:val="auto"/>
                      <w:kern w:val="0"/>
                      <w:sz w:val="21"/>
                      <w:szCs w:val="21"/>
                    </w:rPr>
                  </w:pPr>
                  <w:r>
                    <w:rPr>
                      <w:color w:val="auto"/>
                      <w:kern w:val="0"/>
                      <w:sz w:val="21"/>
                      <w:szCs w:val="21"/>
                    </w:rPr>
                    <w:t>5</w:t>
                  </w:r>
                </w:p>
              </w:tc>
              <w:tc>
                <w:tcPr>
                  <w:tcW w:w="584" w:type="dxa"/>
                  <w:vAlign w:val="center"/>
                </w:tcPr>
                <w:p>
                  <w:pPr>
                    <w:widowControl/>
                    <w:jc w:val="center"/>
                    <w:rPr>
                      <w:color w:val="auto"/>
                      <w:kern w:val="0"/>
                      <w:sz w:val="21"/>
                      <w:szCs w:val="21"/>
                    </w:rPr>
                  </w:pPr>
                  <w:r>
                    <w:rPr>
                      <w:color w:val="auto"/>
                      <w:kern w:val="0"/>
                      <w:sz w:val="21"/>
                      <w:szCs w:val="21"/>
                    </w:rPr>
                    <w:t>10</w:t>
                  </w:r>
                </w:p>
              </w:tc>
              <w:tc>
                <w:tcPr>
                  <w:tcW w:w="583" w:type="dxa"/>
                  <w:vAlign w:val="center"/>
                </w:tcPr>
                <w:p>
                  <w:pPr>
                    <w:widowControl/>
                    <w:jc w:val="center"/>
                    <w:rPr>
                      <w:color w:val="auto"/>
                      <w:kern w:val="0"/>
                      <w:sz w:val="21"/>
                      <w:szCs w:val="21"/>
                    </w:rPr>
                  </w:pPr>
                  <w:r>
                    <w:rPr>
                      <w:color w:val="auto"/>
                      <w:kern w:val="0"/>
                      <w:sz w:val="21"/>
                      <w:szCs w:val="21"/>
                    </w:rPr>
                    <w:t>20</w:t>
                  </w:r>
                </w:p>
              </w:tc>
              <w:tc>
                <w:tcPr>
                  <w:tcW w:w="585" w:type="dxa"/>
                  <w:vAlign w:val="center"/>
                </w:tcPr>
                <w:p>
                  <w:pPr>
                    <w:widowControl/>
                    <w:jc w:val="center"/>
                    <w:rPr>
                      <w:color w:val="auto"/>
                      <w:kern w:val="0"/>
                      <w:sz w:val="21"/>
                      <w:szCs w:val="21"/>
                    </w:rPr>
                  </w:pPr>
                  <w:r>
                    <w:rPr>
                      <w:color w:val="auto"/>
                      <w:kern w:val="0"/>
                      <w:sz w:val="21"/>
                      <w:szCs w:val="21"/>
                    </w:rPr>
                    <w:t>30</w:t>
                  </w:r>
                </w:p>
              </w:tc>
              <w:tc>
                <w:tcPr>
                  <w:tcW w:w="584" w:type="dxa"/>
                  <w:vAlign w:val="center"/>
                </w:tcPr>
                <w:p>
                  <w:pPr>
                    <w:widowControl/>
                    <w:jc w:val="center"/>
                    <w:rPr>
                      <w:color w:val="auto"/>
                      <w:kern w:val="0"/>
                      <w:sz w:val="21"/>
                      <w:szCs w:val="21"/>
                    </w:rPr>
                  </w:pPr>
                  <w:r>
                    <w:rPr>
                      <w:color w:val="auto"/>
                      <w:kern w:val="0"/>
                      <w:sz w:val="21"/>
                      <w:szCs w:val="21"/>
                    </w:rPr>
                    <w:t>50</w:t>
                  </w:r>
                </w:p>
              </w:tc>
              <w:tc>
                <w:tcPr>
                  <w:tcW w:w="585" w:type="dxa"/>
                  <w:vAlign w:val="center"/>
                </w:tcPr>
                <w:p>
                  <w:pPr>
                    <w:widowControl/>
                    <w:jc w:val="center"/>
                    <w:rPr>
                      <w:color w:val="auto"/>
                      <w:kern w:val="0"/>
                      <w:sz w:val="21"/>
                      <w:szCs w:val="21"/>
                    </w:rPr>
                  </w:pPr>
                  <w:r>
                    <w:rPr>
                      <w:color w:val="auto"/>
                      <w:kern w:val="0"/>
                      <w:sz w:val="21"/>
                      <w:szCs w:val="21"/>
                    </w:rPr>
                    <w:t>80</w:t>
                  </w:r>
                </w:p>
              </w:tc>
              <w:tc>
                <w:tcPr>
                  <w:tcW w:w="584" w:type="dxa"/>
                  <w:vAlign w:val="center"/>
                </w:tcPr>
                <w:p>
                  <w:pPr>
                    <w:widowControl/>
                    <w:jc w:val="center"/>
                    <w:rPr>
                      <w:color w:val="auto"/>
                      <w:kern w:val="0"/>
                      <w:sz w:val="21"/>
                      <w:szCs w:val="21"/>
                    </w:rPr>
                  </w:pPr>
                  <w:r>
                    <w:rPr>
                      <w:color w:val="auto"/>
                      <w:kern w:val="0"/>
                      <w:sz w:val="21"/>
                      <w:szCs w:val="21"/>
                    </w:rPr>
                    <w:t>100</w:t>
                  </w:r>
                </w:p>
              </w:tc>
              <w:tc>
                <w:tcPr>
                  <w:tcW w:w="585" w:type="dxa"/>
                  <w:vAlign w:val="center"/>
                </w:tcPr>
                <w:p>
                  <w:pPr>
                    <w:widowControl/>
                    <w:jc w:val="center"/>
                    <w:rPr>
                      <w:color w:val="auto"/>
                      <w:kern w:val="0"/>
                      <w:sz w:val="21"/>
                      <w:szCs w:val="21"/>
                    </w:rPr>
                  </w:pPr>
                  <w:r>
                    <w:rPr>
                      <w:color w:val="auto"/>
                      <w:kern w:val="0"/>
                      <w:sz w:val="21"/>
                      <w:szCs w:val="21"/>
                    </w:rPr>
                    <w:t>120</w:t>
                  </w:r>
                </w:p>
              </w:tc>
              <w:tc>
                <w:tcPr>
                  <w:tcW w:w="584" w:type="dxa"/>
                  <w:vAlign w:val="center"/>
                </w:tcPr>
                <w:p>
                  <w:pPr>
                    <w:widowControl/>
                    <w:jc w:val="center"/>
                    <w:rPr>
                      <w:color w:val="auto"/>
                      <w:kern w:val="0"/>
                      <w:sz w:val="21"/>
                      <w:szCs w:val="21"/>
                    </w:rPr>
                  </w:pPr>
                  <w:r>
                    <w:rPr>
                      <w:color w:val="auto"/>
                      <w:kern w:val="0"/>
                      <w:sz w:val="21"/>
                      <w:szCs w:val="21"/>
                    </w:rPr>
                    <w:t>150</w:t>
                  </w:r>
                </w:p>
              </w:tc>
              <w:tc>
                <w:tcPr>
                  <w:tcW w:w="585" w:type="dxa"/>
                  <w:vAlign w:val="center"/>
                </w:tcPr>
                <w:p>
                  <w:pPr>
                    <w:widowControl/>
                    <w:jc w:val="center"/>
                    <w:rPr>
                      <w:color w:val="auto"/>
                      <w:kern w:val="0"/>
                      <w:sz w:val="21"/>
                      <w:szCs w:val="21"/>
                    </w:rPr>
                  </w:pPr>
                  <w:r>
                    <w:rPr>
                      <w:color w:val="auto"/>
                      <w:kern w:val="0"/>
                      <w:sz w:val="21"/>
                      <w:szCs w:val="21"/>
                    </w:rPr>
                    <w:t>180</w:t>
                  </w:r>
                </w:p>
              </w:tc>
              <w:tc>
                <w:tcPr>
                  <w:tcW w:w="583" w:type="dxa"/>
                  <w:vAlign w:val="center"/>
                </w:tcPr>
                <w:p>
                  <w:pPr>
                    <w:widowControl/>
                    <w:jc w:val="center"/>
                    <w:rPr>
                      <w:color w:val="auto"/>
                      <w:kern w:val="0"/>
                      <w:sz w:val="21"/>
                      <w:szCs w:val="21"/>
                    </w:rPr>
                  </w:pPr>
                  <w:r>
                    <w:rPr>
                      <w:color w:val="auto"/>
                      <w:kern w:val="0"/>
                      <w:sz w:val="21"/>
                      <w:szCs w:val="21"/>
                    </w:rPr>
                    <w:t>200</w:t>
                  </w:r>
                </w:p>
              </w:tc>
              <w:tc>
                <w:tcPr>
                  <w:tcW w:w="585" w:type="dxa"/>
                  <w:vAlign w:val="center"/>
                </w:tcPr>
                <w:p>
                  <w:pPr>
                    <w:widowControl/>
                    <w:jc w:val="center"/>
                    <w:rPr>
                      <w:color w:val="auto"/>
                      <w:kern w:val="0"/>
                      <w:sz w:val="21"/>
                      <w:szCs w:val="21"/>
                    </w:rPr>
                  </w:pPr>
                  <w:r>
                    <w:rPr>
                      <w:color w:val="auto"/>
                      <w:kern w:val="0"/>
                      <w:sz w:val="21"/>
                      <w:szCs w:val="21"/>
                    </w:rPr>
                    <w:t>220</w:t>
                  </w:r>
                </w:p>
              </w:tc>
              <w:tc>
                <w:tcPr>
                  <w:tcW w:w="585" w:type="dxa"/>
                  <w:vAlign w:val="center"/>
                </w:tcPr>
                <w:p>
                  <w:pPr>
                    <w:widowControl/>
                    <w:jc w:val="center"/>
                    <w:rPr>
                      <w:color w:val="auto"/>
                      <w:kern w:val="0"/>
                      <w:sz w:val="21"/>
                      <w:szCs w:val="21"/>
                    </w:rPr>
                  </w:pPr>
                  <w:r>
                    <w:rPr>
                      <w:color w:val="auto"/>
                      <w:kern w:val="0"/>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475" w:type="dxa"/>
                  <w:vAlign w:val="center"/>
                </w:tcPr>
                <w:p>
                  <w:pPr>
                    <w:widowControl/>
                    <w:jc w:val="center"/>
                    <w:rPr>
                      <w:color w:val="auto"/>
                      <w:kern w:val="0"/>
                      <w:sz w:val="21"/>
                      <w:szCs w:val="21"/>
                    </w:rPr>
                  </w:pPr>
                  <w:r>
                    <w:rPr>
                      <w:rFonts w:hAnsi="宋体"/>
                      <w:color w:val="auto"/>
                      <w:kern w:val="0"/>
                      <w:sz w:val="21"/>
                      <w:szCs w:val="21"/>
                    </w:rPr>
                    <w:t>挖掘机</w:t>
                  </w:r>
                </w:p>
              </w:tc>
              <w:tc>
                <w:tcPr>
                  <w:tcW w:w="583" w:type="dxa"/>
                  <w:vAlign w:val="center"/>
                </w:tcPr>
                <w:p>
                  <w:pPr>
                    <w:widowControl/>
                    <w:jc w:val="center"/>
                    <w:rPr>
                      <w:color w:val="auto"/>
                      <w:kern w:val="0"/>
                      <w:sz w:val="21"/>
                      <w:szCs w:val="21"/>
                    </w:rPr>
                  </w:pPr>
                  <w:r>
                    <w:rPr>
                      <w:color w:val="auto"/>
                      <w:kern w:val="0"/>
                      <w:sz w:val="21"/>
                      <w:szCs w:val="21"/>
                    </w:rPr>
                    <w:t>85</w:t>
                  </w:r>
                </w:p>
              </w:tc>
              <w:tc>
                <w:tcPr>
                  <w:tcW w:w="584" w:type="dxa"/>
                  <w:vAlign w:val="center"/>
                </w:tcPr>
                <w:p>
                  <w:pPr>
                    <w:widowControl/>
                    <w:jc w:val="center"/>
                    <w:rPr>
                      <w:color w:val="auto"/>
                      <w:kern w:val="0"/>
                      <w:sz w:val="21"/>
                      <w:szCs w:val="21"/>
                    </w:rPr>
                  </w:pPr>
                  <w:r>
                    <w:rPr>
                      <w:color w:val="auto"/>
                      <w:kern w:val="0"/>
                      <w:sz w:val="21"/>
                      <w:szCs w:val="21"/>
                    </w:rPr>
                    <w:t>79.0</w:t>
                  </w:r>
                </w:p>
              </w:tc>
              <w:tc>
                <w:tcPr>
                  <w:tcW w:w="583" w:type="dxa"/>
                  <w:vAlign w:val="center"/>
                </w:tcPr>
                <w:p>
                  <w:pPr>
                    <w:widowControl/>
                    <w:jc w:val="center"/>
                    <w:rPr>
                      <w:color w:val="auto"/>
                      <w:kern w:val="0"/>
                      <w:sz w:val="21"/>
                      <w:szCs w:val="21"/>
                    </w:rPr>
                  </w:pPr>
                  <w:r>
                    <w:rPr>
                      <w:color w:val="auto"/>
                      <w:kern w:val="0"/>
                      <w:sz w:val="21"/>
                      <w:szCs w:val="21"/>
                    </w:rPr>
                    <w:t>73.0</w:t>
                  </w:r>
                </w:p>
              </w:tc>
              <w:tc>
                <w:tcPr>
                  <w:tcW w:w="585" w:type="dxa"/>
                  <w:vAlign w:val="center"/>
                </w:tcPr>
                <w:p>
                  <w:pPr>
                    <w:widowControl/>
                    <w:jc w:val="center"/>
                    <w:rPr>
                      <w:color w:val="auto"/>
                      <w:kern w:val="0"/>
                      <w:sz w:val="21"/>
                      <w:szCs w:val="21"/>
                    </w:rPr>
                  </w:pPr>
                  <w:r>
                    <w:rPr>
                      <w:color w:val="auto"/>
                      <w:kern w:val="0"/>
                      <w:sz w:val="21"/>
                      <w:szCs w:val="21"/>
                    </w:rPr>
                    <w:t>69.4</w:t>
                  </w:r>
                </w:p>
              </w:tc>
              <w:tc>
                <w:tcPr>
                  <w:tcW w:w="584" w:type="dxa"/>
                  <w:vAlign w:val="center"/>
                </w:tcPr>
                <w:p>
                  <w:pPr>
                    <w:widowControl/>
                    <w:jc w:val="center"/>
                    <w:rPr>
                      <w:color w:val="auto"/>
                      <w:kern w:val="0"/>
                      <w:sz w:val="21"/>
                      <w:szCs w:val="21"/>
                    </w:rPr>
                  </w:pPr>
                  <w:r>
                    <w:rPr>
                      <w:color w:val="auto"/>
                      <w:kern w:val="0"/>
                      <w:sz w:val="21"/>
                      <w:szCs w:val="21"/>
                    </w:rPr>
                    <w:t>65.0</w:t>
                  </w:r>
                </w:p>
              </w:tc>
              <w:tc>
                <w:tcPr>
                  <w:tcW w:w="585" w:type="dxa"/>
                  <w:vAlign w:val="center"/>
                </w:tcPr>
                <w:p>
                  <w:pPr>
                    <w:widowControl/>
                    <w:jc w:val="center"/>
                    <w:rPr>
                      <w:color w:val="auto"/>
                      <w:kern w:val="0"/>
                      <w:sz w:val="21"/>
                      <w:szCs w:val="21"/>
                    </w:rPr>
                  </w:pPr>
                  <w:r>
                    <w:rPr>
                      <w:color w:val="auto"/>
                      <w:kern w:val="0"/>
                      <w:sz w:val="21"/>
                      <w:szCs w:val="21"/>
                    </w:rPr>
                    <w:t>60.9</w:t>
                  </w:r>
                </w:p>
              </w:tc>
              <w:tc>
                <w:tcPr>
                  <w:tcW w:w="584" w:type="dxa"/>
                  <w:vAlign w:val="center"/>
                </w:tcPr>
                <w:p>
                  <w:pPr>
                    <w:widowControl/>
                    <w:jc w:val="center"/>
                    <w:rPr>
                      <w:color w:val="auto"/>
                      <w:kern w:val="0"/>
                      <w:sz w:val="21"/>
                      <w:szCs w:val="21"/>
                    </w:rPr>
                  </w:pPr>
                  <w:r>
                    <w:rPr>
                      <w:color w:val="auto"/>
                      <w:kern w:val="0"/>
                      <w:sz w:val="21"/>
                      <w:szCs w:val="21"/>
                    </w:rPr>
                    <w:t>59.0</w:t>
                  </w:r>
                </w:p>
              </w:tc>
              <w:tc>
                <w:tcPr>
                  <w:tcW w:w="585" w:type="dxa"/>
                  <w:vAlign w:val="center"/>
                </w:tcPr>
                <w:p>
                  <w:pPr>
                    <w:widowControl/>
                    <w:jc w:val="center"/>
                    <w:rPr>
                      <w:color w:val="auto"/>
                      <w:kern w:val="0"/>
                      <w:sz w:val="21"/>
                      <w:szCs w:val="21"/>
                    </w:rPr>
                  </w:pPr>
                  <w:r>
                    <w:rPr>
                      <w:color w:val="auto"/>
                      <w:kern w:val="0"/>
                      <w:sz w:val="21"/>
                      <w:szCs w:val="21"/>
                    </w:rPr>
                    <w:t>57.4</w:t>
                  </w:r>
                </w:p>
              </w:tc>
              <w:tc>
                <w:tcPr>
                  <w:tcW w:w="584" w:type="dxa"/>
                  <w:vAlign w:val="center"/>
                </w:tcPr>
                <w:p>
                  <w:pPr>
                    <w:widowControl/>
                    <w:jc w:val="center"/>
                    <w:rPr>
                      <w:color w:val="auto"/>
                      <w:kern w:val="0"/>
                      <w:sz w:val="21"/>
                      <w:szCs w:val="21"/>
                    </w:rPr>
                  </w:pPr>
                  <w:r>
                    <w:rPr>
                      <w:color w:val="auto"/>
                      <w:kern w:val="0"/>
                      <w:sz w:val="21"/>
                      <w:szCs w:val="21"/>
                    </w:rPr>
                    <w:t>55.5</w:t>
                  </w:r>
                </w:p>
              </w:tc>
              <w:tc>
                <w:tcPr>
                  <w:tcW w:w="585" w:type="dxa"/>
                  <w:vAlign w:val="center"/>
                </w:tcPr>
                <w:p>
                  <w:pPr>
                    <w:widowControl/>
                    <w:jc w:val="center"/>
                    <w:rPr>
                      <w:color w:val="auto"/>
                      <w:kern w:val="0"/>
                      <w:sz w:val="21"/>
                      <w:szCs w:val="21"/>
                    </w:rPr>
                  </w:pPr>
                  <w:r>
                    <w:rPr>
                      <w:color w:val="auto"/>
                      <w:kern w:val="0"/>
                      <w:sz w:val="21"/>
                      <w:szCs w:val="21"/>
                    </w:rPr>
                    <w:t>53.9</w:t>
                  </w:r>
                </w:p>
              </w:tc>
              <w:tc>
                <w:tcPr>
                  <w:tcW w:w="583" w:type="dxa"/>
                  <w:vAlign w:val="center"/>
                </w:tcPr>
                <w:p>
                  <w:pPr>
                    <w:widowControl/>
                    <w:jc w:val="center"/>
                    <w:rPr>
                      <w:color w:val="auto"/>
                      <w:kern w:val="0"/>
                      <w:sz w:val="21"/>
                      <w:szCs w:val="21"/>
                    </w:rPr>
                  </w:pPr>
                  <w:r>
                    <w:rPr>
                      <w:color w:val="auto"/>
                      <w:kern w:val="0"/>
                      <w:sz w:val="21"/>
                      <w:szCs w:val="21"/>
                    </w:rPr>
                    <w:t>53.0</w:t>
                  </w:r>
                </w:p>
              </w:tc>
              <w:tc>
                <w:tcPr>
                  <w:tcW w:w="585" w:type="dxa"/>
                  <w:vAlign w:val="center"/>
                </w:tcPr>
                <w:p>
                  <w:pPr>
                    <w:widowControl/>
                    <w:jc w:val="center"/>
                    <w:rPr>
                      <w:color w:val="auto"/>
                      <w:kern w:val="0"/>
                      <w:sz w:val="21"/>
                      <w:szCs w:val="21"/>
                    </w:rPr>
                  </w:pPr>
                  <w:r>
                    <w:rPr>
                      <w:color w:val="auto"/>
                      <w:kern w:val="0"/>
                      <w:sz w:val="21"/>
                      <w:szCs w:val="21"/>
                    </w:rPr>
                    <w:t>52.1</w:t>
                  </w:r>
                </w:p>
              </w:tc>
              <w:tc>
                <w:tcPr>
                  <w:tcW w:w="585" w:type="dxa"/>
                  <w:vAlign w:val="center"/>
                </w:tcPr>
                <w:p>
                  <w:pPr>
                    <w:widowControl/>
                    <w:jc w:val="center"/>
                    <w:rPr>
                      <w:color w:val="auto"/>
                      <w:kern w:val="0"/>
                      <w:sz w:val="21"/>
                      <w:szCs w:val="21"/>
                    </w:rPr>
                  </w:pPr>
                  <w:r>
                    <w:rPr>
                      <w:color w:val="auto"/>
                      <w:kern w:val="0"/>
                      <w:sz w:val="21"/>
                      <w:szCs w:val="21"/>
                    </w:rPr>
                    <w:t>49.4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475" w:type="dxa"/>
                  <w:vAlign w:val="center"/>
                </w:tcPr>
                <w:p>
                  <w:pPr>
                    <w:widowControl/>
                    <w:jc w:val="center"/>
                    <w:rPr>
                      <w:color w:val="auto"/>
                      <w:kern w:val="0"/>
                      <w:sz w:val="21"/>
                      <w:szCs w:val="21"/>
                    </w:rPr>
                  </w:pPr>
                  <w:r>
                    <w:rPr>
                      <w:rFonts w:hAnsi="宋体"/>
                      <w:color w:val="auto"/>
                      <w:kern w:val="0"/>
                      <w:sz w:val="21"/>
                      <w:szCs w:val="21"/>
                    </w:rPr>
                    <w:t>筛分机</w:t>
                  </w:r>
                </w:p>
              </w:tc>
              <w:tc>
                <w:tcPr>
                  <w:tcW w:w="583" w:type="dxa"/>
                  <w:vAlign w:val="center"/>
                </w:tcPr>
                <w:p>
                  <w:pPr>
                    <w:widowControl/>
                    <w:jc w:val="center"/>
                    <w:rPr>
                      <w:color w:val="auto"/>
                      <w:kern w:val="0"/>
                      <w:sz w:val="21"/>
                      <w:szCs w:val="21"/>
                    </w:rPr>
                  </w:pPr>
                  <w:r>
                    <w:rPr>
                      <w:color w:val="auto"/>
                      <w:kern w:val="0"/>
                      <w:sz w:val="21"/>
                      <w:szCs w:val="21"/>
                    </w:rPr>
                    <w:t>90</w:t>
                  </w:r>
                </w:p>
              </w:tc>
              <w:tc>
                <w:tcPr>
                  <w:tcW w:w="584" w:type="dxa"/>
                  <w:vAlign w:val="center"/>
                </w:tcPr>
                <w:p>
                  <w:pPr>
                    <w:widowControl/>
                    <w:jc w:val="center"/>
                    <w:rPr>
                      <w:color w:val="auto"/>
                      <w:kern w:val="0"/>
                      <w:sz w:val="21"/>
                      <w:szCs w:val="21"/>
                    </w:rPr>
                  </w:pPr>
                  <w:r>
                    <w:rPr>
                      <w:color w:val="auto"/>
                      <w:kern w:val="0"/>
                      <w:sz w:val="21"/>
                      <w:szCs w:val="21"/>
                    </w:rPr>
                    <w:t>84.0</w:t>
                  </w:r>
                </w:p>
              </w:tc>
              <w:tc>
                <w:tcPr>
                  <w:tcW w:w="583" w:type="dxa"/>
                  <w:vAlign w:val="center"/>
                </w:tcPr>
                <w:p>
                  <w:pPr>
                    <w:widowControl/>
                    <w:jc w:val="center"/>
                    <w:rPr>
                      <w:color w:val="auto"/>
                      <w:kern w:val="0"/>
                      <w:sz w:val="21"/>
                      <w:szCs w:val="21"/>
                    </w:rPr>
                  </w:pPr>
                  <w:r>
                    <w:rPr>
                      <w:color w:val="auto"/>
                      <w:kern w:val="0"/>
                      <w:sz w:val="21"/>
                      <w:szCs w:val="21"/>
                    </w:rPr>
                    <w:t>78.0</w:t>
                  </w:r>
                </w:p>
              </w:tc>
              <w:tc>
                <w:tcPr>
                  <w:tcW w:w="585" w:type="dxa"/>
                  <w:vAlign w:val="center"/>
                </w:tcPr>
                <w:p>
                  <w:pPr>
                    <w:widowControl/>
                    <w:jc w:val="center"/>
                    <w:rPr>
                      <w:color w:val="auto"/>
                      <w:kern w:val="0"/>
                      <w:sz w:val="21"/>
                      <w:szCs w:val="21"/>
                    </w:rPr>
                  </w:pPr>
                  <w:r>
                    <w:rPr>
                      <w:color w:val="auto"/>
                      <w:kern w:val="0"/>
                      <w:sz w:val="21"/>
                      <w:szCs w:val="21"/>
                    </w:rPr>
                    <w:t>74.4</w:t>
                  </w:r>
                </w:p>
              </w:tc>
              <w:tc>
                <w:tcPr>
                  <w:tcW w:w="584" w:type="dxa"/>
                  <w:vAlign w:val="center"/>
                </w:tcPr>
                <w:p>
                  <w:pPr>
                    <w:widowControl/>
                    <w:jc w:val="center"/>
                    <w:rPr>
                      <w:color w:val="auto"/>
                      <w:kern w:val="0"/>
                      <w:sz w:val="21"/>
                      <w:szCs w:val="21"/>
                    </w:rPr>
                  </w:pPr>
                  <w:r>
                    <w:rPr>
                      <w:color w:val="auto"/>
                      <w:kern w:val="0"/>
                      <w:sz w:val="21"/>
                      <w:szCs w:val="21"/>
                    </w:rPr>
                    <w:t>70.0</w:t>
                  </w:r>
                </w:p>
              </w:tc>
              <w:tc>
                <w:tcPr>
                  <w:tcW w:w="585" w:type="dxa"/>
                  <w:vAlign w:val="center"/>
                </w:tcPr>
                <w:p>
                  <w:pPr>
                    <w:widowControl/>
                    <w:jc w:val="center"/>
                    <w:rPr>
                      <w:color w:val="auto"/>
                      <w:kern w:val="0"/>
                      <w:sz w:val="21"/>
                      <w:szCs w:val="21"/>
                    </w:rPr>
                  </w:pPr>
                  <w:r>
                    <w:rPr>
                      <w:color w:val="auto"/>
                      <w:kern w:val="0"/>
                      <w:sz w:val="21"/>
                      <w:szCs w:val="21"/>
                    </w:rPr>
                    <w:t>65.9</w:t>
                  </w:r>
                </w:p>
              </w:tc>
              <w:tc>
                <w:tcPr>
                  <w:tcW w:w="584" w:type="dxa"/>
                  <w:vAlign w:val="center"/>
                </w:tcPr>
                <w:p>
                  <w:pPr>
                    <w:widowControl/>
                    <w:jc w:val="center"/>
                    <w:rPr>
                      <w:color w:val="auto"/>
                      <w:kern w:val="0"/>
                      <w:sz w:val="21"/>
                      <w:szCs w:val="21"/>
                    </w:rPr>
                  </w:pPr>
                  <w:r>
                    <w:rPr>
                      <w:color w:val="auto"/>
                      <w:kern w:val="0"/>
                      <w:sz w:val="21"/>
                      <w:szCs w:val="21"/>
                    </w:rPr>
                    <w:t>64.0</w:t>
                  </w:r>
                </w:p>
              </w:tc>
              <w:tc>
                <w:tcPr>
                  <w:tcW w:w="585" w:type="dxa"/>
                  <w:vAlign w:val="center"/>
                </w:tcPr>
                <w:p>
                  <w:pPr>
                    <w:widowControl/>
                    <w:jc w:val="center"/>
                    <w:rPr>
                      <w:color w:val="auto"/>
                      <w:kern w:val="0"/>
                      <w:sz w:val="21"/>
                      <w:szCs w:val="21"/>
                    </w:rPr>
                  </w:pPr>
                  <w:r>
                    <w:rPr>
                      <w:color w:val="auto"/>
                      <w:kern w:val="0"/>
                      <w:sz w:val="21"/>
                      <w:szCs w:val="21"/>
                    </w:rPr>
                    <w:t>62.4</w:t>
                  </w:r>
                </w:p>
              </w:tc>
              <w:tc>
                <w:tcPr>
                  <w:tcW w:w="584" w:type="dxa"/>
                  <w:vAlign w:val="center"/>
                </w:tcPr>
                <w:p>
                  <w:pPr>
                    <w:widowControl/>
                    <w:jc w:val="center"/>
                    <w:rPr>
                      <w:color w:val="auto"/>
                      <w:kern w:val="0"/>
                      <w:sz w:val="21"/>
                      <w:szCs w:val="21"/>
                    </w:rPr>
                  </w:pPr>
                  <w:r>
                    <w:rPr>
                      <w:color w:val="auto"/>
                      <w:kern w:val="0"/>
                      <w:sz w:val="21"/>
                      <w:szCs w:val="21"/>
                    </w:rPr>
                    <w:t>60.5</w:t>
                  </w:r>
                </w:p>
              </w:tc>
              <w:tc>
                <w:tcPr>
                  <w:tcW w:w="585" w:type="dxa"/>
                  <w:vAlign w:val="center"/>
                </w:tcPr>
                <w:p>
                  <w:pPr>
                    <w:widowControl/>
                    <w:jc w:val="center"/>
                    <w:rPr>
                      <w:color w:val="auto"/>
                      <w:kern w:val="0"/>
                      <w:sz w:val="21"/>
                      <w:szCs w:val="21"/>
                    </w:rPr>
                  </w:pPr>
                  <w:r>
                    <w:rPr>
                      <w:color w:val="auto"/>
                      <w:kern w:val="0"/>
                      <w:sz w:val="21"/>
                      <w:szCs w:val="21"/>
                    </w:rPr>
                    <w:t>58.9</w:t>
                  </w:r>
                </w:p>
              </w:tc>
              <w:tc>
                <w:tcPr>
                  <w:tcW w:w="583" w:type="dxa"/>
                  <w:vAlign w:val="center"/>
                </w:tcPr>
                <w:p>
                  <w:pPr>
                    <w:widowControl/>
                    <w:jc w:val="center"/>
                    <w:rPr>
                      <w:color w:val="auto"/>
                      <w:kern w:val="0"/>
                      <w:sz w:val="21"/>
                      <w:szCs w:val="21"/>
                    </w:rPr>
                  </w:pPr>
                  <w:r>
                    <w:rPr>
                      <w:color w:val="auto"/>
                      <w:kern w:val="0"/>
                      <w:sz w:val="21"/>
                      <w:szCs w:val="21"/>
                    </w:rPr>
                    <w:t>58.0</w:t>
                  </w:r>
                </w:p>
              </w:tc>
              <w:tc>
                <w:tcPr>
                  <w:tcW w:w="585" w:type="dxa"/>
                  <w:vAlign w:val="center"/>
                </w:tcPr>
                <w:p>
                  <w:pPr>
                    <w:widowControl/>
                    <w:jc w:val="center"/>
                    <w:rPr>
                      <w:color w:val="auto"/>
                      <w:kern w:val="0"/>
                      <w:sz w:val="21"/>
                      <w:szCs w:val="21"/>
                    </w:rPr>
                  </w:pPr>
                  <w:r>
                    <w:rPr>
                      <w:color w:val="auto"/>
                      <w:kern w:val="0"/>
                      <w:sz w:val="21"/>
                      <w:szCs w:val="21"/>
                    </w:rPr>
                    <w:t>57.1</w:t>
                  </w:r>
                </w:p>
              </w:tc>
              <w:tc>
                <w:tcPr>
                  <w:tcW w:w="585" w:type="dxa"/>
                  <w:vAlign w:val="center"/>
                </w:tcPr>
                <w:p>
                  <w:pPr>
                    <w:widowControl/>
                    <w:jc w:val="center"/>
                    <w:rPr>
                      <w:color w:val="auto"/>
                      <w:kern w:val="0"/>
                      <w:sz w:val="21"/>
                      <w:szCs w:val="21"/>
                    </w:rPr>
                  </w:pPr>
                  <w:r>
                    <w:rPr>
                      <w:color w:val="auto"/>
                      <w:kern w:val="0"/>
                      <w:sz w:val="21"/>
                      <w:szCs w:val="21"/>
                    </w:rPr>
                    <w:t>54.4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475" w:type="dxa"/>
                  <w:vAlign w:val="center"/>
                </w:tcPr>
                <w:p>
                  <w:pPr>
                    <w:widowControl/>
                    <w:jc w:val="center"/>
                    <w:rPr>
                      <w:color w:val="auto"/>
                      <w:kern w:val="0"/>
                      <w:sz w:val="21"/>
                      <w:szCs w:val="21"/>
                    </w:rPr>
                  </w:pPr>
                  <w:r>
                    <w:rPr>
                      <w:rFonts w:hAnsi="宋体"/>
                      <w:color w:val="auto"/>
                      <w:kern w:val="0"/>
                      <w:sz w:val="21"/>
                      <w:szCs w:val="21"/>
                    </w:rPr>
                    <w:t>搅拌机</w:t>
                  </w:r>
                </w:p>
              </w:tc>
              <w:tc>
                <w:tcPr>
                  <w:tcW w:w="583" w:type="dxa"/>
                  <w:vAlign w:val="center"/>
                </w:tcPr>
                <w:p>
                  <w:pPr>
                    <w:widowControl/>
                    <w:jc w:val="center"/>
                    <w:rPr>
                      <w:color w:val="auto"/>
                      <w:kern w:val="0"/>
                      <w:sz w:val="21"/>
                      <w:szCs w:val="21"/>
                    </w:rPr>
                  </w:pPr>
                  <w:r>
                    <w:rPr>
                      <w:color w:val="auto"/>
                      <w:kern w:val="0"/>
                      <w:sz w:val="21"/>
                      <w:szCs w:val="21"/>
                    </w:rPr>
                    <w:t>95</w:t>
                  </w:r>
                </w:p>
              </w:tc>
              <w:tc>
                <w:tcPr>
                  <w:tcW w:w="584" w:type="dxa"/>
                  <w:vAlign w:val="center"/>
                </w:tcPr>
                <w:p>
                  <w:pPr>
                    <w:widowControl/>
                    <w:jc w:val="center"/>
                    <w:rPr>
                      <w:color w:val="auto"/>
                      <w:kern w:val="0"/>
                      <w:sz w:val="21"/>
                      <w:szCs w:val="21"/>
                    </w:rPr>
                  </w:pPr>
                  <w:r>
                    <w:rPr>
                      <w:color w:val="auto"/>
                      <w:kern w:val="0"/>
                      <w:sz w:val="21"/>
                      <w:szCs w:val="21"/>
                    </w:rPr>
                    <w:t>89.0</w:t>
                  </w:r>
                </w:p>
              </w:tc>
              <w:tc>
                <w:tcPr>
                  <w:tcW w:w="583" w:type="dxa"/>
                  <w:vAlign w:val="center"/>
                </w:tcPr>
                <w:p>
                  <w:pPr>
                    <w:widowControl/>
                    <w:jc w:val="center"/>
                    <w:rPr>
                      <w:color w:val="auto"/>
                      <w:kern w:val="0"/>
                      <w:sz w:val="21"/>
                      <w:szCs w:val="21"/>
                    </w:rPr>
                  </w:pPr>
                  <w:r>
                    <w:rPr>
                      <w:color w:val="auto"/>
                      <w:kern w:val="0"/>
                      <w:sz w:val="21"/>
                      <w:szCs w:val="21"/>
                    </w:rPr>
                    <w:t>83.0</w:t>
                  </w:r>
                </w:p>
              </w:tc>
              <w:tc>
                <w:tcPr>
                  <w:tcW w:w="585" w:type="dxa"/>
                  <w:vAlign w:val="center"/>
                </w:tcPr>
                <w:p>
                  <w:pPr>
                    <w:widowControl/>
                    <w:jc w:val="center"/>
                    <w:rPr>
                      <w:color w:val="auto"/>
                      <w:kern w:val="0"/>
                      <w:sz w:val="21"/>
                      <w:szCs w:val="21"/>
                    </w:rPr>
                  </w:pPr>
                  <w:r>
                    <w:rPr>
                      <w:color w:val="auto"/>
                      <w:kern w:val="0"/>
                      <w:sz w:val="21"/>
                      <w:szCs w:val="21"/>
                    </w:rPr>
                    <w:t>79.4</w:t>
                  </w:r>
                </w:p>
              </w:tc>
              <w:tc>
                <w:tcPr>
                  <w:tcW w:w="584" w:type="dxa"/>
                  <w:vAlign w:val="center"/>
                </w:tcPr>
                <w:p>
                  <w:pPr>
                    <w:widowControl/>
                    <w:jc w:val="center"/>
                    <w:rPr>
                      <w:color w:val="auto"/>
                      <w:kern w:val="0"/>
                      <w:sz w:val="21"/>
                      <w:szCs w:val="21"/>
                    </w:rPr>
                  </w:pPr>
                  <w:r>
                    <w:rPr>
                      <w:color w:val="auto"/>
                      <w:kern w:val="0"/>
                      <w:sz w:val="21"/>
                      <w:szCs w:val="21"/>
                    </w:rPr>
                    <w:t>75.0</w:t>
                  </w:r>
                </w:p>
              </w:tc>
              <w:tc>
                <w:tcPr>
                  <w:tcW w:w="585" w:type="dxa"/>
                  <w:vAlign w:val="center"/>
                </w:tcPr>
                <w:p>
                  <w:pPr>
                    <w:widowControl/>
                    <w:jc w:val="center"/>
                    <w:rPr>
                      <w:color w:val="auto"/>
                      <w:kern w:val="0"/>
                      <w:sz w:val="21"/>
                      <w:szCs w:val="21"/>
                    </w:rPr>
                  </w:pPr>
                  <w:r>
                    <w:rPr>
                      <w:color w:val="auto"/>
                      <w:kern w:val="0"/>
                      <w:sz w:val="21"/>
                      <w:szCs w:val="21"/>
                    </w:rPr>
                    <w:t>70.9</w:t>
                  </w:r>
                </w:p>
              </w:tc>
              <w:tc>
                <w:tcPr>
                  <w:tcW w:w="584" w:type="dxa"/>
                  <w:vAlign w:val="center"/>
                </w:tcPr>
                <w:p>
                  <w:pPr>
                    <w:widowControl/>
                    <w:jc w:val="center"/>
                    <w:rPr>
                      <w:color w:val="auto"/>
                      <w:kern w:val="0"/>
                      <w:sz w:val="21"/>
                      <w:szCs w:val="21"/>
                    </w:rPr>
                  </w:pPr>
                  <w:r>
                    <w:rPr>
                      <w:color w:val="auto"/>
                      <w:kern w:val="0"/>
                      <w:sz w:val="21"/>
                      <w:szCs w:val="21"/>
                    </w:rPr>
                    <w:t>69.0</w:t>
                  </w:r>
                </w:p>
              </w:tc>
              <w:tc>
                <w:tcPr>
                  <w:tcW w:w="585" w:type="dxa"/>
                  <w:vAlign w:val="center"/>
                </w:tcPr>
                <w:p>
                  <w:pPr>
                    <w:widowControl/>
                    <w:jc w:val="center"/>
                    <w:rPr>
                      <w:color w:val="auto"/>
                      <w:kern w:val="0"/>
                      <w:sz w:val="21"/>
                      <w:szCs w:val="21"/>
                    </w:rPr>
                  </w:pPr>
                  <w:r>
                    <w:rPr>
                      <w:color w:val="auto"/>
                      <w:kern w:val="0"/>
                      <w:sz w:val="21"/>
                      <w:szCs w:val="21"/>
                    </w:rPr>
                    <w:t>67.4</w:t>
                  </w:r>
                </w:p>
              </w:tc>
              <w:tc>
                <w:tcPr>
                  <w:tcW w:w="584" w:type="dxa"/>
                  <w:vAlign w:val="center"/>
                </w:tcPr>
                <w:p>
                  <w:pPr>
                    <w:widowControl/>
                    <w:jc w:val="center"/>
                    <w:rPr>
                      <w:color w:val="auto"/>
                      <w:kern w:val="0"/>
                      <w:sz w:val="21"/>
                      <w:szCs w:val="21"/>
                    </w:rPr>
                  </w:pPr>
                  <w:r>
                    <w:rPr>
                      <w:color w:val="auto"/>
                      <w:kern w:val="0"/>
                      <w:sz w:val="21"/>
                      <w:szCs w:val="21"/>
                    </w:rPr>
                    <w:t>65.5</w:t>
                  </w:r>
                </w:p>
              </w:tc>
              <w:tc>
                <w:tcPr>
                  <w:tcW w:w="585" w:type="dxa"/>
                  <w:vAlign w:val="center"/>
                </w:tcPr>
                <w:p>
                  <w:pPr>
                    <w:widowControl/>
                    <w:jc w:val="center"/>
                    <w:rPr>
                      <w:color w:val="auto"/>
                      <w:kern w:val="0"/>
                      <w:sz w:val="21"/>
                      <w:szCs w:val="21"/>
                    </w:rPr>
                  </w:pPr>
                  <w:r>
                    <w:rPr>
                      <w:color w:val="auto"/>
                      <w:kern w:val="0"/>
                      <w:sz w:val="21"/>
                      <w:szCs w:val="21"/>
                    </w:rPr>
                    <w:t>63.9</w:t>
                  </w:r>
                </w:p>
              </w:tc>
              <w:tc>
                <w:tcPr>
                  <w:tcW w:w="583" w:type="dxa"/>
                  <w:vAlign w:val="center"/>
                </w:tcPr>
                <w:p>
                  <w:pPr>
                    <w:widowControl/>
                    <w:jc w:val="center"/>
                    <w:rPr>
                      <w:color w:val="auto"/>
                      <w:kern w:val="0"/>
                      <w:sz w:val="21"/>
                      <w:szCs w:val="21"/>
                    </w:rPr>
                  </w:pPr>
                  <w:r>
                    <w:rPr>
                      <w:color w:val="auto"/>
                      <w:kern w:val="0"/>
                      <w:sz w:val="21"/>
                      <w:szCs w:val="21"/>
                    </w:rPr>
                    <w:t>63.0</w:t>
                  </w:r>
                </w:p>
              </w:tc>
              <w:tc>
                <w:tcPr>
                  <w:tcW w:w="585" w:type="dxa"/>
                  <w:vAlign w:val="center"/>
                </w:tcPr>
                <w:p>
                  <w:pPr>
                    <w:widowControl/>
                    <w:jc w:val="center"/>
                    <w:rPr>
                      <w:color w:val="auto"/>
                      <w:kern w:val="0"/>
                      <w:sz w:val="21"/>
                      <w:szCs w:val="21"/>
                    </w:rPr>
                  </w:pPr>
                  <w:r>
                    <w:rPr>
                      <w:color w:val="auto"/>
                      <w:kern w:val="0"/>
                      <w:sz w:val="21"/>
                      <w:szCs w:val="21"/>
                    </w:rPr>
                    <w:t>62.1</w:t>
                  </w:r>
                </w:p>
              </w:tc>
              <w:tc>
                <w:tcPr>
                  <w:tcW w:w="585" w:type="dxa"/>
                  <w:vAlign w:val="center"/>
                </w:tcPr>
                <w:p>
                  <w:pPr>
                    <w:widowControl/>
                    <w:jc w:val="center"/>
                    <w:rPr>
                      <w:color w:val="auto"/>
                      <w:kern w:val="0"/>
                      <w:sz w:val="21"/>
                      <w:szCs w:val="21"/>
                    </w:rPr>
                  </w:pPr>
                  <w:r>
                    <w:rPr>
                      <w:color w:val="auto"/>
                      <w:kern w:val="0"/>
                      <w:sz w:val="21"/>
                      <w:szCs w:val="21"/>
                    </w:rPr>
                    <w:t>59.4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exact"/>
                <w:jc w:val="center"/>
              </w:trPr>
              <w:tc>
                <w:tcPr>
                  <w:tcW w:w="1475" w:type="dxa"/>
                  <w:vAlign w:val="center"/>
                </w:tcPr>
                <w:p>
                  <w:pPr>
                    <w:widowControl/>
                    <w:jc w:val="center"/>
                    <w:rPr>
                      <w:color w:val="auto"/>
                      <w:kern w:val="0"/>
                      <w:sz w:val="21"/>
                      <w:szCs w:val="21"/>
                    </w:rPr>
                  </w:pPr>
                  <w:r>
                    <w:rPr>
                      <w:rFonts w:hAnsi="宋体"/>
                      <w:color w:val="auto"/>
                      <w:kern w:val="0"/>
                      <w:sz w:val="21"/>
                      <w:szCs w:val="21"/>
                    </w:rPr>
                    <w:t>柴油发电机</w:t>
                  </w:r>
                </w:p>
              </w:tc>
              <w:tc>
                <w:tcPr>
                  <w:tcW w:w="583" w:type="dxa"/>
                  <w:vAlign w:val="center"/>
                </w:tcPr>
                <w:p>
                  <w:pPr>
                    <w:widowControl/>
                    <w:jc w:val="center"/>
                    <w:rPr>
                      <w:color w:val="auto"/>
                      <w:kern w:val="0"/>
                      <w:sz w:val="21"/>
                      <w:szCs w:val="21"/>
                    </w:rPr>
                  </w:pPr>
                  <w:r>
                    <w:rPr>
                      <w:color w:val="auto"/>
                      <w:kern w:val="0"/>
                      <w:sz w:val="21"/>
                      <w:szCs w:val="21"/>
                    </w:rPr>
                    <w:t>90</w:t>
                  </w:r>
                </w:p>
              </w:tc>
              <w:tc>
                <w:tcPr>
                  <w:tcW w:w="584" w:type="dxa"/>
                  <w:vAlign w:val="center"/>
                </w:tcPr>
                <w:p>
                  <w:pPr>
                    <w:widowControl/>
                    <w:jc w:val="center"/>
                    <w:rPr>
                      <w:color w:val="auto"/>
                      <w:kern w:val="0"/>
                      <w:sz w:val="21"/>
                      <w:szCs w:val="21"/>
                    </w:rPr>
                  </w:pPr>
                  <w:r>
                    <w:rPr>
                      <w:color w:val="auto"/>
                      <w:kern w:val="0"/>
                      <w:sz w:val="21"/>
                      <w:szCs w:val="21"/>
                    </w:rPr>
                    <w:t>84.0</w:t>
                  </w:r>
                </w:p>
              </w:tc>
              <w:tc>
                <w:tcPr>
                  <w:tcW w:w="583" w:type="dxa"/>
                  <w:vAlign w:val="center"/>
                </w:tcPr>
                <w:p>
                  <w:pPr>
                    <w:widowControl/>
                    <w:jc w:val="center"/>
                    <w:rPr>
                      <w:color w:val="auto"/>
                      <w:kern w:val="0"/>
                      <w:sz w:val="21"/>
                      <w:szCs w:val="21"/>
                    </w:rPr>
                  </w:pPr>
                  <w:r>
                    <w:rPr>
                      <w:color w:val="auto"/>
                      <w:kern w:val="0"/>
                      <w:sz w:val="21"/>
                      <w:szCs w:val="21"/>
                    </w:rPr>
                    <w:t>78.0</w:t>
                  </w:r>
                </w:p>
              </w:tc>
              <w:tc>
                <w:tcPr>
                  <w:tcW w:w="585" w:type="dxa"/>
                  <w:vAlign w:val="center"/>
                </w:tcPr>
                <w:p>
                  <w:pPr>
                    <w:widowControl/>
                    <w:jc w:val="center"/>
                    <w:rPr>
                      <w:color w:val="auto"/>
                      <w:kern w:val="0"/>
                      <w:sz w:val="21"/>
                      <w:szCs w:val="21"/>
                    </w:rPr>
                  </w:pPr>
                  <w:r>
                    <w:rPr>
                      <w:color w:val="auto"/>
                      <w:kern w:val="0"/>
                      <w:sz w:val="21"/>
                      <w:szCs w:val="21"/>
                    </w:rPr>
                    <w:t>74.4</w:t>
                  </w:r>
                </w:p>
              </w:tc>
              <w:tc>
                <w:tcPr>
                  <w:tcW w:w="584" w:type="dxa"/>
                  <w:vAlign w:val="center"/>
                </w:tcPr>
                <w:p>
                  <w:pPr>
                    <w:widowControl/>
                    <w:jc w:val="center"/>
                    <w:rPr>
                      <w:color w:val="auto"/>
                      <w:kern w:val="0"/>
                      <w:sz w:val="21"/>
                      <w:szCs w:val="21"/>
                    </w:rPr>
                  </w:pPr>
                  <w:r>
                    <w:rPr>
                      <w:color w:val="auto"/>
                      <w:kern w:val="0"/>
                      <w:sz w:val="21"/>
                      <w:szCs w:val="21"/>
                    </w:rPr>
                    <w:t>70.0</w:t>
                  </w:r>
                </w:p>
              </w:tc>
              <w:tc>
                <w:tcPr>
                  <w:tcW w:w="585" w:type="dxa"/>
                  <w:vAlign w:val="center"/>
                </w:tcPr>
                <w:p>
                  <w:pPr>
                    <w:widowControl/>
                    <w:jc w:val="center"/>
                    <w:rPr>
                      <w:color w:val="auto"/>
                      <w:kern w:val="0"/>
                      <w:sz w:val="21"/>
                      <w:szCs w:val="21"/>
                    </w:rPr>
                  </w:pPr>
                  <w:r>
                    <w:rPr>
                      <w:color w:val="auto"/>
                      <w:kern w:val="0"/>
                      <w:sz w:val="21"/>
                      <w:szCs w:val="21"/>
                    </w:rPr>
                    <w:t>65.9</w:t>
                  </w:r>
                </w:p>
              </w:tc>
              <w:tc>
                <w:tcPr>
                  <w:tcW w:w="584" w:type="dxa"/>
                  <w:vAlign w:val="center"/>
                </w:tcPr>
                <w:p>
                  <w:pPr>
                    <w:widowControl/>
                    <w:jc w:val="center"/>
                    <w:rPr>
                      <w:color w:val="auto"/>
                      <w:kern w:val="0"/>
                      <w:sz w:val="21"/>
                      <w:szCs w:val="21"/>
                    </w:rPr>
                  </w:pPr>
                  <w:r>
                    <w:rPr>
                      <w:color w:val="auto"/>
                      <w:kern w:val="0"/>
                      <w:sz w:val="21"/>
                      <w:szCs w:val="21"/>
                    </w:rPr>
                    <w:t>64.0</w:t>
                  </w:r>
                </w:p>
              </w:tc>
              <w:tc>
                <w:tcPr>
                  <w:tcW w:w="585" w:type="dxa"/>
                  <w:vAlign w:val="center"/>
                </w:tcPr>
                <w:p>
                  <w:pPr>
                    <w:widowControl/>
                    <w:jc w:val="center"/>
                    <w:rPr>
                      <w:color w:val="auto"/>
                      <w:kern w:val="0"/>
                      <w:sz w:val="21"/>
                      <w:szCs w:val="21"/>
                    </w:rPr>
                  </w:pPr>
                  <w:r>
                    <w:rPr>
                      <w:color w:val="auto"/>
                      <w:kern w:val="0"/>
                      <w:sz w:val="21"/>
                      <w:szCs w:val="21"/>
                    </w:rPr>
                    <w:t>62.4</w:t>
                  </w:r>
                </w:p>
              </w:tc>
              <w:tc>
                <w:tcPr>
                  <w:tcW w:w="584" w:type="dxa"/>
                  <w:vAlign w:val="center"/>
                </w:tcPr>
                <w:p>
                  <w:pPr>
                    <w:widowControl/>
                    <w:jc w:val="center"/>
                    <w:rPr>
                      <w:color w:val="auto"/>
                      <w:kern w:val="0"/>
                      <w:sz w:val="21"/>
                      <w:szCs w:val="21"/>
                    </w:rPr>
                  </w:pPr>
                  <w:r>
                    <w:rPr>
                      <w:color w:val="auto"/>
                      <w:kern w:val="0"/>
                      <w:sz w:val="21"/>
                      <w:szCs w:val="21"/>
                    </w:rPr>
                    <w:t>60.5</w:t>
                  </w:r>
                </w:p>
              </w:tc>
              <w:tc>
                <w:tcPr>
                  <w:tcW w:w="585" w:type="dxa"/>
                  <w:vAlign w:val="center"/>
                </w:tcPr>
                <w:p>
                  <w:pPr>
                    <w:widowControl/>
                    <w:jc w:val="center"/>
                    <w:rPr>
                      <w:color w:val="auto"/>
                      <w:kern w:val="0"/>
                      <w:sz w:val="21"/>
                      <w:szCs w:val="21"/>
                    </w:rPr>
                  </w:pPr>
                  <w:r>
                    <w:rPr>
                      <w:color w:val="auto"/>
                      <w:kern w:val="0"/>
                      <w:sz w:val="21"/>
                      <w:szCs w:val="21"/>
                    </w:rPr>
                    <w:t>58.9</w:t>
                  </w:r>
                </w:p>
              </w:tc>
              <w:tc>
                <w:tcPr>
                  <w:tcW w:w="583" w:type="dxa"/>
                  <w:vAlign w:val="center"/>
                </w:tcPr>
                <w:p>
                  <w:pPr>
                    <w:widowControl/>
                    <w:jc w:val="center"/>
                    <w:rPr>
                      <w:color w:val="auto"/>
                      <w:kern w:val="0"/>
                      <w:sz w:val="21"/>
                      <w:szCs w:val="21"/>
                    </w:rPr>
                  </w:pPr>
                  <w:r>
                    <w:rPr>
                      <w:color w:val="auto"/>
                      <w:kern w:val="0"/>
                      <w:sz w:val="21"/>
                      <w:szCs w:val="21"/>
                    </w:rPr>
                    <w:t>58.0</w:t>
                  </w:r>
                </w:p>
              </w:tc>
              <w:tc>
                <w:tcPr>
                  <w:tcW w:w="585" w:type="dxa"/>
                  <w:vAlign w:val="center"/>
                </w:tcPr>
                <w:p>
                  <w:pPr>
                    <w:widowControl/>
                    <w:jc w:val="center"/>
                    <w:rPr>
                      <w:color w:val="auto"/>
                      <w:kern w:val="0"/>
                      <w:sz w:val="21"/>
                      <w:szCs w:val="21"/>
                    </w:rPr>
                  </w:pPr>
                  <w:r>
                    <w:rPr>
                      <w:color w:val="auto"/>
                      <w:kern w:val="0"/>
                      <w:sz w:val="21"/>
                      <w:szCs w:val="21"/>
                    </w:rPr>
                    <w:t>57.1</w:t>
                  </w:r>
                </w:p>
              </w:tc>
              <w:tc>
                <w:tcPr>
                  <w:tcW w:w="585" w:type="dxa"/>
                  <w:vAlign w:val="center"/>
                </w:tcPr>
                <w:p>
                  <w:pPr>
                    <w:widowControl/>
                    <w:jc w:val="center"/>
                    <w:rPr>
                      <w:color w:val="auto"/>
                      <w:kern w:val="0"/>
                      <w:sz w:val="21"/>
                      <w:szCs w:val="21"/>
                    </w:rPr>
                  </w:pPr>
                  <w:r>
                    <w:rPr>
                      <w:color w:val="auto"/>
                      <w:kern w:val="0"/>
                      <w:sz w:val="21"/>
                      <w:szCs w:val="21"/>
                    </w:rPr>
                    <w:t>54.4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exact"/>
                <w:jc w:val="center"/>
              </w:trPr>
              <w:tc>
                <w:tcPr>
                  <w:tcW w:w="1475" w:type="dxa"/>
                  <w:vAlign w:val="center"/>
                </w:tcPr>
                <w:p>
                  <w:pPr>
                    <w:widowControl/>
                    <w:jc w:val="center"/>
                    <w:rPr>
                      <w:color w:val="auto"/>
                      <w:kern w:val="0"/>
                      <w:sz w:val="21"/>
                      <w:szCs w:val="21"/>
                    </w:rPr>
                  </w:pPr>
                  <w:r>
                    <w:rPr>
                      <w:rFonts w:hAnsi="宋体"/>
                      <w:color w:val="auto"/>
                      <w:kern w:val="0"/>
                      <w:sz w:val="21"/>
                      <w:szCs w:val="21"/>
                    </w:rPr>
                    <w:t>运输车辆</w:t>
                  </w:r>
                </w:p>
              </w:tc>
              <w:tc>
                <w:tcPr>
                  <w:tcW w:w="583" w:type="dxa"/>
                  <w:vAlign w:val="center"/>
                </w:tcPr>
                <w:p>
                  <w:pPr>
                    <w:widowControl/>
                    <w:jc w:val="center"/>
                    <w:rPr>
                      <w:color w:val="auto"/>
                      <w:kern w:val="0"/>
                      <w:sz w:val="21"/>
                      <w:szCs w:val="21"/>
                    </w:rPr>
                  </w:pPr>
                  <w:r>
                    <w:rPr>
                      <w:rFonts w:hint="eastAsia"/>
                      <w:color w:val="auto"/>
                      <w:kern w:val="0"/>
                      <w:sz w:val="21"/>
                      <w:szCs w:val="21"/>
                    </w:rPr>
                    <w:t>85</w:t>
                  </w:r>
                </w:p>
              </w:tc>
              <w:tc>
                <w:tcPr>
                  <w:tcW w:w="584" w:type="dxa"/>
                  <w:vAlign w:val="center"/>
                </w:tcPr>
                <w:p>
                  <w:pPr>
                    <w:widowControl/>
                    <w:jc w:val="center"/>
                    <w:rPr>
                      <w:color w:val="auto"/>
                      <w:kern w:val="0"/>
                      <w:sz w:val="21"/>
                      <w:szCs w:val="21"/>
                    </w:rPr>
                  </w:pPr>
                  <w:r>
                    <w:rPr>
                      <w:color w:val="auto"/>
                      <w:kern w:val="0"/>
                      <w:sz w:val="21"/>
                      <w:szCs w:val="21"/>
                    </w:rPr>
                    <w:t>79.0</w:t>
                  </w:r>
                </w:p>
              </w:tc>
              <w:tc>
                <w:tcPr>
                  <w:tcW w:w="583" w:type="dxa"/>
                  <w:vAlign w:val="center"/>
                </w:tcPr>
                <w:p>
                  <w:pPr>
                    <w:widowControl/>
                    <w:jc w:val="center"/>
                    <w:rPr>
                      <w:color w:val="auto"/>
                      <w:kern w:val="0"/>
                      <w:sz w:val="21"/>
                      <w:szCs w:val="21"/>
                    </w:rPr>
                  </w:pPr>
                  <w:r>
                    <w:rPr>
                      <w:color w:val="auto"/>
                      <w:kern w:val="0"/>
                      <w:sz w:val="21"/>
                      <w:szCs w:val="21"/>
                    </w:rPr>
                    <w:t>73.0</w:t>
                  </w:r>
                </w:p>
              </w:tc>
              <w:tc>
                <w:tcPr>
                  <w:tcW w:w="585" w:type="dxa"/>
                  <w:vAlign w:val="center"/>
                </w:tcPr>
                <w:p>
                  <w:pPr>
                    <w:widowControl/>
                    <w:jc w:val="center"/>
                    <w:rPr>
                      <w:color w:val="auto"/>
                      <w:kern w:val="0"/>
                      <w:sz w:val="21"/>
                      <w:szCs w:val="21"/>
                    </w:rPr>
                  </w:pPr>
                  <w:r>
                    <w:rPr>
                      <w:color w:val="auto"/>
                      <w:kern w:val="0"/>
                      <w:sz w:val="21"/>
                      <w:szCs w:val="21"/>
                    </w:rPr>
                    <w:t>69.4</w:t>
                  </w:r>
                </w:p>
              </w:tc>
              <w:tc>
                <w:tcPr>
                  <w:tcW w:w="584" w:type="dxa"/>
                  <w:vAlign w:val="center"/>
                </w:tcPr>
                <w:p>
                  <w:pPr>
                    <w:widowControl/>
                    <w:jc w:val="center"/>
                    <w:rPr>
                      <w:color w:val="auto"/>
                      <w:kern w:val="0"/>
                      <w:sz w:val="21"/>
                      <w:szCs w:val="21"/>
                    </w:rPr>
                  </w:pPr>
                  <w:r>
                    <w:rPr>
                      <w:color w:val="auto"/>
                      <w:kern w:val="0"/>
                      <w:sz w:val="21"/>
                      <w:szCs w:val="21"/>
                    </w:rPr>
                    <w:t>65.0</w:t>
                  </w:r>
                </w:p>
              </w:tc>
              <w:tc>
                <w:tcPr>
                  <w:tcW w:w="585" w:type="dxa"/>
                  <w:vAlign w:val="center"/>
                </w:tcPr>
                <w:p>
                  <w:pPr>
                    <w:widowControl/>
                    <w:jc w:val="center"/>
                    <w:rPr>
                      <w:color w:val="auto"/>
                      <w:kern w:val="0"/>
                      <w:sz w:val="21"/>
                      <w:szCs w:val="21"/>
                    </w:rPr>
                  </w:pPr>
                  <w:r>
                    <w:rPr>
                      <w:color w:val="auto"/>
                      <w:kern w:val="0"/>
                      <w:sz w:val="21"/>
                      <w:szCs w:val="21"/>
                    </w:rPr>
                    <w:t>60.9</w:t>
                  </w:r>
                </w:p>
              </w:tc>
              <w:tc>
                <w:tcPr>
                  <w:tcW w:w="584" w:type="dxa"/>
                  <w:vAlign w:val="center"/>
                </w:tcPr>
                <w:p>
                  <w:pPr>
                    <w:widowControl/>
                    <w:jc w:val="center"/>
                    <w:rPr>
                      <w:color w:val="auto"/>
                      <w:kern w:val="0"/>
                      <w:sz w:val="21"/>
                      <w:szCs w:val="21"/>
                    </w:rPr>
                  </w:pPr>
                  <w:r>
                    <w:rPr>
                      <w:color w:val="auto"/>
                      <w:kern w:val="0"/>
                      <w:sz w:val="21"/>
                      <w:szCs w:val="21"/>
                    </w:rPr>
                    <w:t>59.0</w:t>
                  </w:r>
                </w:p>
              </w:tc>
              <w:tc>
                <w:tcPr>
                  <w:tcW w:w="585" w:type="dxa"/>
                  <w:vAlign w:val="center"/>
                </w:tcPr>
                <w:p>
                  <w:pPr>
                    <w:widowControl/>
                    <w:jc w:val="center"/>
                    <w:rPr>
                      <w:color w:val="auto"/>
                      <w:kern w:val="0"/>
                      <w:sz w:val="21"/>
                      <w:szCs w:val="21"/>
                    </w:rPr>
                  </w:pPr>
                  <w:r>
                    <w:rPr>
                      <w:color w:val="auto"/>
                      <w:kern w:val="0"/>
                      <w:sz w:val="21"/>
                      <w:szCs w:val="21"/>
                    </w:rPr>
                    <w:t>57.4</w:t>
                  </w:r>
                </w:p>
              </w:tc>
              <w:tc>
                <w:tcPr>
                  <w:tcW w:w="584" w:type="dxa"/>
                  <w:vAlign w:val="center"/>
                </w:tcPr>
                <w:p>
                  <w:pPr>
                    <w:widowControl/>
                    <w:jc w:val="center"/>
                    <w:rPr>
                      <w:color w:val="auto"/>
                      <w:kern w:val="0"/>
                      <w:sz w:val="21"/>
                      <w:szCs w:val="21"/>
                    </w:rPr>
                  </w:pPr>
                  <w:r>
                    <w:rPr>
                      <w:color w:val="auto"/>
                      <w:kern w:val="0"/>
                      <w:sz w:val="21"/>
                      <w:szCs w:val="21"/>
                    </w:rPr>
                    <w:t>55.5</w:t>
                  </w:r>
                </w:p>
              </w:tc>
              <w:tc>
                <w:tcPr>
                  <w:tcW w:w="585" w:type="dxa"/>
                  <w:vAlign w:val="center"/>
                </w:tcPr>
                <w:p>
                  <w:pPr>
                    <w:widowControl/>
                    <w:jc w:val="center"/>
                    <w:rPr>
                      <w:color w:val="auto"/>
                      <w:kern w:val="0"/>
                      <w:sz w:val="21"/>
                      <w:szCs w:val="21"/>
                    </w:rPr>
                  </w:pPr>
                  <w:r>
                    <w:rPr>
                      <w:color w:val="auto"/>
                      <w:kern w:val="0"/>
                      <w:sz w:val="21"/>
                      <w:szCs w:val="21"/>
                    </w:rPr>
                    <w:t>53.9</w:t>
                  </w:r>
                </w:p>
              </w:tc>
              <w:tc>
                <w:tcPr>
                  <w:tcW w:w="583" w:type="dxa"/>
                  <w:vAlign w:val="center"/>
                </w:tcPr>
                <w:p>
                  <w:pPr>
                    <w:widowControl/>
                    <w:jc w:val="center"/>
                    <w:rPr>
                      <w:color w:val="auto"/>
                      <w:kern w:val="0"/>
                      <w:sz w:val="21"/>
                      <w:szCs w:val="21"/>
                    </w:rPr>
                  </w:pPr>
                  <w:r>
                    <w:rPr>
                      <w:color w:val="auto"/>
                      <w:kern w:val="0"/>
                      <w:sz w:val="21"/>
                      <w:szCs w:val="21"/>
                    </w:rPr>
                    <w:t>53.0</w:t>
                  </w:r>
                </w:p>
              </w:tc>
              <w:tc>
                <w:tcPr>
                  <w:tcW w:w="585" w:type="dxa"/>
                  <w:vAlign w:val="center"/>
                </w:tcPr>
                <w:p>
                  <w:pPr>
                    <w:widowControl/>
                    <w:jc w:val="center"/>
                    <w:rPr>
                      <w:color w:val="auto"/>
                      <w:kern w:val="0"/>
                      <w:sz w:val="21"/>
                      <w:szCs w:val="21"/>
                    </w:rPr>
                  </w:pPr>
                  <w:r>
                    <w:rPr>
                      <w:color w:val="auto"/>
                      <w:kern w:val="0"/>
                      <w:sz w:val="21"/>
                      <w:szCs w:val="21"/>
                    </w:rPr>
                    <w:t>52.1</w:t>
                  </w:r>
                </w:p>
              </w:tc>
              <w:tc>
                <w:tcPr>
                  <w:tcW w:w="585" w:type="dxa"/>
                  <w:vAlign w:val="center"/>
                </w:tcPr>
                <w:p>
                  <w:pPr>
                    <w:widowControl/>
                    <w:jc w:val="center"/>
                    <w:rPr>
                      <w:color w:val="auto"/>
                      <w:kern w:val="0"/>
                      <w:sz w:val="21"/>
                      <w:szCs w:val="21"/>
                    </w:rPr>
                  </w:pPr>
                  <w:r>
                    <w:rPr>
                      <w:color w:val="auto"/>
                      <w:kern w:val="0"/>
                      <w:sz w:val="21"/>
                      <w:szCs w:val="21"/>
                    </w:rPr>
                    <w:t>49.4</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rPr>
            </w:pPr>
            <w:r>
              <w:rPr>
                <w:rFonts w:hAnsi="宋体"/>
                <w:color w:val="auto"/>
                <w:sz w:val="24"/>
              </w:rPr>
              <w:t>从表</w:t>
            </w:r>
            <w:r>
              <w:rPr>
                <w:color w:val="auto"/>
                <w:sz w:val="24"/>
              </w:rPr>
              <w:t>3</w:t>
            </w:r>
            <w:r>
              <w:rPr>
                <w:rFonts w:hint="eastAsia"/>
                <w:color w:val="auto"/>
                <w:sz w:val="24"/>
                <w:lang w:val="en-US" w:eastAsia="zh-CN"/>
              </w:rPr>
              <w:t>6</w:t>
            </w:r>
            <w:r>
              <w:rPr>
                <w:rFonts w:hAnsi="宋体"/>
                <w:color w:val="auto"/>
                <w:sz w:val="24"/>
              </w:rPr>
              <w:t>数据可以看出，在未采取降噪措施的情况下，施工机械对周围环境影响较大，白天在距离声源</w:t>
            </w:r>
            <w:r>
              <w:rPr>
                <w:color w:val="auto"/>
                <w:sz w:val="24"/>
              </w:rPr>
              <w:t>80</w:t>
            </w:r>
            <w:r>
              <w:rPr>
                <w:rFonts w:hAnsi="宋体"/>
                <w:color w:val="auto"/>
                <w:sz w:val="24"/>
              </w:rPr>
              <w:t>米的范围内施工噪声超过《建筑施工场界环境噪声排放标准》</w:t>
            </w:r>
            <w:r>
              <w:rPr>
                <w:color w:val="auto"/>
                <w:sz w:val="24"/>
              </w:rPr>
              <w:t>(GB 12523-2011)</w:t>
            </w:r>
            <w:r>
              <w:rPr>
                <w:rFonts w:hAnsi="宋体"/>
                <w:color w:val="auto"/>
                <w:sz w:val="24"/>
              </w:rPr>
              <w:t>的规定，夜间施工超标情况出现在</w:t>
            </w:r>
            <w:r>
              <w:rPr>
                <w:color w:val="auto"/>
                <w:sz w:val="24"/>
              </w:rPr>
              <w:t>400</w:t>
            </w:r>
            <w:r>
              <w:rPr>
                <w:rFonts w:hAnsi="宋体"/>
                <w:color w:val="auto"/>
                <w:sz w:val="24"/>
              </w:rPr>
              <w:t>米范围内，而且在施工现场往往是几种机械同时作业，综合噪声较高，特别是在连续浇筑期间。</w:t>
            </w:r>
            <w:r>
              <w:rPr>
                <w:rFonts w:hAnsi="宋体"/>
                <w:color w:val="auto"/>
                <w:sz w:val="24"/>
                <w:szCs w:val="24"/>
              </w:rPr>
              <w:t>因此项目施工期噪声对周围环境，特别是项目</w:t>
            </w:r>
            <w:r>
              <w:rPr>
                <w:rFonts w:hint="eastAsia" w:hAnsi="宋体"/>
                <w:color w:val="auto"/>
                <w:sz w:val="24"/>
                <w:szCs w:val="24"/>
              </w:rPr>
              <w:t>东</w:t>
            </w:r>
            <w:r>
              <w:rPr>
                <w:rFonts w:hAnsi="宋体"/>
                <w:color w:val="auto"/>
                <w:sz w:val="24"/>
                <w:szCs w:val="24"/>
              </w:rPr>
              <w:t>南侧约</w:t>
            </w:r>
            <w:r>
              <w:rPr>
                <w:rFonts w:hint="eastAsia"/>
                <w:color w:val="auto"/>
                <w:sz w:val="24"/>
                <w:szCs w:val="24"/>
              </w:rPr>
              <w:t>20</w:t>
            </w:r>
            <w:r>
              <w:rPr>
                <w:color w:val="auto"/>
                <w:sz w:val="24"/>
                <w:szCs w:val="24"/>
              </w:rPr>
              <w:t>m</w:t>
            </w:r>
            <w:r>
              <w:rPr>
                <w:rFonts w:hAnsi="宋体"/>
                <w:color w:val="auto"/>
                <w:sz w:val="24"/>
                <w:szCs w:val="24"/>
              </w:rPr>
              <w:t>的</w:t>
            </w:r>
            <w:r>
              <w:rPr>
                <w:rFonts w:hint="eastAsia" w:hAnsi="宋体"/>
                <w:color w:val="auto"/>
                <w:sz w:val="24"/>
                <w:szCs w:val="24"/>
              </w:rPr>
              <w:t>分散</w:t>
            </w:r>
            <w:r>
              <w:rPr>
                <w:rFonts w:hAnsi="宋体"/>
                <w:color w:val="auto"/>
                <w:sz w:val="24"/>
                <w:szCs w:val="24"/>
              </w:rPr>
              <w:t>居民</w:t>
            </w:r>
            <w:r>
              <w:rPr>
                <w:rFonts w:hint="eastAsia" w:hAnsi="宋体"/>
                <w:color w:val="auto"/>
                <w:sz w:val="24"/>
                <w:szCs w:val="24"/>
              </w:rPr>
              <w:t>及汽修厂</w:t>
            </w:r>
            <w:r>
              <w:rPr>
                <w:rFonts w:hAnsi="宋体"/>
                <w:color w:val="auto"/>
                <w:sz w:val="24"/>
                <w:szCs w:val="24"/>
              </w:rPr>
              <w:t>影响较大。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eastAsia="宋体"/>
                <w:i w:val="0"/>
                <w:iCs w:val="0"/>
                <w:color w:val="auto"/>
                <w:sz w:val="24"/>
                <w:szCs w:val="24"/>
                <w:u w:val="single"/>
                <w:lang w:val="en-US" w:eastAsia="zh-CN"/>
              </w:rPr>
            </w:pPr>
            <w:r>
              <w:rPr>
                <w:rFonts w:hint="eastAsia" w:hAnsi="宋体"/>
                <w:i w:val="0"/>
                <w:iCs w:val="0"/>
                <w:color w:val="auto"/>
                <w:sz w:val="24"/>
                <w:szCs w:val="24"/>
                <w:u w:val="single"/>
                <w:lang w:val="en-US" w:eastAsia="zh-CN"/>
              </w:rPr>
              <w:t>2、噪声防治措施及相关管理要求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Ansi="宋体"/>
                <w:i w:val="0"/>
                <w:iCs w:val="0"/>
                <w:color w:val="auto"/>
                <w:sz w:val="24"/>
                <w:szCs w:val="24"/>
                <w:u w:val="single"/>
              </w:rPr>
            </w:pPr>
            <w:r>
              <w:rPr>
                <w:rFonts w:hAnsi="宋体"/>
                <w:i w:val="0"/>
                <w:iCs w:val="0"/>
                <w:color w:val="auto"/>
                <w:sz w:val="24"/>
                <w:szCs w:val="24"/>
                <w:u w:val="single"/>
              </w:rPr>
              <w:t>由项目环境影响分析可知，该项目实施期间所产生的噪声绝大多数超过《建筑施工场界环境噪声排放标准》</w:t>
            </w:r>
            <w:r>
              <w:rPr>
                <w:i w:val="0"/>
                <w:iCs w:val="0"/>
                <w:color w:val="auto"/>
                <w:sz w:val="24"/>
                <w:szCs w:val="24"/>
                <w:u w:val="single"/>
              </w:rPr>
              <w:t>(GB12523-2011)</w:t>
            </w:r>
            <w:r>
              <w:rPr>
                <w:rFonts w:hAnsi="宋体"/>
                <w:i w:val="0"/>
                <w:iCs w:val="0"/>
                <w:color w:val="auto"/>
                <w:sz w:val="24"/>
                <w:szCs w:val="24"/>
                <w:u w:val="single"/>
              </w:rPr>
              <w:t>要求，因此要求建设单位从以下几方面着手，采取适当的实施措施来减轻其噪声的影响。</w:t>
            </w:r>
            <w:bookmarkStart w:id="18" w:name="_Toc74102350"/>
            <w:bookmarkStart w:id="19" w:name="_Toc74394932"/>
            <w:bookmarkStart w:id="20" w:name="_Toc74541795"/>
            <w:bookmarkStart w:id="21" w:name="_Toc74563320"/>
            <w:bookmarkStart w:id="22" w:name="_Toc80979192"/>
            <w:bookmarkStart w:id="23" w:name="_Toc81067328"/>
            <w:bookmarkStart w:id="24" w:name="_Toc83279405"/>
            <w:bookmarkStart w:id="25" w:name="_Toc83353801"/>
            <w:bookmarkStart w:id="26" w:name="_Toc83355740"/>
            <w:bookmarkStart w:id="27" w:name="_Toc83948137"/>
            <w:bookmarkStart w:id="28" w:name="_Toc84126611"/>
            <w:bookmarkStart w:id="29" w:name="_Toc85527649"/>
            <w:bookmarkStart w:id="30" w:name="_Toc85586525"/>
            <w:bookmarkStart w:id="31" w:name="_Toc85937679"/>
            <w:bookmarkStart w:id="32" w:name="_Toc108517280"/>
            <w:bookmarkStart w:id="33" w:name="_Toc108517693"/>
            <w:bookmarkStart w:id="34" w:name="_Toc108517859"/>
            <w:bookmarkStart w:id="35" w:name="_Toc108518138"/>
            <w:bookmarkStart w:id="36" w:name="_Toc109022023"/>
            <w:bookmarkStart w:id="37" w:name="_Toc109022127"/>
            <w:bookmarkStart w:id="38" w:name="_Toc109120942"/>
            <w:bookmarkStart w:id="39" w:name="_Toc113229922"/>
            <w:bookmarkStart w:id="40" w:name="_Toc113230192"/>
            <w:bookmarkStart w:id="41" w:name="_Toc113260444"/>
            <w:bookmarkStart w:id="42" w:name="_Toc113284025"/>
            <w:bookmarkStart w:id="43" w:name="_Toc139065403"/>
            <w:bookmarkStart w:id="44" w:name="_Toc139065551"/>
            <w:bookmarkStart w:id="45" w:name="_Toc139793102"/>
            <w:bookmarkStart w:id="46" w:name="_Toc139793251"/>
            <w:bookmarkStart w:id="47" w:name="_Toc140404454"/>
            <w:bookmarkStart w:id="48" w:name="_Toc151185049"/>
            <w:r>
              <w:rPr>
                <w:rFonts w:hAnsi="宋体"/>
                <w:i w:val="0"/>
                <w:iCs w:val="0"/>
                <w:color w:val="auto"/>
                <w:sz w:val="24"/>
                <w:szCs w:val="24"/>
                <w:u w:val="single"/>
              </w:rPr>
              <w:t>为了减少施工现场噪声污染的影响，施工过程中可采取如下技术措施：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i w:val="0"/>
                <w:iCs w:val="0"/>
                <w:color w:val="auto"/>
                <w:sz w:val="24"/>
                <w:szCs w:val="24"/>
                <w:u w:val="single"/>
              </w:rPr>
            </w:pPr>
            <w:r>
              <w:rPr>
                <w:i w:val="0"/>
                <w:iCs w:val="0"/>
                <w:color w:val="auto"/>
                <w:sz w:val="24"/>
                <w:szCs w:val="24"/>
                <w:u w:val="single"/>
              </w:rPr>
              <w:t>(1)</w:t>
            </w:r>
            <w:r>
              <w:rPr>
                <w:rFonts w:hAnsi="宋体"/>
                <w:i w:val="0"/>
                <w:iCs w:val="0"/>
                <w:color w:val="auto"/>
                <w:sz w:val="24"/>
                <w:szCs w:val="24"/>
                <w:u w:val="single"/>
              </w:rPr>
              <w:t>尽量选用低噪声机械设备或带隔声、消声的设备；以液压工具代替气压冲击工具；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i w:val="0"/>
                <w:iCs w:val="0"/>
                <w:color w:val="auto"/>
                <w:sz w:val="24"/>
                <w:szCs w:val="24"/>
                <w:u w:val="single"/>
              </w:rPr>
            </w:pPr>
            <w:r>
              <w:rPr>
                <w:i w:val="0"/>
                <w:iCs w:val="0"/>
                <w:color w:val="auto"/>
                <w:sz w:val="24"/>
                <w:szCs w:val="24"/>
                <w:u w:val="single"/>
              </w:rPr>
              <w:t>(2)</w:t>
            </w:r>
            <w:r>
              <w:rPr>
                <w:rFonts w:hAnsi="宋体"/>
                <w:i w:val="0"/>
                <w:iCs w:val="0"/>
                <w:color w:val="auto"/>
                <w:sz w:val="24"/>
                <w:szCs w:val="24"/>
                <w:u w:val="single"/>
              </w:rPr>
              <w:t>合理安排施工时间，制订施工计划时，应尽可能避免大量的高噪声设备同时施工。除此之外，高噪声施工时间尽量安排在白天，减少夜间施工量，夜间施工应确保项目边界的声级不超出</w:t>
            </w:r>
            <w:r>
              <w:rPr>
                <w:i w:val="0"/>
                <w:iCs w:val="0"/>
                <w:color w:val="auto"/>
                <w:sz w:val="24"/>
                <w:szCs w:val="24"/>
                <w:u w:val="single"/>
              </w:rPr>
              <w:t>55dB(A)</w:t>
            </w:r>
            <w:r>
              <w:rPr>
                <w:rFonts w:hAnsi="宋体"/>
                <w:i w:val="0"/>
                <w:iCs w:val="0"/>
                <w:color w:val="auto"/>
                <w:sz w:val="24"/>
                <w:szCs w:val="24"/>
                <w:u w:val="single"/>
              </w:rPr>
              <w:t>。在施工边界，设置临时隔声屏障或竖立大型广告牌，以减少噪声影响；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i w:val="0"/>
                <w:iCs w:val="0"/>
                <w:color w:val="auto"/>
                <w:sz w:val="24"/>
                <w:szCs w:val="24"/>
                <w:u w:val="single"/>
              </w:rPr>
            </w:pPr>
            <w:r>
              <w:rPr>
                <w:i w:val="0"/>
                <w:iCs w:val="0"/>
                <w:color w:val="auto"/>
                <w:sz w:val="24"/>
                <w:szCs w:val="24"/>
                <w:u w:val="single"/>
              </w:rPr>
              <w:t>(3)</w:t>
            </w:r>
            <w:r>
              <w:rPr>
                <w:rFonts w:hAnsi="宋体"/>
                <w:i w:val="0"/>
                <w:iCs w:val="0"/>
                <w:color w:val="auto"/>
                <w:sz w:val="24"/>
                <w:szCs w:val="24"/>
                <w:u w:val="single"/>
              </w:rPr>
              <w:t>对施工人员采取防护措施，如带防护耳塞、经常轮换作业等措施；在中午</w:t>
            </w:r>
            <w:r>
              <w:rPr>
                <w:i w:val="0"/>
                <w:iCs w:val="0"/>
                <w:color w:val="auto"/>
                <w:sz w:val="24"/>
                <w:szCs w:val="24"/>
                <w:u w:val="single"/>
              </w:rPr>
              <w:t>(12</w:t>
            </w:r>
            <w:r>
              <w:rPr>
                <w:rFonts w:hAnsi="宋体"/>
                <w:i w:val="0"/>
                <w:iCs w:val="0"/>
                <w:color w:val="auto"/>
                <w:sz w:val="24"/>
                <w:szCs w:val="24"/>
                <w:u w:val="single"/>
              </w:rPr>
              <w:t>：</w:t>
            </w:r>
            <w:r>
              <w:rPr>
                <w:i w:val="0"/>
                <w:iCs w:val="0"/>
                <w:color w:val="auto"/>
                <w:sz w:val="24"/>
                <w:szCs w:val="24"/>
                <w:u w:val="single"/>
              </w:rPr>
              <w:t>00-14</w:t>
            </w:r>
            <w:r>
              <w:rPr>
                <w:rFonts w:hAnsi="宋体"/>
                <w:i w:val="0"/>
                <w:iCs w:val="0"/>
                <w:color w:val="auto"/>
                <w:sz w:val="24"/>
                <w:szCs w:val="24"/>
                <w:u w:val="single"/>
              </w:rPr>
              <w:t>：</w:t>
            </w:r>
            <w:r>
              <w:rPr>
                <w:i w:val="0"/>
                <w:iCs w:val="0"/>
                <w:color w:val="auto"/>
                <w:sz w:val="24"/>
                <w:szCs w:val="24"/>
                <w:u w:val="single"/>
              </w:rPr>
              <w:t>30)</w:t>
            </w:r>
            <w:r>
              <w:rPr>
                <w:rFonts w:hAnsi="宋体"/>
                <w:i w:val="0"/>
                <w:iCs w:val="0"/>
                <w:color w:val="auto"/>
                <w:sz w:val="24"/>
                <w:szCs w:val="24"/>
                <w:u w:val="single"/>
              </w:rPr>
              <w:t>和夜间</w:t>
            </w:r>
            <w:r>
              <w:rPr>
                <w:i w:val="0"/>
                <w:iCs w:val="0"/>
                <w:color w:val="auto"/>
                <w:sz w:val="24"/>
                <w:szCs w:val="24"/>
                <w:u w:val="single"/>
              </w:rPr>
              <w:t>(22</w:t>
            </w:r>
            <w:r>
              <w:rPr>
                <w:rFonts w:hAnsi="宋体"/>
                <w:i w:val="0"/>
                <w:iCs w:val="0"/>
                <w:color w:val="auto"/>
                <w:sz w:val="24"/>
                <w:szCs w:val="24"/>
                <w:u w:val="single"/>
              </w:rPr>
              <w:t>：</w:t>
            </w:r>
            <w:r>
              <w:rPr>
                <w:i w:val="0"/>
                <w:iCs w:val="0"/>
                <w:color w:val="auto"/>
                <w:sz w:val="24"/>
                <w:szCs w:val="24"/>
                <w:u w:val="single"/>
              </w:rPr>
              <w:t>00-06</w:t>
            </w:r>
            <w:r>
              <w:rPr>
                <w:rFonts w:hAnsi="宋体"/>
                <w:i w:val="0"/>
                <w:iCs w:val="0"/>
                <w:color w:val="auto"/>
                <w:sz w:val="24"/>
                <w:szCs w:val="24"/>
                <w:u w:val="single"/>
              </w:rPr>
              <w:t>：</w:t>
            </w:r>
            <w:r>
              <w:rPr>
                <w:i w:val="0"/>
                <w:iCs w:val="0"/>
                <w:color w:val="auto"/>
                <w:sz w:val="24"/>
                <w:szCs w:val="24"/>
                <w:u w:val="single"/>
              </w:rPr>
              <w:t>00)</w:t>
            </w:r>
            <w:r>
              <w:rPr>
                <w:rFonts w:hAnsi="宋体"/>
                <w:i w:val="0"/>
                <w:iCs w:val="0"/>
                <w:color w:val="auto"/>
                <w:sz w:val="24"/>
                <w:szCs w:val="24"/>
                <w:u w:val="single"/>
              </w:rPr>
              <w:t>，禁止高噪声</w:t>
            </w:r>
            <w:r>
              <w:rPr>
                <w:i w:val="0"/>
                <w:iCs w:val="0"/>
                <w:color w:val="auto"/>
                <w:sz w:val="24"/>
                <w:szCs w:val="24"/>
                <w:u w:val="single"/>
              </w:rPr>
              <w:t>(</w:t>
            </w:r>
            <w:r>
              <w:rPr>
                <w:rFonts w:hAnsi="宋体"/>
                <w:i w:val="0"/>
                <w:iCs w:val="0"/>
                <w:color w:val="auto"/>
                <w:sz w:val="24"/>
                <w:szCs w:val="24"/>
                <w:u w:val="single"/>
              </w:rPr>
              <w:t>如爆破等</w:t>
            </w:r>
            <w:r>
              <w:rPr>
                <w:i w:val="0"/>
                <w:iCs w:val="0"/>
                <w:color w:val="auto"/>
                <w:sz w:val="24"/>
                <w:szCs w:val="24"/>
                <w:u w:val="single"/>
              </w:rPr>
              <w:t>)</w:t>
            </w:r>
            <w:r>
              <w:rPr>
                <w:rFonts w:hAnsi="宋体"/>
                <w:i w:val="0"/>
                <w:iCs w:val="0"/>
                <w:color w:val="auto"/>
                <w:sz w:val="24"/>
                <w:szCs w:val="24"/>
                <w:u w:val="single"/>
              </w:rPr>
              <w:t>产生高噪声污染的施工作业；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i w:val="0"/>
                <w:iCs w:val="0"/>
                <w:color w:val="auto"/>
                <w:sz w:val="24"/>
                <w:szCs w:val="24"/>
                <w:u w:val="single"/>
              </w:rPr>
            </w:pPr>
            <w:r>
              <w:rPr>
                <w:i w:val="0"/>
                <w:iCs w:val="0"/>
                <w:color w:val="auto"/>
                <w:sz w:val="24"/>
                <w:szCs w:val="24"/>
                <w:u w:val="single"/>
              </w:rPr>
              <w:t>(4)</w:t>
            </w:r>
            <w:r>
              <w:rPr>
                <w:rFonts w:hAnsi="宋体"/>
                <w:i w:val="0"/>
                <w:iCs w:val="0"/>
                <w:color w:val="auto"/>
                <w:sz w:val="24"/>
                <w:szCs w:val="24"/>
                <w:u w:val="single"/>
              </w:rPr>
              <w:t>施工现场合理布局：将施工现场的固定噪声源相对集中，置于远离环境敏感受纳体的位置，并充分利用地形，特别是重型运载车辆的运行路线，应尽量避开噪声敏感区，尽量减少交通堵塞和待车行驶；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i w:val="0"/>
                <w:iCs w:val="0"/>
                <w:color w:val="auto"/>
                <w:sz w:val="24"/>
                <w:szCs w:val="24"/>
                <w:u w:val="single"/>
              </w:rPr>
            </w:pPr>
            <w:r>
              <w:rPr>
                <w:i w:val="0"/>
                <w:iCs w:val="0"/>
                <w:color w:val="auto"/>
                <w:sz w:val="24"/>
                <w:szCs w:val="24"/>
                <w:u w:val="single"/>
              </w:rPr>
              <w:t xml:space="preserve">(5) </w:t>
            </w:r>
            <w:r>
              <w:rPr>
                <w:rFonts w:hAnsi="宋体"/>
                <w:i w:val="0"/>
                <w:iCs w:val="0"/>
                <w:color w:val="auto"/>
                <w:sz w:val="24"/>
                <w:szCs w:val="24"/>
                <w:u w:val="single"/>
              </w:rPr>
              <w:t>在施工场地边界处设置围墙、移动声屏障，选用复合材料移动声屏障，隔声量为</w:t>
            </w:r>
            <w:r>
              <w:rPr>
                <w:i w:val="0"/>
                <w:iCs w:val="0"/>
                <w:color w:val="auto"/>
                <w:sz w:val="24"/>
                <w:szCs w:val="24"/>
                <w:u w:val="single"/>
              </w:rPr>
              <w:t>10</w:t>
            </w:r>
            <w:r>
              <w:rPr>
                <w:rFonts w:hAnsi="宋体"/>
                <w:i w:val="0"/>
                <w:iCs w:val="0"/>
                <w:color w:val="auto"/>
                <w:sz w:val="24"/>
                <w:szCs w:val="24"/>
                <w:u w:val="single"/>
              </w:rPr>
              <w:t>～</w:t>
            </w:r>
            <w:r>
              <w:rPr>
                <w:i w:val="0"/>
                <w:iCs w:val="0"/>
                <w:color w:val="auto"/>
                <w:sz w:val="24"/>
                <w:szCs w:val="24"/>
                <w:u w:val="single"/>
              </w:rPr>
              <w:t>20dB(A)</w:t>
            </w:r>
            <w:r>
              <w:rPr>
                <w:rFonts w:hAnsi="宋体"/>
                <w:i w:val="0"/>
                <w:iCs w:val="0"/>
                <w:color w:val="auto"/>
                <w:sz w:val="24"/>
                <w:szCs w:val="24"/>
                <w:u w:val="single"/>
              </w:rPr>
              <w:t>，减少施工噪声对敏感点的影响；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i w:val="0"/>
                <w:iCs w:val="0"/>
                <w:color w:val="auto"/>
                <w:sz w:val="24"/>
                <w:szCs w:val="24"/>
                <w:u w:val="single"/>
              </w:rPr>
            </w:pPr>
            <w:r>
              <w:rPr>
                <w:i w:val="0"/>
                <w:iCs w:val="0"/>
                <w:color w:val="auto"/>
                <w:sz w:val="24"/>
                <w:szCs w:val="24"/>
                <w:u w:val="single"/>
              </w:rPr>
              <w:t xml:space="preserve">(6) </w:t>
            </w:r>
            <w:r>
              <w:rPr>
                <w:rFonts w:hAnsi="宋体"/>
                <w:i w:val="0"/>
                <w:iCs w:val="0"/>
                <w:color w:val="auto"/>
                <w:sz w:val="24"/>
                <w:szCs w:val="24"/>
                <w:u w:val="single"/>
              </w:rPr>
              <w:t>改革施工机械、施工工艺和操作方法以降低噪声，同时维持机械设备处于良好运转状态以降低噪声对环境的影响。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rFonts w:hAnsi="宋体"/>
                <w:i w:val="0"/>
                <w:iCs w:val="0"/>
                <w:color w:val="auto"/>
                <w:sz w:val="24"/>
                <w:szCs w:val="24"/>
                <w:u w:val="single"/>
              </w:rPr>
            </w:pPr>
            <w:r>
              <w:rPr>
                <w:i w:val="0"/>
                <w:iCs w:val="0"/>
                <w:color w:val="auto"/>
                <w:sz w:val="24"/>
                <w:szCs w:val="24"/>
                <w:u w:val="single"/>
              </w:rPr>
              <w:t>(7)</w:t>
            </w:r>
            <w:r>
              <w:rPr>
                <w:rFonts w:hAnsi="宋体"/>
                <w:i w:val="0"/>
                <w:iCs w:val="0"/>
                <w:color w:val="auto"/>
                <w:sz w:val="24"/>
                <w:szCs w:val="24"/>
                <w:u w:val="single"/>
              </w:rPr>
              <w:t>近年来出现不少施工噪声扰民而遭投诉现象，据统计，这种现象多发生在施工噪声影响居民休息而产生的纠纷。因此施工单位必须在工程开工前</w:t>
            </w:r>
            <w:r>
              <w:rPr>
                <w:i w:val="0"/>
                <w:iCs w:val="0"/>
                <w:color w:val="auto"/>
                <w:sz w:val="24"/>
                <w:szCs w:val="24"/>
                <w:u w:val="single"/>
              </w:rPr>
              <w:t>15</w:t>
            </w:r>
            <w:r>
              <w:rPr>
                <w:rFonts w:hAnsi="宋体"/>
                <w:i w:val="0"/>
                <w:iCs w:val="0"/>
                <w:color w:val="auto"/>
                <w:sz w:val="24"/>
                <w:szCs w:val="24"/>
                <w:u w:val="single"/>
              </w:rPr>
              <w:t>天内向有审批权的环境保护部门提出申报，并说明拟采取的防治措施，避免因施工噪声而扰民。</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i w:val="0"/>
                <w:iCs w:val="0"/>
                <w:color w:val="auto"/>
                <w:sz w:val="24"/>
                <w:szCs w:val="24"/>
                <w:u w:val="single"/>
              </w:rPr>
            </w:pPr>
            <w:r>
              <w:rPr>
                <w:rFonts w:hint="eastAsia" w:cs="Times New Roman"/>
                <w:i w:val="0"/>
                <w:iCs w:val="0"/>
                <w:color w:val="auto"/>
                <w:sz w:val="24"/>
                <w:szCs w:val="24"/>
                <w:u w:val="single"/>
                <w:lang w:eastAsia="zh-CN"/>
              </w:rPr>
              <w:t>（</w:t>
            </w:r>
            <w:r>
              <w:rPr>
                <w:rFonts w:hint="eastAsia" w:cs="Times New Roman"/>
                <w:i w:val="0"/>
                <w:iCs w:val="0"/>
                <w:color w:val="auto"/>
                <w:sz w:val="24"/>
                <w:szCs w:val="24"/>
                <w:u w:val="single"/>
                <w:lang w:val="en-US" w:eastAsia="zh-CN"/>
              </w:rPr>
              <w:t>8</w:t>
            </w:r>
            <w:r>
              <w:rPr>
                <w:rFonts w:hint="eastAsia" w:cs="Times New Roman"/>
                <w:i w:val="0"/>
                <w:iCs w:val="0"/>
                <w:color w:val="auto"/>
                <w:sz w:val="24"/>
                <w:szCs w:val="24"/>
                <w:u w:val="single"/>
                <w:lang w:eastAsia="zh-CN"/>
              </w:rPr>
              <w:t>）</w:t>
            </w:r>
            <w:r>
              <w:rPr>
                <w:rFonts w:hint="default" w:ascii="Times New Roman" w:hAnsi="Times New Roman" w:eastAsia="宋体" w:cs="Times New Roman"/>
                <w:i w:val="0"/>
                <w:iCs w:val="0"/>
                <w:color w:val="auto"/>
                <w:sz w:val="24"/>
                <w:szCs w:val="24"/>
                <w:u w:val="single"/>
              </w:rPr>
              <w:t>加强设备维护，减少摩擦产生的高噪声污染。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i w:val="0"/>
                <w:iCs w:val="0"/>
                <w:color w:val="auto"/>
                <w:sz w:val="24"/>
                <w:szCs w:val="24"/>
                <w:u w:val="single"/>
              </w:rPr>
            </w:pPr>
            <w:r>
              <w:rPr>
                <w:rFonts w:hint="eastAsia" w:cs="Times New Roman"/>
                <w:i w:val="0"/>
                <w:iCs w:val="0"/>
                <w:color w:val="auto"/>
                <w:sz w:val="24"/>
                <w:szCs w:val="24"/>
                <w:u w:val="single"/>
                <w:lang w:eastAsia="zh-CN"/>
              </w:rPr>
              <w:t>（</w:t>
            </w:r>
            <w:r>
              <w:rPr>
                <w:rFonts w:hint="eastAsia" w:cs="Times New Roman"/>
                <w:i w:val="0"/>
                <w:iCs w:val="0"/>
                <w:color w:val="auto"/>
                <w:sz w:val="24"/>
                <w:szCs w:val="24"/>
                <w:u w:val="single"/>
                <w:lang w:val="en-US" w:eastAsia="zh-CN"/>
              </w:rPr>
              <w:t>9</w:t>
            </w:r>
            <w:r>
              <w:rPr>
                <w:rFonts w:hint="eastAsia" w:cs="Times New Roman"/>
                <w:i w:val="0"/>
                <w:iCs w:val="0"/>
                <w:color w:val="auto"/>
                <w:sz w:val="24"/>
                <w:szCs w:val="24"/>
                <w:u w:val="single"/>
                <w:lang w:eastAsia="zh-CN"/>
              </w:rPr>
              <w:t>）</w:t>
            </w:r>
            <w:r>
              <w:rPr>
                <w:rFonts w:hint="default" w:ascii="Times New Roman" w:hAnsi="Times New Roman" w:eastAsia="宋体" w:cs="Times New Roman"/>
                <w:i w:val="0"/>
                <w:iCs w:val="0"/>
                <w:color w:val="auto"/>
                <w:sz w:val="24"/>
                <w:szCs w:val="24"/>
                <w:u w:val="single"/>
              </w:rPr>
              <w:t>施工区域设置警示标志和限速标志，严禁超速行驶产生较大噪声。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i w:val="0"/>
                <w:iCs w:val="0"/>
                <w:color w:val="auto"/>
                <w:sz w:val="24"/>
                <w:szCs w:val="24"/>
                <w:u w:val="single"/>
              </w:rPr>
            </w:pPr>
            <w:r>
              <w:rPr>
                <w:rFonts w:hint="eastAsia" w:cs="Times New Roman"/>
                <w:i w:val="0"/>
                <w:iCs w:val="0"/>
                <w:color w:val="auto"/>
                <w:sz w:val="24"/>
                <w:szCs w:val="24"/>
                <w:u w:val="single"/>
                <w:lang w:eastAsia="zh-CN"/>
              </w:rPr>
              <w:t>（</w:t>
            </w:r>
            <w:r>
              <w:rPr>
                <w:rFonts w:hint="eastAsia" w:cs="Times New Roman"/>
                <w:i w:val="0"/>
                <w:iCs w:val="0"/>
                <w:color w:val="auto"/>
                <w:sz w:val="24"/>
                <w:szCs w:val="24"/>
                <w:u w:val="single"/>
                <w:lang w:val="en-US" w:eastAsia="zh-CN"/>
              </w:rPr>
              <w:t>10</w:t>
            </w:r>
            <w:r>
              <w:rPr>
                <w:rFonts w:hint="eastAsia" w:cs="Times New Roman"/>
                <w:i w:val="0"/>
                <w:iCs w:val="0"/>
                <w:color w:val="auto"/>
                <w:sz w:val="24"/>
                <w:szCs w:val="24"/>
                <w:u w:val="single"/>
                <w:lang w:eastAsia="zh-CN"/>
              </w:rPr>
              <w:t>）</w:t>
            </w:r>
            <w:r>
              <w:rPr>
                <w:rFonts w:hint="default" w:ascii="Times New Roman" w:hAnsi="Times New Roman" w:eastAsia="宋体" w:cs="Times New Roman"/>
                <w:i w:val="0"/>
                <w:iCs w:val="0"/>
                <w:color w:val="auto"/>
                <w:sz w:val="24"/>
                <w:szCs w:val="24"/>
                <w:u w:val="single"/>
              </w:rPr>
              <w:t>对一些固定的、噪声强度较大的施工设备如振动筛分机、搅拌机等单独搭建隔音棚，或建一定高度的空心墙来隔声降噪；对移动噪声源如推土机、挖掘机等应选择可移动式临时声屏障。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i w:val="0"/>
                <w:iCs w:val="0"/>
                <w:color w:val="auto"/>
                <w:sz w:val="24"/>
                <w:szCs w:val="24"/>
                <w:u w:val="single"/>
                <w:lang w:eastAsia="zh-CN"/>
              </w:rPr>
            </w:pPr>
            <w:r>
              <w:rPr>
                <w:rFonts w:hint="eastAsia" w:cs="Times New Roman"/>
                <w:i w:val="0"/>
                <w:iCs w:val="0"/>
                <w:color w:val="auto"/>
                <w:sz w:val="24"/>
                <w:szCs w:val="24"/>
                <w:u w:val="single"/>
                <w:lang w:eastAsia="zh-CN"/>
              </w:rPr>
              <w:t>（</w:t>
            </w:r>
            <w:r>
              <w:rPr>
                <w:rFonts w:hint="eastAsia" w:cs="Times New Roman"/>
                <w:i w:val="0"/>
                <w:iCs w:val="0"/>
                <w:color w:val="auto"/>
                <w:sz w:val="24"/>
                <w:szCs w:val="24"/>
                <w:u w:val="single"/>
                <w:lang w:val="en-US" w:eastAsia="zh-CN"/>
              </w:rPr>
              <w:t>11</w:t>
            </w:r>
            <w:r>
              <w:rPr>
                <w:rFonts w:hint="eastAsia" w:cs="Times New Roman"/>
                <w:i w:val="0"/>
                <w:iCs w:val="0"/>
                <w:color w:val="auto"/>
                <w:sz w:val="24"/>
                <w:szCs w:val="24"/>
                <w:u w:val="single"/>
                <w:lang w:eastAsia="zh-CN"/>
              </w:rPr>
              <w:t>）</w:t>
            </w:r>
            <w:r>
              <w:rPr>
                <w:rFonts w:hint="eastAsia" w:ascii="Times New Roman" w:hAnsi="Times New Roman" w:eastAsia="宋体" w:cs="Times New Roman"/>
                <w:i w:val="0"/>
                <w:iCs w:val="0"/>
                <w:color w:val="auto"/>
                <w:sz w:val="24"/>
                <w:szCs w:val="24"/>
                <w:u w:val="single"/>
                <w:lang w:eastAsia="zh-CN"/>
              </w:rPr>
              <w:t>建筑垃圾运输车辆在经过居民区时应低速行驶，并禁止鸣笛。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i w:val="0"/>
                <w:iCs w:val="0"/>
                <w:color w:val="auto"/>
                <w:u w:val="single"/>
              </w:rPr>
            </w:pPr>
            <w:r>
              <w:rPr>
                <w:rFonts w:hint="eastAsia" w:cs="Times New Roman"/>
                <w:i w:val="0"/>
                <w:iCs w:val="0"/>
                <w:color w:val="auto"/>
                <w:sz w:val="24"/>
                <w:szCs w:val="24"/>
                <w:u w:val="single"/>
                <w:lang w:eastAsia="zh-CN"/>
              </w:rPr>
              <w:t>（</w:t>
            </w:r>
            <w:r>
              <w:rPr>
                <w:rFonts w:hint="eastAsia" w:cs="Times New Roman"/>
                <w:i w:val="0"/>
                <w:iCs w:val="0"/>
                <w:color w:val="auto"/>
                <w:sz w:val="24"/>
                <w:szCs w:val="24"/>
                <w:u w:val="single"/>
                <w:lang w:val="en-US" w:eastAsia="zh-CN"/>
              </w:rPr>
              <w:t>12</w:t>
            </w:r>
            <w:r>
              <w:rPr>
                <w:rFonts w:hint="eastAsia" w:cs="Times New Roman"/>
                <w:i w:val="0"/>
                <w:iCs w:val="0"/>
                <w:color w:val="auto"/>
                <w:sz w:val="24"/>
                <w:szCs w:val="24"/>
                <w:u w:val="single"/>
                <w:lang w:eastAsia="zh-CN"/>
              </w:rPr>
              <w:t>）</w:t>
            </w:r>
            <w:r>
              <w:rPr>
                <w:rFonts w:hint="eastAsia" w:ascii="Times New Roman" w:hAnsi="Times New Roman" w:eastAsia="宋体" w:cs="Times New Roman"/>
                <w:i w:val="0"/>
                <w:iCs w:val="0"/>
                <w:color w:val="auto"/>
                <w:sz w:val="24"/>
                <w:szCs w:val="24"/>
                <w:u w:val="single"/>
                <w:lang w:eastAsia="zh-CN"/>
              </w:rPr>
              <w:t>项目设备中较大噪声源的设备，如风机、破碎机，建议放置于负压密闭大棚内地坑处，进一步降低噪声的传播。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color w:val="auto"/>
                <w:sz w:val="24"/>
                <w:szCs w:val="24"/>
              </w:rPr>
            </w:pPr>
            <w:r>
              <w:rPr>
                <w:rFonts w:hAnsi="宋体"/>
                <w:i w:val="0"/>
                <w:iCs w:val="0"/>
                <w:color w:val="auto"/>
                <w:sz w:val="24"/>
                <w:szCs w:val="24"/>
                <w:u w:val="single"/>
              </w:rPr>
              <w:t>建设单位必须全面落实以上噪声防治措施，不得对周边居民产生扰民现象，并使施工各阶段的厂界噪声符合《建筑施工场界环境噪声排放标准》（</w:t>
            </w:r>
            <w:r>
              <w:rPr>
                <w:i w:val="0"/>
                <w:iCs w:val="0"/>
                <w:color w:val="auto"/>
                <w:sz w:val="24"/>
                <w:szCs w:val="24"/>
                <w:u w:val="single"/>
              </w:rPr>
              <w:t>GB12523-2011</w:t>
            </w:r>
            <w:r>
              <w:rPr>
                <w:rFonts w:hAnsi="宋体"/>
                <w:i w:val="0"/>
                <w:iCs w:val="0"/>
                <w:color w:val="auto"/>
                <w:sz w:val="24"/>
                <w:szCs w:val="24"/>
                <w:u w:val="single"/>
              </w:rPr>
              <w:t>）中的要求。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四、固体废物影响分析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kern w:val="0"/>
                <w:sz w:val="24"/>
                <w:szCs w:val="22"/>
              </w:rPr>
            </w:pPr>
            <w:r>
              <w:rPr>
                <w:rFonts w:hAnsi="宋体"/>
                <w:color w:val="auto"/>
                <w:kern w:val="0"/>
                <w:sz w:val="24"/>
                <w:szCs w:val="22"/>
              </w:rPr>
              <w:t>项目实施期产生的固废包括拆除的建筑垃圾、</w:t>
            </w:r>
            <w:r>
              <w:rPr>
                <w:rFonts w:hint="eastAsia" w:hAnsi="宋体"/>
                <w:color w:val="auto"/>
                <w:kern w:val="0"/>
                <w:sz w:val="24"/>
                <w:szCs w:val="22"/>
              </w:rPr>
              <w:t>除尘器收集粉尘</w:t>
            </w:r>
            <w:r>
              <w:rPr>
                <w:rFonts w:hAnsi="宋体"/>
                <w:color w:val="auto"/>
                <w:kern w:val="0"/>
                <w:sz w:val="24"/>
                <w:szCs w:val="22"/>
              </w:rPr>
              <w:t>、筛分渣土、废防渗材料、生活垃圾。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Cs/>
                <w:color w:val="auto"/>
                <w:kern w:val="0"/>
                <w:sz w:val="24"/>
                <w:szCs w:val="22"/>
                <w:highlight w:val="none"/>
              </w:rPr>
            </w:pPr>
            <w:r>
              <w:rPr>
                <w:rFonts w:hAnsi="宋体"/>
                <w:color w:val="auto"/>
                <w:kern w:val="0"/>
                <w:sz w:val="24"/>
                <w:szCs w:val="22"/>
                <w:highlight w:val="none"/>
              </w:rPr>
              <w:t>拆除的建筑垃圾</w:t>
            </w:r>
            <w:r>
              <w:rPr>
                <w:rFonts w:hAnsi="宋体"/>
                <w:color w:val="auto"/>
                <w:sz w:val="24"/>
                <w:highlight w:val="none"/>
              </w:rPr>
              <w:t>，为一般固废，运至</w:t>
            </w:r>
            <w:r>
              <w:rPr>
                <w:rFonts w:hint="eastAsia" w:hAnsi="宋体"/>
                <w:color w:val="auto"/>
                <w:sz w:val="24"/>
                <w:highlight w:val="none"/>
              </w:rPr>
              <w:t>相关专业机构进行</w:t>
            </w:r>
            <w:r>
              <w:rPr>
                <w:rFonts w:hint="eastAsia" w:hAnsi="宋体"/>
                <w:color w:val="auto"/>
                <w:sz w:val="24"/>
                <w:highlight w:val="none"/>
                <w:lang w:eastAsia="zh-CN"/>
              </w:rPr>
              <w:t>集中</w:t>
            </w:r>
            <w:r>
              <w:rPr>
                <w:rFonts w:hint="eastAsia" w:hAnsi="宋体"/>
                <w:color w:val="auto"/>
                <w:sz w:val="24"/>
                <w:highlight w:val="none"/>
              </w:rPr>
              <w:t>处理</w:t>
            </w:r>
            <w:r>
              <w:rPr>
                <w:rFonts w:hAnsi="宋体"/>
                <w:bCs/>
                <w:color w:val="auto"/>
                <w:kern w:val="0"/>
                <w:sz w:val="24"/>
                <w:szCs w:val="2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kern w:val="0"/>
                <w:sz w:val="24"/>
                <w:szCs w:val="22"/>
                <w:highlight w:val="none"/>
              </w:rPr>
            </w:pPr>
            <w:r>
              <w:rPr>
                <w:rFonts w:hAnsi="宋体"/>
                <w:color w:val="auto"/>
                <w:kern w:val="0"/>
                <w:sz w:val="24"/>
                <w:szCs w:val="22"/>
                <w:highlight w:val="none"/>
              </w:rPr>
              <w:t>废防渗材料，为一般固废，</w:t>
            </w:r>
            <w:r>
              <w:rPr>
                <w:rFonts w:hAnsi="宋体"/>
                <w:color w:val="auto"/>
                <w:sz w:val="24"/>
                <w:highlight w:val="none"/>
              </w:rPr>
              <w:t>运至</w:t>
            </w:r>
            <w:r>
              <w:rPr>
                <w:rFonts w:hint="eastAsia" w:hAnsi="宋体"/>
                <w:color w:val="auto"/>
                <w:sz w:val="24"/>
                <w:highlight w:val="none"/>
              </w:rPr>
              <w:t>相关专业机构进行</w:t>
            </w:r>
            <w:r>
              <w:rPr>
                <w:rFonts w:hint="eastAsia" w:hAnsi="宋体"/>
                <w:color w:val="auto"/>
                <w:sz w:val="24"/>
                <w:highlight w:val="none"/>
                <w:lang w:eastAsia="zh-CN"/>
              </w:rPr>
              <w:t>集中</w:t>
            </w:r>
            <w:r>
              <w:rPr>
                <w:rFonts w:hint="eastAsia" w:hAnsi="宋体"/>
                <w:color w:val="auto"/>
                <w:sz w:val="24"/>
                <w:highlight w:val="none"/>
              </w:rPr>
              <w:t>处理</w:t>
            </w:r>
            <w:r>
              <w:rPr>
                <w:rFonts w:hAnsi="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highlight w:val="none"/>
              </w:rPr>
            </w:pPr>
            <w:r>
              <w:rPr>
                <w:rFonts w:hAnsi="宋体"/>
                <w:color w:val="auto"/>
                <w:kern w:val="0"/>
                <w:sz w:val="24"/>
                <w:szCs w:val="22"/>
                <w:highlight w:val="none"/>
              </w:rPr>
              <w:t>土壤筛分渣块，主要是碎石、废铁丝、钢筋等建筑垃圾，属于一般固体废物，</w:t>
            </w:r>
            <w:r>
              <w:rPr>
                <w:rFonts w:hAnsi="宋体"/>
                <w:color w:val="auto"/>
                <w:sz w:val="24"/>
                <w:highlight w:val="none"/>
              </w:rPr>
              <w:t>运至</w:t>
            </w:r>
            <w:r>
              <w:rPr>
                <w:rFonts w:hint="eastAsia" w:hAnsi="宋体"/>
                <w:color w:val="auto"/>
                <w:sz w:val="24"/>
                <w:highlight w:val="none"/>
              </w:rPr>
              <w:t>相关专业机构进行</w:t>
            </w:r>
            <w:r>
              <w:rPr>
                <w:rFonts w:hint="eastAsia" w:hAnsi="宋体"/>
                <w:color w:val="auto"/>
                <w:sz w:val="24"/>
                <w:highlight w:val="none"/>
                <w:lang w:eastAsia="zh-CN"/>
              </w:rPr>
              <w:t>集中</w:t>
            </w:r>
            <w:r>
              <w:rPr>
                <w:rFonts w:hint="eastAsia" w:hAnsi="宋体"/>
                <w:color w:val="auto"/>
                <w:sz w:val="24"/>
                <w:highlight w:val="none"/>
              </w:rPr>
              <w:t>处理</w:t>
            </w:r>
            <w:r>
              <w:rPr>
                <w:rFonts w:hAnsi="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kern w:val="0"/>
                <w:sz w:val="24"/>
                <w:szCs w:val="22"/>
                <w:highlight w:val="none"/>
              </w:rPr>
            </w:pPr>
            <w:r>
              <w:rPr>
                <w:rFonts w:hint="eastAsia" w:hAnsi="宋体"/>
                <w:color w:val="auto"/>
                <w:kern w:val="0"/>
                <w:sz w:val="24"/>
                <w:szCs w:val="22"/>
                <w:highlight w:val="none"/>
              </w:rPr>
              <w:t>除尘器收集粉尘重新进行化学氧化处理修复。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color w:val="auto"/>
                <w:kern w:val="0"/>
                <w:sz w:val="24"/>
                <w:szCs w:val="22"/>
              </w:rPr>
              <w:t>员工生活垃圾</w:t>
            </w:r>
            <w:r>
              <w:rPr>
                <w:rFonts w:hAnsi="宋体"/>
                <w:color w:val="auto"/>
                <w:sz w:val="24"/>
                <w:szCs w:val="24"/>
                <w:lang w:val="zh-CN"/>
              </w:rPr>
              <w:t>统一集中收集，并定期交由环卫部门清运处理。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5"/>
              <w:jc w:val="both"/>
              <w:textAlignment w:val="auto"/>
              <w:outlineLvl w:val="9"/>
              <w:rPr>
                <w:rFonts w:hAnsi="宋体"/>
                <w:color w:val="auto"/>
                <w:sz w:val="24"/>
              </w:rPr>
            </w:pPr>
            <w:r>
              <w:rPr>
                <w:rFonts w:hAnsi="宋体"/>
                <w:color w:val="auto"/>
                <w:sz w:val="24"/>
              </w:rPr>
              <w:t>本项目产生的固体废物按照上述处置措施和管理的要求妥善处置，处理措施可行，不会对周围环境产生不良的影响。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eastAsia"/>
                <w:b/>
                <w:bCs/>
                <w:color w:val="0000FF"/>
                <w:sz w:val="24"/>
                <w:szCs w:val="24"/>
                <w:u w:val="single"/>
                <w:lang w:eastAsia="zh-CN"/>
              </w:rPr>
            </w:pPr>
            <w:r>
              <w:rPr>
                <w:rFonts w:hint="eastAsia"/>
                <w:b/>
                <w:bCs/>
                <w:color w:val="0000FF"/>
                <w:sz w:val="24"/>
                <w:szCs w:val="24"/>
                <w:u w:val="single"/>
                <w:lang w:eastAsia="zh-CN"/>
              </w:rPr>
              <w:t>部分固废转运至</w:t>
            </w:r>
            <w:r>
              <w:rPr>
                <w:rFonts w:hint="eastAsia"/>
                <w:b/>
                <w:bCs/>
                <w:color w:val="0000FF"/>
                <w:sz w:val="24"/>
                <w:szCs w:val="24"/>
                <w:u w:val="single"/>
              </w:rPr>
              <w:t>相关专业机构进行</w:t>
            </w:r>
            <w:r>
              <w:rPr>
                <w:rFonts w:hint="eastAsia"/>
                <w:b/>
                <w:bCs/>
                <w:color w:val="0000FF"/>
                <w:sz w:val="24"/>
                <w:szCs w:val="24"/>
                <w:u w:val="single"/>
                <w:lang w:eastAsia="zh-CN"/>
              </w:rPr>
              <w:t>集中</w:t>
            </w:r>
            <w:r>
              <w:rPr>
                <w:rFonts w:hint="eastAsia"/>
                <w:b/>
                <w:bCs/>
                <w:color w:val="0000FF"/>
                <w:sz w:val="24"/>
                <w:szCs w:val="24"/>
                <w:u w:val="single"/>
              </w:rPr>
              <w:t>处理</w:t>
            </w:r>
            <w:r>
              <w:rPr>
                <w:rFonts w:hint="eastAsia"/>
                <w:b/>
                <w:bCs/>
                <w:color w:val="0000FF"/>
                <w:sz w:val="24"/>
                <w:szCs w:val="24"/>
                <w:u w:val="single"/>
                <w:lang w:eastAsia="zh-CN"/>
              </w:rPr>
              <w:t>可行性分析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color w:val="0000FF"/>
                <w:sz w:val="24"/>
                <w:u w:val="single"/>
                <w:lang w:eastAsia="zh-CN"/>
              </w:rPr>
            </w:pPr>
            <w:r>
              <w:rPr>
                <w:rFonts w:hint="eastAsia" w:hAnsi="宋体"/>
                <w:color w:val="0000FF"/>
                <w:sz w:val="24"/>
                <w:u w:val="single"/>
                <w:lang w:eastAsia="zh-CN"/>
              </w:rPr>
              <w:t>本项目在治理过程中对原有厂房拆除产生的建筑垃圾主要为墙体、顶棚。根据《国家危险废物名录》（2016年）可知，该部分固废不属于危险废物，为一般固废。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color w:val="0000FF"/>
                <w:sz w:val="24"/>
                <w:u w:val="single"/>
                <w:lang w:eastAsia="zh-CN"/>
              </w:rPr>
            </w:pPr>
            <w:r>
              <w:rPr>
                <w:rFonts w:hint="eastAsia" w:hAnsi="宋体"/>
                <w:color w:val="0000FF"/>
                <w:sz w:val="24"/>
                <w:u w:val="single"/>
                <w:lang w:eastAsia="zh-CN"/>
              </w:rPr>
              <w:t>本项目治理完成后，负压大棚底部防渗材料不再回收使用。由于主要用于负压大棚底部，不直接与修复土壤、修复药剂等接触，且本项目使用的药剂为硫酸亚铁，因此不属于危险废物，为一般固废。建筑垃圾按产生源分类，可分为工程渣土、装修垃圾、拆迁垃圾、工程泥浆等；按组成成分分类，建筑垃圾中可分为渣土、混凝土块、碎石块、砖瓦碎块、废砂浆、泥浆、沥青块、废塑料、废金属、废竹木等，因此本项目修复完成后产生的废防渗透材料也为建筑垃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color w:val="0000FF"/>
                <w:sz w:val="24"/>
                <w:u w:val="single"/>
                <w:lang w:eastAsia="zh-CN"/>
              </w:rPr>
            </w:pPr>
            <w:r>
              <w:rPr>
                <w:rFonts w:hint="eastAsia" w:hAnsi="宋体"/>
                <w:color w:val="0000FF"/>
                <w:sz w:val="24"/>
                <w:u w:val="single"/>
                <w:lang w:eastAsia="zh-CN"/>
              </w:rPr>
              <w:t>土壤筛分渣块主要为碎石、废铁丝、钢筋等建筑垃圾，不含遗留的生产设备、容器等，因此该部分固废属于一般固废。</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hAnsi="宋体"/>
                <w:color w:val="0000FF"/>
                <w:sz w:val="24"/>
                <w:u w:val="single"/>
                <w:lang w:eastAsia="zh-CN"/>
              </w:rPr>
            </w:pPr>
            <w:r>
              <w:rPr>
                <w:rFonts w:hint="eastAsia" w:hAnsi="宋体"/>
                <w:color w:val="0000FF"/>
                <w:sz w:val="24"/>
                <w:u w:val="single"/>
                <w:lang w:eastAsia="zh-CN"/>
              </w:rPr>
              <w:t>综上所述，本项目在土壤修复过程中产生的拆除的建筑垃圾、废防渗透材料、土壤筛分渣块均属于一般固废，均可划分为建筑垃圾。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lang w:eastAsia="zh-CN"/>
              </w:rPr>
            </w:pPr>
            <w:r>
              <w:rPr>
                <w:rFonts w:hint="eastAsia" w:hAnsi="宋体"/>
                <w:color w:val="0000FF"/>
                <w:sz w:val="24"/>
                <w:u w:val="single"/>
                <w:lang w:eastAsia="zh-CN"/>
              </w:rPr>
              <w:t>根据建设单位提供的资料可知，对该部分固废转运至具有处理资质的专业机构进行处理，主要进行综合回收利用，不会外排至外环境，对环境影响较小。因此本项目产生的拆除的建筑垃圾、废防渗透材料、土壤筛分渣块转运至</w:t>
            </w:r>
            <w:r>
              <w:rPr>
                <w:rFonts w:hint="eastAsia" w:hAnsi="宋体"/>
                <w:color w:val="0000FF"/>
                <w:sz w:val="24"/>
                <w:u w:val="single"/>
              </w:rPr>
              <w:t>相关专业机构进行集中处理</w:t>
            </w:r>
            <w:r>
              <w:rPr>
                <w:rFonts w:hint="eastAsia" w:hAnsi="宋体"/>
                <w:color w:val="0000FF"/>
                <w:sz w:val="24"/>
                <w:u w:val="single"/>
                <w:lang w:eastAsia="zh-CN"/>
              </w:rPr>
              <w:t>是可行。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5"/>
              <w:jc w:val="both"/>
              <w:textAlignment w:val="auto"/>
              <w:outlineLvl w:val="9"/>
              <w:rPr>
                <w:rFonts w:hint="eastAsia" w:hAnsi="宋体"/>
                <w:b/>
                <w:bCs/>
                <w:color w:val="auto"/>
                <w:sz w:val="24"/>
              </w:rPr>
            </w:pPr>
            <w:r>
              <w:rPr>
                <w:rFonts w:hint="eastAsia" w:hAnsi="宋体"/>
                <w:b/>
                <w:bCs/>
                <w:color w:val="auto"/>
                <w:sz w:val="24"/>
              </w:rPr>
              <w:t>五、最不利气候条件影响分析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5"/>
              <w:jc w:val="both"/>
              <w:textAlignment w:val="auto"/>
              <w:outlineLvl w:val="9"/>
              <w:rPr>
                <w:color w:val="auto"/>
                <w:sz w:val="24"/>
              </w:rPr>
            </w:pPr>
            <w:r>
              <w:rPr>
                <w:rFonts w:hint="eastAsia" w:hAnsi="宋体"/>
                <w:color w:val="auto"/>
                <w:sz w:val="24"/>
              </w:rPr>
              <w:t>在遇到五级以上大风时应停止施工，同时做好施工场地四周的围挡工作，遇到降雨时节应当做好临时土壤的覆盖工作，做好雨水收集系统的建设，同时停止施工，将最不利气候条件下的影响降到最低。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5"/>
              <w:jc w:val="both"/>
              <w:textAlignment w:val="auto"/>
              <w:outlineLvl w:val="9"/>
              <w:rPr>
                <w:b/>
                <w:color w:val="auto"/>
                <w:sz w:val="24"/>
                <w:szCs w:val="24"/>
                <w:u w:val="single"/>
              </w:rPr>
            </w:pPr>
            <w:r>
              <w:rPr>
                <w:rFonts w:hint="eastAsia" w:hAnsi="宋体"/>
                <w:b/>
                <w:color w:val="auto"/>
                <w:sz w:val="24"/>
                <w:szCs w:val="24"/>
                <w:u w:val="single"/>
              </w:rPr>
              <w:t>六</w:t>
            </w:r>
            <w:r>
              <w:rPr>
                <w:rFonts w:hAnsi="宋体"/>
                <w:b/>
                <w:color w:val="auto"/>
                <w:sz w:val="24"/>
                <w:szCs w:val="24"/>
                <w:u w:val="single"/>
              </w:rPr>
              <w:t>、</w:t>
            </w:r>
            <w:r>
              <w:rPr>
                <w:rFonts w:hint="eastAsia" w:hAnsi="宋体"/>
                <w:b/>
                <w:color w:val="auto"/>
                <w:sz w:val="24"/>
                <w:szCs w:val="24"/>
                <w:u w:val="single"/>
              </w:rPr>
              <w:t>生态影响、</w:t>
            </w:r>
            <w:r>
              <w:rPr>
                <w:rFonts w:hAnsi="宋体"/>
                <w:b/>
                <w:color w:val="auto"/>
                <w:sz w:val="24"/>
                <w:szCs w:val="24"/>
                <w:u w:val="single"/>
              </w:rPr>
              <w:t>水土流失分析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项目</w:t>
            </w:r>
            <w:r>
              <w:rPr>
                <w:rFonts w:hint="eastAsia" w:hAnsi="宋体"/>
                <w:color w:val="auto"/>
                <w:sz w:val="24"/>
                <w:szCs w:val="24"/>
                <w:u w:val="single"/>
              </w:rPr>
              <w:t>地块为</w:t>
            </w:r>
            <w:r>
              <w:rPr>
                <w:rFonts w:hint="eastAsia" w:hAnsi="宋体"/>
                <w:color w:val="auto"/>
                <w:sz w:val="24"/>
                <w:u w:val="single"/>
              </w:rPr>
              <w:t>平江县原三阳乡化学农药厂</w:t>
            </w:r>
            <w:r>
              <w:rPr>
                <w:rFonts w:hAnsi="宋体"/>
                <w:color w:val="auto"/>
                <w:sz w:val="24"/>
                <w:u w:val="single"/>
              </w:rPr>
              <w:t>旧址</w:t>
            </w:r>
            <w:r>
              <w:rPr>
                <w:rFonts w:hint="eastAsia" w:hAnsi="宋体"/>
                <w:color w:val="auto"/>
                <w:sz w:val="24"/>
                <w:u w:val="single"/>
              </w:rPr>
              <w:t>，厂区内总体上比较杂乱，部分设备拆除后，被堆放在厂区的空地上，且多为生产罐体，厂区内部原本硬化的地面，现为半破损状态，厂区周边有杂草。此外厂区上游区域及北边区域零散堆积有建筑弃土。</w:t>
            </w:r>
            <w:r>
              <w:rPr>
                <w:rFonts w:hint="eastAsia" w:hAnsi="宋体"/>
                <w:color w:val="auto"/>
                <w:kern w:val="0"/>
                <w:sz w:val="24"/>
                <w:szCs w:val="22"/>
                <w:u w:val="single"/>
              </w:rPr>
              <w:t>现状植被种类、数量较少。因此，项目施工对项目区植被影响较小。</w:t>
            </w:r>
            <w:r>
              <w:rPr>
                <w:rFonts w:hAnsi="宋体"/>
                <w:color w:val="auto"/>
                <w:sz w:val="24"/>
                <w:szCs w:val="24"/>
                <w:u w:val="single"/>
              </w:rPr>
              <w:t>土壤开挖过程扰动地表面积较大，由于扰动地表结构、破坏植被，导致地表水土保持功能减弱。因此，</w:t>
            </w:r>
            <w:r>
              <w:rPr>
                <w:rFonts w:hint="eastAsia" w:hAnsi="宋体"/>
                <w:color w:val="auto"/>
                <w:sz w:val="24"/>
                <w:szCs w:val="24"/>
                <w:u w:val="single"/>
              </w:rPr>
              <w:t>施工单位</w:t>
            </w:r>
            <w:r>
              <w:rPr>
                <w:rFonts w:hAnsi="宋体"/>
                <w:color w:val="auto"/>
                <w:sz w:val="24"/>
                <w:szCs w:val="24"/>
                <w:u w:val="single"/>
              </w:rPr>
              <w:t>需提高防护意识，加强开挖过程中的水土保持措施。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w:t>
            </w:r>
            <w:r>
              <w:rPr>
                <w:color w:val="auto"/>
                <w:sz w:val="24"/>
                <w:szCs w:val="24"/>
                <w:u w:val="single"/>
              </w:rPr>
              <w:t>1</w:t>
            </w:r>
            <w:r>
              <w:rPr>
                <w:rFonts w:hAnsi="宋体"/>
                <w:color w:val="auto"/>
                <w:sz w:val="24"/>
                <w:szCs w:val="24"/>
                <w:u w:val="single"/>
              </w:rPr>
              <w:t>）预防保护措施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合理选择施工工期，应避免在雨季开挖各种基础。合理选择施工工序，即开挖的土石料及时运至工程区，及时投入使用，缩短临时土石料的时间；在堆放土石时，把易产生水土流失的土料堆放在场地中间，开采的块石堆放在其周围，起临时拦挡作用。施工单位将开挖的土石方尽快回填，避免产生大量的水土流失。建立水保方案实施的领导管理机构，强化工作人员水保意识，并实行水保施工监理制度和档案管理制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w:t>
            </w:r>
            <w:r>
              <w:rPr>
                <w:color w:val="auto"/>
                <w:sz w:val="24"/>
                <w:szCs w:val="24"/>
                <w:u w:val="single"/>
              </w:rPr>
              <w:t>2</w:t>
            </w:r>
            <w:r>
              <w:rPr>
                <w:rFonts w:hAnsi="宋体"/>
                <w:color w:val="auto"/>
                <w:sz w:val="24"/>
                <w:szCs w:val="24"/>
                <w:u w:val="single"/>
              </w:rPr>
              <w:t>）工程措施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开挖时会形成基坑，因地下水位下降，在施工中建议施工单位应在基坑底部四周开挖土质排水沟，为保证基坑内雨水及时排出场外，设置水泵，及时组织临时抽排积水或引排，以稳定基坑边坡。并对边坡喷射水泥砂浆进行坡面防护，必要时设立支护。对开挖的土方，严禁将挖土堆置于基坑四周，以免堆置土形式加荷作用于基坑边坡，造成基坑边坡不稳定而产生滑动，危及安全，应就近运至场地临时堆土场，在回填土方时，应边回填、边碾压、边拆除支护。</w:t>
            </w:r>
            <w:r>
              <w:rPr>
                <w:rFonts w:hint="eastAsia" w:hAnsi="宋体"/>
                <w:color w:val="auto"/>
                <w:sz w:val="24"/>
                <w:u w:val="single"/>
              </w:rPr>
              <w:t>污染土壤开挖场地、运输道路及稳定化场四周设置截流沟，截流的场地雨水引入废水收集池，设置场地雨水切换装置，后期清净雨水切换至排水沟直排。</w:t>
            </w:r>
            <w:r>
              <w:rPr>
                <w:rFonts w:hAnsi="宋体"/>
                <w:color w:val="auto"/>
                <w:sz w:val="24"/>
                <w:szCs w:val="24"/>
                <w:u w:val="single"/>
              </w:rPr>
              <w:t>施工结束后，对场地进行土地平整。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w:t>
            </w:r>
            <w:r>
              <w:rPr>
                <w:color w:val="auto"/>
                <w:sz w:val="24"/>
                <w:szCs w:val="24"/>
                <w:u w:val="single"/>
              </w:rPr>
              <w:t>3</w:t>
            </w:r>
            <w:r>
              <w:rPr>
                <w:rFonts w:hAnsi="宋体"/>
                <w:color w:val="auto"/>
                <w:sz w:val="24"/>
                <w:szCs w:val="24"/>
                <w:u w:val="single"/>
              </w:rPr>
              <w:t>）临时措施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在施工过程中因破坏了原有的地表植被，改变了原来的自然地面，遇暴雨冲刷，易产生水土流失，故在施工之前，应在场地内周边先修土质排水沟，以拦截因降水带来的坡面水土流失。</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基坑开挖施工中可能引起地下水位下降，在施工中应在基坑内部四周开挖临时排水沟，配合主体工程布设的抽水泵，及时组织临时抽排积水或引排。遇降雨季节，用彩条布临时苫盖开挖的基坑。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color w:val="auto"/>
                <w:sz w:val="24"/>
                <w:szCs w:val="24"/>
                <w:u w:val="single"/>
              </w:rPr>
            </w:pPr>
            <w:r>
              <w:rPr>
                <w:rFonts w:hAnsi="宋体"/>
                <w:color w:val="auto"/>
                <w:sz w:val="24"/>
                <w:szCs w:val="24"/>
                <w:u w:val="single"/>
              </w:rPr>
              <w:t>修复期间在项目入口处设置冲洗槽，洗净运输车辆车轮的泥土，以防泥土污染外部路面，不仅保持了环境卫生且减少了水土流失，具有水土保持功能。为加强水土保持宣教力度，设置水土保持宣传牌和警示牌。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0000FF"/>
                <w:sz w:val="24"/>
                <w:szCs w:val="22"/>
                <w:u w:val="single"/>
                <w:lang w:eastAsia="zh-CN"/>
              </w:rPr>
            </w:pPr>
            <w:r>
              <w:rPr>
                <w:rFonts w:hAnsi="宋体"/>
                <w:color w:val="auto"/>
                <w:sz w:val="24"/>
                <w:szCs w:val="24"/>
                <w:u w:val="single"/>
              </w:rPr>
              <w:t>施工结束后，对施工场地进行硬化层清除和迹地清理，对修复区进行生态恢复</w:t>
            </w:r>
            <w:r>
              <w:rPr>
                <w:rFonts w:hint="eastAsia" w:hAnsi="宋体"/>
                <w:color w:val="auto"/>
                <w:sz w:val="24"/>
                <w:szCs w:val="24"/>
                <w:u w:val="single"/>
                <w:lang w:eastAsia="zh-CN"/>
              </w:rPr>
              <w:t>。</w:t>
            </w:r>
            <w:r>
              <w:rPr>
                <w:rFonts w:hint="eastAsia" w:hAnsi="宋体"/>
                <w:color w:val="0000FF"/>
                <w:sz w:val="24"/>
                <w:szCs w:val="24"/>
                <w:u w:val="single"/>
                <w:lang w:eastAsia="zh-CN"/>
              </w:rPr>
              <w:t>首先</w:t>
            </w:r>
            <w:r>
              <w:rPr>
                <w:rFonts w:hint="eastAsia"/>
                <w:color w:val="0000FF"/>
                <w:sz w:val="24"/>
                <w:szCs w:val="22"/>
                <w:u w:val="single"/>
                <w:lang w:eastAsia="zh-CN"/>
              </w:rPr>
              <w:t>采用混合草籽主要考虑到避免因季节因素导致修复后场地长期土壤裸露，导致扬尘、水土流失现象，且草籽生长较快，不比灌木和乔木生长周期长，可在较短时间内形成对裸露土壤的覆盖。</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0000FF"/>
                <w:sz w:val="24"/>
                <w:szCs w:val="22"/>
                <w:u w:val="single"/>
                <w:lang w:val="en-US" w:eastAsia="zh-CN"/>
              </w:rPr>
            </w:pPr>
            <w:r>
              <w:rPr>
                <w:rFonts w:hint="eastAsia"/>
                <w:color w:val="0000FF"/>
                <w:sz w:val="24"/>
                <w:szCs w:val="22"/>
                <w:u w:val="single"/>
                <w:lang w:eastAsia="zh-CN"/>
              </w:rPr>
              <w:t>由于草籽发芽周期约为</w:t>
            </w:r>
            <w:r>
              <w:rPr>
                <w:rFonts w:hint="eastAsia"/>
                <w:color w:val="0000FF"/>
                <w:sz w:val="24"/>
                <w:szCs w:val="22"/>
                <w:u w:val="single"/>
                <w:lang w:val="en-US" w:eastAsia="zh-CN"/>
              </w:rPr>
              <w:t>7~14天时间，期间若无其他防风、防水土流失措施，极易在大风天气形成扬尘污染，雨天已导致水土流失，因此补充种植灌木，补充种植的灌木高度约为70~100cm，种植后可对水土流失以及扬尘有较好的抑制作用，同时也可防止太阳直接暴晒土壤。</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0000FF"/>
                <w:sz w:val="24"/>
                <w:szCs w:val="22"/>
                <w:u w:val="single"/>
                <w:lang w:val="en-US" w:eastAsia="zh-CN"/>
              </w:rPr>
            </w:pPr>
            <w:r>
              <w:rPr>
                <w:rFonts w:hint="eastAsia"/>
                <w:color w:val="0000FF"/>
                <w:sz w:val="24"/>
                <w:szCs w:val="22"/>
                <w:u w:val="single"/>
                <w:lang w:val="en-US" w:eastAsia="zh-CN"/>
              </w:rPr>
              <w:t>考虑到灌木主要为移栽植物，根茎深度较低，且由于无高达植被，在遇到大风天气时，项目区域内种植的灌木会因无遮挡降低风速，灌木易被吹倒，乃至因尚未生根导致被拔起，因此补充种植乔木，与灌木相间种植。即可保护灌木，又可在当地形成一定的景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508" w:firstLineChars="200"/>
              <w:jc w:val="both"/>
              <w:textAlignment w:val="auto"/>
              <w:outlineLvl w:val="9"/>
              <w:rPr>
                <w:rFonts w:hint="eastAsia"/>
                <w:color w:val="auto"/>
                <w:sz w:val="24"/>
                <w:szCs w:val="22"/>
                <w:u w:val="single"/>
                <w:lang w:val="en-US" w:eastAsia="zh-CN"/>
              </w:rPr>
            </w:pPr>
            <w:r>
              <w:rPr>
                <w:rStyle w:val="100"/>
                <w:rFonts w:hint="eastAsia" w:ascii="Times New Roman" w:eastAsia="宋体" w:cs="Times New Roman"/>
                <w:color w:val="auto"/>
                <w:sz w:val="24"/>
                <w:szCs w:val="24"/>
                <w:u w:val="single"/>
                <w:lang w:val="zh-TW" w:eastAsia="zh-CN"/>
              </w:rPr>
              <w:t>因此</w:t>
            </w:r>
            <w:r>
              <w:rPr>
                <w:rStyle w:val="100"/>
                <w:rFonts w:hint="eastAsia" w:ascii="Times New Roman" w:eastAsia="宋体" w:cs="Times New Roman"/>
                <w:color w:val="auto"/>
                <w:sz w:val="24"/>
                <w:szCs w:val="24"/>
                <w:u w:val="single"/>
                <w:lang w:val="zh-TW"/>
              </w:rPr>
              <w:t>采用种草+灌木+乔木的方式</w:t>
            </w:r>
            <w:r>
              <w:rPr>
                <w:rFonts w:hint="eastAsia" w:hAnsi="宋体"/>
                <w:color w:val="auto"/>
                <w:sz w:val="24"/>
                <w:szCs w:val="24"/>
                <w:u w:val="single"/>
              </w:rPr>
              <w:t>，</w:t>
            </w:r>
            <w:r>
              <w:rPr>
                <w:rFonts w:hint="eastAsia" w:hAnsi="宋体"/>
                <w:color w:val="auto"/>
                <w:sz w:val="24"/>
                <w:szCs w:val="24"/>
                <w:u w:val="single"/>
                <w:lang w:eastAsia="zh-CN"/>
              </w:rPr>
              <w:t>并</w:t>
            </w:r>
            <w:r>
              <w:rPr>
                <w:rFonts w:hint="eastAsia" w:hAnsi="宋体"/>
                <w:color w:val="auto"/>
                <w:sz w:val="24"/>
                <w:szCs w:val="24"/>
                <w:u w:val="single"/>
              </w:rPr>
              <w:t>种植的植被选择适应性强，区域常见种</w:t>
            </w:r>
            <w:r>
              <w:rPr>
                <w:rFonts w:hint="eastAsia" w:hAnsi="宋体"/>
                <w:color w:val="auto"/>
                <w:sz w:val="24"/>
                <w:szCs w:val="24"/>
                <w:u w:val="single"/>
                <w:lang w:eastAsia="zh-CN"/>
              </w:rPr>
              <w:t>，</w:t>
            </w:r>
            <w:r>
              <w:rPr>
                <w:rStyle w:val="100"/>
                <w:rFonts w:hint="eastAsia" w:ascii="Times New Roman" w:eastAsia="宋体" w:cs="Times New Roman"/>
                <w:color w:val="auto"/>
                <w:sz w:val="24"/>
                <w:szCs w:val="24"/>
                <w:u w:val="single"/>
                <w:lang w:val="zh-TW"/>
              </w:rPr>
              <w:t>建议草种采用混合草籽，灌木采用杜球</w:t>
            </w:r>
            <w:r>
              <w:rPr>
                <w:rFonts w:hint="eastAsia"/>
                <w:color w:val="auto"/>
                <w:sz w:val="24"/>
                <w:szCs w:val="22"/>
                <w:u w:val="single"/>
                <w:lang w:val="zh-TW" w:eastAsia="zh-CN"/>
              </w:rPr>
              <w:t>，乔木则采用樟树</w:t>
            </w:r>
            <w:r>
              <w:rPr>
                <w:rFonts w:hint="eastAsia"/>
                <w:color w:val="auto"/>
                <w:sz w:val="24"/>
                <w:szCs w:val="22"/>
                <w:u w:val="singl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color w:val="0000FF"/>
                <w:sz w:val="24"/>
                <w:szCs w:val="22"/>
                <w:u w:val="single"/>
                <w:lang w:val="en-US" w:eastAsia="zh-CN"/>
              </w:rPr>
            </w:pPr>
            <w:r>
              <w:rPr>
                <w:rFonts w:hint="eastAsia"/>
                <w:color w:val="0000FF"/>
                <w:sz w:val="24"/>
                <w:szCs w:val="22"/>
                <w:u w:val="single"/>
                <w:lang w:val="en-US" w:eastAsia="zh-CN"/>
              </w:rPr>
              <w:t>虽然本项目由于土壤修复后将作为居民用地，但灌木种植密度约1颗/8㎡、乔木1颗/32㎡，可见种植密度并不大，另由于所选植被均为区域常见种，在对用地进行建设时，可将植被进行移栽，或由承建商进行转售，也可直接作为该建设用地植被。</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eastAsia" w:eastAsia="宋体"/>
                <w:lang w:val="en-US" w:eastAsia="zh-CN"/>
              </w:rPr>
            </w:pPr>
            <w:r>
              <w:rPr>
                <w:rFonts w:hint="eastAsia"/>
                <w:color w:val="0000FF"/>
                <w:sz w:val="24"/>
                <w:szCs w:val="22"/>
                <w:u w:val="single"/>
                <w:lang w:val="en-US" w:eastAsia="zh-CN"/>
              </w:rPr>
              <w:t>考虑到本项目修复后作为居民用地至正式开发建设的时限不确定性，且从减排原则和环保原则出发，本项目在修复后采用</w:t>
            </w:r>
            <w:r>
              <w:rPr>
                <w:rFonts w:hint="eastAsia"/>
                <w:color w:val="0000FF"/>
                <w:sz w:val="24"/>
                <w:szCs w:val="22"/>
                <w:u w:val="single"/>
                <w:lang w:val="zh-TW" w:eastAsia="zh-CN"/>
              </w:rPr>
              <w:t>种草+灌木+乔木的方式对该地区进行生态修复是合理的。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int="eastAsia" w:hAnsi="宋体"/>
                <w:b/>
                <w:color w:val="auto"/>
                <w:sz w:val="24"/>
                <w:szCs w:val="24"/>
              </w:rPr>
              <w:t>七</w:t>
            </w:r>
            <w:r>
              <w:rPr>
                <w:rFonts w:hAnsi="宋体"/>
                <w:b/>
                <w:color w:val="auto"/>
                <w:sz w:val="24"/>
                <w:szCs w:val="24"/>
              </w:rPr>
              <w:t>、环境风险分析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color w:val="auto"/>
                <w:sz w:val="24"/>
                <w:szCs w:val="24"/>
              </w:rPr>
            </w:pPr>
            <w:r>
              <w:rPr>
                <w:rFonts w:hAnsi="宋体"/>
                <w:color w:val="auto"/>
                <w:sz w:val="24"/>
                <w:szCs w:val="24"/>
              </w:rPr>
              <w:t>（</w:t>
            </w:r>
            <w:r>
              <w:rPr>
                <w:color w:val="auto"/>
                <w:sz w:val="24"/>
                <w:szCs w:val="24"/>
              </w:rPr>
              <w:t>1</w:t>
            </w:r>
            <w:r>
              <w:rPr>
                <w:rFonts w:hAnsi="宋体"/>
                <w:color w:val="auto"/>
                <w:sz w:val="24"/>
                <w:szCs w:val="24"/>
              </w:rPr>
              <w:t>）风险分析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Ansi="宋体"/>
                <w:color w:val="auto"/>
                <w:sz w:val="24"/>
                <w:szCs w:val="24"/>
                <w:u w:val="single"/>
              </w:rPr>
            </w:pPr>
            <w:r>
              <w:rPr>
                <w:rFonts w:hint="eastAsia" w:ascii="宋体" w:hAnsi="宋体"/>
                <w:color w:val="auto"/>
                <w:sz w:val="24"/>
                <w:szCs w:val="24"/>
                <w:u w:val="single"/>
              </w:rPr>
              <w:t>①</w:t>
            </w:r>
            <w:r>
              <w:rPr>
                <w:rFonts w:hint="eastAsia" w:hAnsi="宋体"/>
                <w:color w:val="auto"/>
                <w:sz w:val="24"/>
                <w:szCs w:val="24"/>
                <w:u w:val="single"/>
              </w:rPr>
              <w:t>化学品泄漏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both"/>
              <w:textAlignment w:val="auto"/>
              <w:outlineLvl w:val="9"/>
              <w:rPr>
                <w:color w:val="auto"/>
                <w:sz w:val="24"/>
                <w:szCs w:val="24"/>
              </w:rPr>
            </w:pPr>
            <w:r>
              <w:rPr>
                <w:rFonts w:hAnsi="宋体"/>
                <w:color w:val="auto"/>
                <w:sz w:val="24"/>
                <w:szCs w:val="24"/>
              </w:rPr>
              <w:t>本项目土壤修复工艺简单，生产过程涉及的化学物质</w:t>
            </w:r>
            <w:r>
              <w:rPr>
                <w:rFonts w:hint="eastAsia" w:hAnsi="宋体"/>
                <w:color w:val="auto"/>
                <w:sz w:val="24"/>
                <w:szCs w:val="24"/>
              </w:rPr>
              <w:t>主要是</w:t>
            </w:r>
            <w:r>
              <w:rPr>
                <w:rFonts w:hAnsi="宋体"/>
                <w:color w:val="auto"/>
                <w:sz w:val="24"/>
                <w:szCs w:val="24"/>
              </w:rPr>
              <w:t>硫酸亚铁。</w:t>
            </w:r>
            <w:r>
              <w:rPr>
                <w:rFonts w:hint="eastAsia" w:hAnsi="宋体"/>
                <w:color w:val="auto"/>
                <w:sz w:val="24"/>
                <w:szCs w:val="24"/>
              </w:rPr>
              <w:t>其</w:t>
            </w:r>
            <w:r>
              <w:rPr>
                <w:rFonts w:hAnsi="宋体"/>
                <w:color w:val="auto"/>
                <w:sz w:val="24"/>
                <w:szCs w:val="24"/>
              </w:rPr>
              <w:t>物质特性如下：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表3</w:t>
            </w:r>
            <w:r>
              <w:rPr>
                <w:rFonts w:hint="eastAsia" w:hAnsi="宋体"/>
                <w:b/>
                <w:bCs/>
                <w:color w:val="auto"/>
                <w:u w:val="single"/>
                <w:lang w:val="en-US" w:eastAsia="zh-CN"/>
              </w:rPr>
              <w:t xml:space="preserve">7 </w:t>
            </w:r>
            <w:r>
              <w:rPr>
                <w:rFonts w:hint="eastAsia" w:hAnsi="宋体"/>
                <w:b/>
                <w:bCs/>
                <w:color w:val="auto"/>
                <w:u w:val="single"/>
              </w:rPr>
              <w:t xml:space="preserve"> </w:t>
            </w:r>
            <w:r>
              <w:rPr>
                <w:rFonts w:hAnsi="宋体"/>
                <w:b/>
                <w:bCs/>
                <w:color w:val="auto"/>
                <w:u w:val="single"/>
              </w:rPr>
              <w:t>项目使用的化学物质性状</w:t>
            </w:r>
          </w:p>
          <w:tbl>
            <w:tblPr>
              <w:tblStyle w:val="30"/>
              <w:tblW w:w="9060" w:type="dxa"/>
              <w:jc w:val="center"/>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1241"/>
              <w:gridCol w:w="78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1241" w:type="dxa"/>
                  <w:tcBorders>
                    <w:tl2br w:val="nil"/>
                    <w:tr2bl w:val="nil"/>
                  </w:tcBorders>
                  <w:shd w:val="clear" w:color="auto" w:fill="auto"/>
                  <w:vAlign w:val="center"/>
                </w:tcPr>
                <w:p>
                  <w:pPr>
                    <w:pStyle w:val="2"/>
                    <w:spacing w:after="0"/>
                    <w:jc w:val="center"/>
                    <w:rPr>
                      <w:color w:val="auto"/>
                      <w:sz w:val="21"/>
                      <w:szCs w:val="21"/>
                    </w:rPr>
                  </w:pPr>
                  <w:r>
                    <w:rPr>
                      <w:rFonts w:hAnsi="宋体"/>
                      <w:color w:val="auto"/>
                      <w:sz w:val="21"/>
                      <w:szCs w:val="21"/>
                    </w:rPr>
                    <w:t>物质名称</w:t>
                  </w:r>
                </w:p>
              </w:tc>
              <w:tc>
                <w:tcPr>
                  <w:tcW w:w="7819" w:type="dxa"/>
                  <w:tcBorders>
                    <w:tl2br w:val="nil"/>
                    <w:tr2bl w:val="nil"/>
                  </w:tcBorders>
                  <w:shd w:val="clear" w:color="auto" w:fill="auto"/>
                  <w:vAlign w:val="center"/>
                </w:tcPr>
                <w:p>
                  <w:pPr>
                    <w:pStyle w:val="2"/>
                    <w:spacing w:after="0"/>
                    <w:jc w:val="center"/>
                    <w:rPr>
                      <w:color w:val="auto"/>
                      <w:sz w:val="21"/>
                      <w:szCs w:val="21"/>
                    </w:rPr>
                  </w:pPr>
                  <w:r>
                    <w:rPr>
                      <w:rFonts w:hAnsi="宋体"/>
                      <w:color w:val="auto"/>
                      <w:sz w:val="21"/>
                      <w:szCs w:val="21"/>
                    </w:rPr>
                    <w:t>性状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397" w:hRule="atLeast"/>
                <w:jc w:val="center"/>
              </w:trPr>
              <w:tc>
                <w:tcPr>
                  <w:tcW w:w="1241" w:type="dxa"/>
                  <w:tcBorders>
                    <w:tl2br w:val="nil"/>
                    <w:tr2bl w:val="nil"/>
                  </w:tcBorders>
                  <w:shd w:val="clear" w:color="auto" w:fill="auto"/>
                  <w:vAlign w:val="center"/>
                </w:tcPr>
                <w:p>
                  <w:pPr>
                    <w:pStyle w:val="2"/>
                    <w:spacing w:after="0"/>
                    <w:jc w:val="center"/>
                    <w:rPr>
                      <w:color w:val="auto"/>
                      <w:sz w:val="21"/>
                      <w:szCs w:val="21"/>
                    </w:rPr>
                  </w:pPr>
                  <w:r>
                    <w:rPr>
                      <w:rFonts w:hAnsi="宋体"/>
                      <w:color w:val="auto"/>
                      <w:sz w:val="21"/>
                      <w:szCs w:val="21"/>
                    </w:rPr>
                    <w:t>硫酸亚铁</w:t>
                  </w:r>
                </w:p>
                <w:p>
                  <w:pPr>
                    <w:pStyle w:val="2"/>
                    <w:spacing w:after="0"/>
                    <w:jc w:val="center"/>
                    <w:rPr>
                      <w:color w:val="auto"/>
                      <w:sz w:val="21"/>
                      <w:szCs w:val="21"/>
                    </w:rPr>
                  </w:pPr>
                  <w:r>
                    <w:rPr>
                      <w:color w:val="auto"/>
                      <w:sz w:val="21"/>
                      <w:szCs w:val="21"/>
                    </w:rPr>
                    <w:t>FeSO</w:t>
                  </w:r>
                  <w:r>
                    <w:rPr>
                      <w:color w:val="auto"/>
                      <w:sz w:val="21"/>
                      <w:szCs w:val="21"/>
                      <w:vertAlign w:val="subscript"/>
                    </w:rPr>
                    <w:t>4</w:t>
                  </w:r>
                  <w:r>
                    <w:rPr>
                      <w:color w:val="auto"/>
                      <w:sz w:val="21"/>
                      <w:szCs w:val="21"/>
                    </w:rPr>
                    <w:t>•7H</w:t>
                  </w:r>
                  <w:r>
                    <w:rPr>
                      <w:color w:val="auto"/>
                      <w:sz w:val="21"/>
                      <w:szCs w:val="21"/>
                      <w:vertAlign w:val="subscript"/>
                    </w:rPr>
                    <w:t>2</w:t>
                  </w:r>
                  <w:r>
                    <w:rPr>
                      <w:color w:val="auto"/>
                      <w:sz w:val="21"/>
                      <w:szCs w:val="21"/>
                    </w:rPr>
                    <w:t>O</w:t>
                  </w:r>
                </w:p>
              </w:tc>
              <w:tc>
                <w:tcPr>
                  <w:tcW w:w="7819" w:type="dxa"/>
                  <w:tcBorders>
                    <w:tl2br w:val="nil"/>
                    <w:tr2bl w:val="nil"/>
                  </w:tcBorders>
                  <w:shd w:val="clear" w:color="auto" w:fill="auto"/>
                  <w:vAlign w:val="center"/>
                </w:tcPr>
                <w:p>
                  <w:pPr>
                    <w:pStyle w:val="2"/>
                    <w:spacing w:after="0"/>
                    <w:ind w:firstLine="420" w:firstLineChars="200"/>
                    <w:rPr>
                      <w:color w:val="auto"/>
                      <w:sz w:val="21"/>
                      <w:szCs w:val="21"/>
                      <w:shd w:val="clear" w:color="auto" w:fill="FFFFFF"/>
                    </w:rPr>
                  </w:pPr>
                  <w:r>
                    <w:rPr>
                      <w:rFonts w:hAnsi="宋体"/>
                      <w:color w:val="auto"/>
                      <w:sz w:val="21"/>
                      <w:szCs w:val="21"/>
                    </w:rPr>
                    <w:t>性质：无机化合物，无水硫酸亚铁是白色粉末，溶于水，水溶液为浅绿色，常见其七水合物（绿矾）。</w:t>
                  </w:r>
                  <w:r>
                    <w:rPr>
                      <w:rFonts w:hAnsi="宋体"/>
                      <w:color w:val="auto"/>
                      <w:sz w:val="21"/>
                      <w:szCs w:val="21"/>
                      <w:shd w:val="clear" w:color="auto" w:fill="FFFFFF"/>
                    </w:rPr>
                    <w:t>相对密度</w:t>
                  </w:r>
                  <w:r>
                    <w:rPr>
                      <w:color w:val="auto"/>
                      <w:sz w:val="21"/>
                      <w:szCs w:val="21"/>
                      <w:shd w:val="clear" w:color="auto" w:fill="FFFFFF"/>
                    </w:rPr>
                    <w:t>(</w:t>
                  </w:r>
                  <w:r>
                    <w:rPr>
                      <w:rFonts w:hAnsi="宋体"/>
                      <w:color w:val="auto"/>
                      <w:sz w:val="21"/>
                      <w:szCs w:val="21"/>
                      <w:shd w:val="clear" w:color="auto" w:fill="FFFFFF"/>
                    </w:rPr>
                    <w:t>水</w:t>
                  </w:r>
                  <w:r>
                    <w:rPr>
                      <w:color w:val="auto"/>
                      <w:sz w:val="21"/>
                      <w:szCs w:val="21"/>
                      <w:shd w:val="clear" w:color="auto" w:fill="FFFFFF"/>
                    </w:rPr>
                    <w:t>=1)</w:t>
                  </w:r>
                  <w:r>
                    <w:rPr>
                      <w:rFonts w:hAnsi="宋体"/>
                      <w:color w:val="auto"/>
                      <w:sz w:val="21"/>
                      <w:szCs w:val="21"/>
                      <w:shd w:val="clear" w:color="auto" w:fill="FFFFFF"/>
                    </w:rPr>
                    <w:t>：</w:t>
                  </w:r>
                  <w:r>
                    <w:rPr>
                      <w:color w:val="auto"/>
                      <w:sz w:val="21"/>
                      <w:szCs w:val="21"/>
                      <w:shd w:val="clear" w:color="auto" w:fill="FFFFFF"/>
                    </w:rPr>
                    <w:t>1.897(15</w:t>
                  </w:r>
                  <w:r>
                    <w:rPr>
                      <w:rFonts w:ascii="宋体" w:hAnsi="宋体"/>
                      <w:color w:val="auto"/>
                      <w:sz w:val="21"/>
                      <w:szCs w:val="21"/>
                      <w:shd w:val="clear" w:color="auto" w:fill="FFFFFF"/>
                    </w:rPr>
                    <w:t>℃</w:t>
                  </w:r>
                  <w:r>
                    <w:rPr>
                      <w:color w:val="auto"/>
                      <w:sz w:val="21"/>
                      <w:szCs w:val="21"/>
                      <w:shd w:val="clear" w:color="auto" w:fill="FFFFFF"/>
                    </w:rPr>
                    <w:t>)</w:t>
                  </w:r>
                  <w:r>
                    <w:rPr>
                      <w:rFonts w:hAnsi="宋体"/>
                      <w:color w:val="auto"/>
                      <w:sz w:val="21"/>
                      <w:szCs w:val="21"/>
                      <w:shd w:val="clear" w:color="auto" w:fill="FFFFFF"/>
                    </w:rPr>
                    <w:t>，具有</w:t>
                  </w:r>
                  <w:r>
                    <w:rPr>
                      <w:color w:val="auto"/>
                      <w:sz w:val="21"/>
                      <w:szCs w:val="21"/>
                    </w:rPr>
                    <w:fldChar w:fldCharType="begin"/>
                  </w:r>
                  <w:r>
                    <w:rPr>
                      <w:color w:val="auto"/>
                      <w:sz w:val="21"/>
                      <w:szCs w:val="21"/>
                    </w:rPr>
                    <w:instrText xml:space="preserve"> HYPERLINK "https://baike.so.com/doc/2572793-2716928.html" \t "_blank" </w:instrText>
                  </w:r>
                  <w:r>
                    <w:rPr>
                      <w:color w:val="auto"/>
                      <w:sz w:val="21"/>
                      <w:szCs w:val="21"/>
                    </w:rPr>
                    <w:fldChar w:fldCharType="separate"/>
                  </w:r>
                  <w:r>
                    <w:rPr>
                      <w:rStyle w:val="28"/>
                      <w:rFonts w:hAnsi="宋体"/>
                      <w:color w:val="auto"/>
                      <w:sz w:val="21"/>
                      <w:szCs w:val="21"/>
                      <w:shd w:val="clear" w:color="auto" w:fill="FFFFFF"/>
                    </w:rPr>
                    <w:t>还原性</w:t>
                  </w:r>
                  <w:r>
                    <w:rPr>
                      <w:rStyle w:val="28"/>
                      <w:rFonts w:hAnsi="宋体"/>
                      <w:color w:val="auto"/>
                      <w:sz w:val="21"/>
                      <w:szCs w:val="21"/>
                      <w:shd w:val="clear" w:color="auto" w:fill="FFFFFF"/>
                    </w:rPr>
                    <w:fldChar w:fldCharType="end"/>
                  </w:r>
                  <w:r>
                    <w:rPr>
                      <w:rFonts w:hAnsi="宋体"/>
                      <w:color w:val="auto"/>
                      <w:sz w:val="21"/>
                      <w:szCs w:val="21"/>
                      <w:shd w:val="clear" w:color="auto" w:fill="FFFFFF"/>
                    </w:rPr>
                    <w:t>。受高热分解放出有毒的气体。</w:t>
                  </w:r>
                </w:p>
                <w:p>
                  <w:pPr>
                    <w:pStyle w:val="2"/>
                    <w:spacing w:after="0"/>
                    <w:ind w:firstLine="420" w:firstLineChars="200"/>
                    <w:rPr>
                      <w:color w:val="auto"/>
                      <w:sz w:val="21"/>
                      <w:szCs w:val="21"/>
                    </w:rPr>
                  </w:pPr>
                  <w:r>
                    <w:rPr>
                      <w:rFonts w:hAnsi="宋体"/>
                      <w:color w:val="auto"/>
                      <w:sz w:val="21"/>
                      <w:szCs w:val="21"/>
                      <w:shd w:val="clear" w:color="auto" w:fill="FFFFFF"/>
                    </w:rPr>
                    <w:t>用途：硫酸亚铁可用于制铁盐、氧化铁颜料、媒染剂、净水剂、防腐剂、消毒剂等</w:t>
                  </w:r>
                  <w:r>
                    <w:rPr>
                      <w:rFonts w:hAnsi="宋体"/>
                      <w:color w:val="auto"/>
                      <w:sz w:val="21"/>
                      <w:szCs w:val="21"/>
                    </w:rPr>
                    <w:t>。</w:t>
                  </w:r>
                </w:p>
                <w:p>
                  <w:pPr>
                    <w:pStyle w:val="2"/>
                    <w:spacing w:after="0"/>
                    <w:ind w:firstLine="420" w:firstLineChars="200"/>
                    <w:rPr>
                      <w:color w:val="auto"/>
                      <w:sz w:val="21"/>
                      <w:szCs w:val="21"/>
                    </w:rPr>
                  </w:pPr>
                  <w:r>
                    <w:rPr>
                      <w:rFonts w:hAnsi="宋体"/>
                      <w:color w:val="auto"/>
                      <w:sz w:val="21"/>
                      <w:szCs w:val="21"/>
                    </w:rPr>
                    <w:t>健康危害：对呼吸道有刺激性，吸入引起咳嗽和气短。对眼睛、皮肤和粘膜有刺激性。误服引起虚弱、腹痛、恶心、便血、肺及肝受损、休克、昏迷等，严重者可致死。</w:t>
                  </w:r>
                </w:p>
                <w:p>
                  <w:pPr>
                    <w:pStyle w:val="2"/>
                    <w:spacing w:after="0"/>
                    <w:ind w:firstLine="420" w:firstLineChars="200"/>
                    <w:rPr>
                      <w:color w:val="auto"/>
                      <w:sz w:val="21"/>
                      <w:szCs w:val="21"/>
                    </w:rPr>
                  </w:pPr>
                  <w:r>
                    <w:rPr>
                      <w:rFonts w:hAnsi="宋体"/>
                      <w:color w:val="auto"/>
                      <w:sz w:val="21"/>
                      <w:szCs w:val="21"/>
                    </w:rPr>
                    <w:t>环境危害：对环境有危害，对水体可造成污染。燃爆危险</w:t>
                  </w:r>
                  <w:r>
                    <w:rPr>
                      <w:color w:val="auto"/>
                      <w:sz w:val="21"/>
                      <w:szCs w:val="21"/>
                    </w:rPr>
                    <w:t>:</w:t>
                  </w:r>
                  <w:r>
                    <w:rPr>
                      <w:rFonts w:hAnsi="宋体"/>
                      <w:color w:val="auto"/>
                      <w:sz w:val="21"/>
                      <w:szCs w:val="21"/>
                    </w:rPr>
                    <w:t>该品不燃，具刺激性。毒理学数据</w:t>
                  </w:r>
                  <w:r>
                    <w:rPr>
                      <w:color w:val="auto"/>
                      <w:sz w:val="21"/>
                      <w:szCs w:val="21"/>
                    </w:rPr>
                    <w:t>(LD50):(</w:t>
                  </w:r>
                  <w:r>
                    <w:rPr>
                      <w:rFonts w:hAnsi="宋体"/>
                      <w:color w:val="auto"/>
                      <w:sz w:val="21"/>
                      <w:szCs w:val="21"/>
                    </w:rPr>
                    <w:t>小鼠，经口</w:t>
                  </w:r>
                  <w:r>
                    <w:rPr>
                      <w:color w:val="auto"/>
                      <w:sz w:val="21"/>
                      <w:szCs w:val="21"/>
                    </w:rPr>
                    <w:t>)1520mg/kg</w:t>
                  </w:r>
                  <w:r>
                    <w:rPr>
                      <w:rFonts w:hAnsi="宋体"/>
                      <w:color w:val="auto"/>
                      <w:sz w:val="21"/>
                      <w:szCs w:val="21"/>
                    </w:rPr>
                    <w:t>。</w:t>
                  </w:r>
                </w:p>
                <w:p>
                  <w:pPr>
                    <w:pStyle w:val="2"/>
                    <w:spacing w:after="0"/>
                    <w:rPr>
                      <w:color w:val="auto"/>
                      <w:sz w:val="21"/>
                      <w:szCs w:val="21"/>
                    </w:rPr>
                  </w:pPr>
                  <w:r>
                    <w:rPr>
                      <w:rFonts w:hAnsi="宋体"/>
                      <w:color w:val="auto"/>
                      <w:sz w:val="21"/>
                      <w:szCs w:val="21"/>
                    </w:rPr>
                    <w:t>应急处理：隔离泄漏污染区，限制出入。建议应急处理人员戴防尘口罩，穿一般作业工作服。不要直接接触泄漏物。小量泄漏：避免扬尘，小心扫起，收集于干燥、洁净、有盖的容器中。大量泄漏：收集回收或运至废物处理场所处置。</w:t>
                  </w:r>
                </w:p>
              </w:tc>
            </w:tr>
          </w:tbl>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textAlignment w:val="auto"/>
              <w:outlineLvl w:val="9"/>
              <w:rPr>
                <w:rFonts w:hAnsi="宋体"/>
                <w:color w:val="auto"/>
                <w:sz w:val="24"/>
                <w:u w:val="single"/>
                <w:lang w:val="zh-CN"/>
              </w:rPr>
            </w:pPr>
            <w:r>
              <w:rPr>
                <w:rFonts w:hAnsi="宋体"/>
                <w:color w:val="auto"/>
                <w:sz w:val="24"/>
                <w:u w:val="single"/>
                <w:lang w:val="zh-CN"/>
              </w:rPr>
              <w:t>硫酸亚铁</w:t>
            </w:r>
            <w:r>
              <w:rPr>
                <w:rFonts w:hint="eastAsia" w:hAnsi="宋体"/>
                <w:color w:val="auto"/>
                <w:sz w:val="24"/>
                <w:u w:val="single"/>
                <w:lang w:val="zh-CN"/>
              </w:rPr>
              <w:t>不属于危险化学品，不易燃，相对稳定，有一定刺激性，在施工过程中做好人员的安全防护工作，妥善管理原辅材料，不会对周边造成的风险较小。</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outlineLvl w:val="9"/>
              <w:rPr>
                <w:rFonts w:ascii="宋体" w:hAnsi="宋体"/>
                <w:color w:val="auto"/>
                <w:sz w:val="24"/>
                <w:u w:val="single"/>
                <w:lang w:val="zh-CN"/>
              </w:rPr>
            </w:pPr>
            <w:r>
              <w:rPr>
                <w:rFonts w:hint="eastAsia" w:ascii="宋体" w:hAnsi="宋体"/>
                <w:color w:val="auto"/>
                <w:sz w:val="24"/>
                <w:u w:val="single"/>
                <w:lang w:val="zh-CN"/>
              </w:rPr>
              <w:t>②废水事故排放</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textAlignment w:val="auto"/>
              <w:outlineLvl w:val="9"/>
              <w:rPr>
                <w:rFonts w:hAnsi="宋体"/>
                <w:color w:val="auto"/>
                <w:sz w:val="24"/>
                <w:u w:val="single"/>
                <w:lang w:val="zh-CN"/>
              </w:rPr>
            </w:pPr>
            <w:r>
              <w:rPr>
                <w:rFonts w:hAnsi="宋体"/>
                <w:color w:val="auto"/>
                <w:sz w:val="24"/>
                <w:u w:val="single"/>
                <w:lang w:val="zh-CN"/>
              </w:rPr>
              <w:t>因本项目废水处理设施在场地修复完毕后将进行拆除，为节约用地、便于设备的重复利用，本项目租赁</w:t>
            </w:r>
            <w:r>
              <w:rPr>
                <w:color w:val="auto"/>
                <w:sz w:val="24"/>
                <w:u w:val="single"/>
                <w:lang w:val="zh-CN"/>
              </w:rPr>
              <w:t>1</w:t>
            </w:r>
            <w:r>
              <w:rPr>
                <w:rFonts w:hAnsi="宋体"/>
                <w:color w:val="auto"/>
                <w:sz w:val="24"/>
                <w:u w:val="single"/>
                <w:lang w:val="zh-CN"/>
              </w:rPr>
              <w:t>套重金属废水处理</w:t>
            </w:r>
            <w:r>
              <w:rPr>
                <w:rFonts w:hint="eastAsia" w:hAnsi="宋体"/>
                <w:color w:val="auto"/>
                <w:sz w:val="24"/>
                <w:u w:val="single"/>
                <w:lang w:val="zh-CN"/>
              </w:rPr>
              <w:t>成套</w:t>
            </w:r>
            <w:r>
              <w:rPr>
                <w:rFonts w:hAnsi="宋体"/>
                <w:color w:val="auto"/>
                <w:sz w:val="24"/>
                <w:u w:val="single"/>
                <w:lang w:val="zh-CN"/>
              </w:rPr>
              <w:t>设备对重金属废水进行处理，设置在稳定化场中</w:t>
            </w:r>
            <w:r>
              <w:rPr>
                <w:rFonts w:hint="eastAsia" w:hAnsi="宋体"/>
                <w:color w:val="auto"/>
                <w:sz w:val="24"/>
                <w:u w:val="single"/>
                <w:lang w:val="zh-CN"/>
              </w:rPr>
              <w:t>。</w:t>
            </w:r>
            <w:r>
              <w:rPr>
                <w:rFonts w:hAnsi="宋体"/>
                <w:color w:val="auto"/>
                <w:sz w:val="24"/>
                <w:u w:val="single"/>
                <w:lang w:val="zh-CN"/>
              </w:rPr>
              <w:t>项目施工产生的</w:t>
            </w:r>
            <w:r>
              <w:rPr>
                <w:rFonts w:hint="eastAsia" w:hAnsi="宋体"/>
                <w:color w:val="auto"/>
                <w:sz w:val="24"/>
                <w:u w:val="single"/>
                <w:lang w:val="zh-CN"/>
              </w:rPr>
              <w:t>场地雨水、</w:t>
            </w:r>
            <w:r>
              <w:rPr>
                <w:rFonts w:hAnsi="宋体"/>
                <w:color w:val="auto"/>
                <w:sz w:val="24"/>
                <w:u w:val="single"/>
                <w:lang w:val="zh-CN"/>
              </w:rPr>
              <w:t>洗车废水、基坑废水等经集中收集后排至废水处理设施中</w:t>
            </w:r>
            <w:r>
              <w:rPr>
                <w:rFonts w:hint="eastAsia" w:hAnsi="宋体"/>
                <w:color w:val="auto"/>
                <w:sz w:val="24"/>
                <w:u w:val="single"/>
                <w:lang w:val="zh-CN"/>
              </w:rPr>
              <w:t>处理。</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textAlignment w:val="auto"/>
              <w:outlineLvl w:val="9"/>
              <w:rPr>
                <w:rFonts w:ascii="宋体" w:hAnsi="宋体"/>
                <w:color w:val="auto"/>
                <w:sz w:val="24"/>
                <w:szCs w:val="28"/>
                <w:u w:val="single"/>
              </w:rPr>
            </w:pPr>
            <w:r>
              <w:rPr>
                <w:rFonts w:hint="eastAsia" w:ascii="宋体" w:hAnsi="宋体"/>
                <w:color w:val="auto"/>
                <w:sz w:val="24"/>
                <w:u w:val="single"/>
              </w:rPr>
              <w:t>项目废水处理设施可能因为管道破裂、设备故障、停电等原因</w:t>
            </w:r>
            <w:r>
              <w:rPr>
                <w:rFonts w:ascii="宋体" w:hAnsi="宋体"/>
                <w:color w:val="auto"/>
                <w:sz w:val="24"/>
                <w:u w:val="single"/>
              </w:rPr>
              <w:t>，造成</w:t>
            </w:r>
            <w:r>
              <w:rPr>
                <w:rFonts w:hint="eastAsia" w:ascii="宋体" w:hAnsi="宋体"/>
                <w:color w:val="auto"/>
                <w:sz w:val="24"/>
                <w:u w:val="single"/>
              </w:rPr>
              <w:t>施工废水泄漏。</w:t>
            </w:r>
            <w:r>
              <w:rPr>
                <w:rFonts w:hint="eastAsia" w:ascii="宋体" w:hAnsi="宋体"/>
                <w:color w:val="auto"/>
                <w:sz w:val="24"/>
                <w:szCs w:val="28"/>
                <w:u w:val="single"/>
              </w:rPr>
              <w:t>项目废水在废水处理设施发生事故情况时，如果未经处理直接外排，由于废水污染物浓度较高，还可能含有重金属，势必会对项目区地下水质及周边水体造成环境影响。</w:t>
            </w:r>
          </w:p>
          <w:p>
            <w:pPr>
              <w:pStyle w:val="241"/>
              <w:keepNext w:val="0"/>
              <w:keepLines w:val="0"/>
              <w:pageBreakBefore w:val="0"/>
              <w:widowControl w:val="0"/>
              <w:kinsoku/>
              <w:wordWrap/>
              <w:overflowPunct/>
              <w:topLinePunct w:val="0"/>
              <w:autoSpaceDE w:val="0"/>
              <w:autoSpaceDN w:val="0"/>
              <w:bidi w:val="0"/>
              <w:adjustRightInd/>
              <w:snapToGrid/>
              <w:spacing w:line="360" w:lineRule="auto"/>
              <w:ind w:left="840" w:right="0" w:rightChars="0" w:firstLine="0" w:firstLineChars="0"/>
              <w:jc w:val="left"/>
              <w:textAlignment w:val="auto"/>
              <w:outlineLvl w:val="9"/>
              <w:rPr>
                <w:rFonts w:ascii="宋体" w:hAnsi="宋体"/>
                <w:color w:val="auto"/>
                <w:sz w:val="24"/>
                <w:u w:val="single"/>
                <w:lang w:val="zh-CN"/>
              </w:rPr>
            </w:pPr>
            <w:r>
              <w:rPr>
                <w:rFonts w:hint="eastAsia" w:ascii="宋体" w:hAnsi="宋体"/>
                <w:color w:val="auto"/>
                <w:sz w:val="24"/>
                <w:u w:val="single"/>
                <w:lang w:val="zh-CN"/>
              </w:rPr>
              <w:t>③废气事故排放</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outlineLvl w:val="9"/>
              <w:rPr>
                <w:rFonts w:cs="宋体"/>
                <w:bCs/>
                <w:color w:val="auto"/>
                <w:sz w:val="24"/>
                <w:szCs w:val="24"/>
                <w:u w:val="single"/>
              </w:rPr>
            </w:pPr>
            <w:r>
              <w:rPr>
                <w:rFonts w:hint="eastAsia"/>
                <w:color w:val="auto"/>
                <w:sz w:val="24"/>
                <w:szCs w:val="24"/>
                <w:u w:val="single"/>
              </w:rPr>
              <w:t>正常情况下施工，项目开挖、堆土、运输等产生的扬尘通过洒水降尘、定期洗车后影响不大。但在</w:t>
            </w:r>
            <w:r>
              <w:rPr>
                <w:rFonts w:hint="eastAsia" w:cs="宋体"/>
                <w:bCs/>
                <w:color w:val="auto"/>
                <w:sz w:val="24"/>
                <w:szCs w:val="24"/>
                <w:u w:val="single"/>
              </w:rPr>
              <w:t>不利天气条件下，如大风天气，可能导致堆土、开挖、运输等过程产生较大扬尘，由于风力作用，难于沉降，随大气扩散，影响周边大气环境。</w:t>
            </w:r>
          </w:p>
          <w:p>
            <w:pPr>
              <w:keepNext w:val="0"/>
              <w:keepLines w:val="0"/>
              <w:pageBreakBefore w:val="0"/>
              <w:widowControl w:val="0"/>
              <w:kinsoku/>
              <w:wordWrap/>
              <w:overflowPunct/>
              <w:topLinePunct w:val="0"/>
              <w:bidi w:val="0"/>
              <w:adjustRightInd/>
              <w:snapToGrid/>
              <w:spacing w:line="360" w:lineRule="auto"/>
              <w:ind w:right="0" w:rightChars="0" w:firstLine="480"/>
              <w:textAlignment w:val="auto"/>
              <w:outlineLvl w:val="9"/>
              <w:rPr>
                <w:color w:val="auto"/>
                <w:sz w:val="24"/>
              </w:rPr>
            </w:pPr>
            <w:r>
              <w:rPr>
                <w:rFonts w:hAnsi="宋体"/>
                <w:color w:val="auto"/>
                <w:sz w:val="24"/>
                <w:szCs w:val="24"/>
              </w:rPr>
              <w:t>（</w:t>
            </w:r>
            <w:r>
              <w:rPr>
                <w:color w:val="auto"/>
                <w:sz w:val="24"/>
                <w:szCs w:val="24"/>
              </w:rPr>
              <w:t>2</w:t>
            </w:r>
            <w:r>
              <w:rPr>
                <w:rFonts w:hAnsi="宋体"/>
                <w:color w:val="auto"/>
                <w:sz w:val="24"/>
                <w:szCs w:val="24"/>
              </w:rPr>
              <w:t>）风险防范、应急措</w:t>
            </w:r>
            <w:r>
              <w:rPr>
                <w:rFonts w:hAnsi="宋体"/>
                <w:color w:val="auto"/>
                <w:sz w:val="24"/>
              </w:rPr>
              <w:t>施</w:t>
            </w:r>
          </w:p>
          <w:p>
            <w:pPr>
              <w:keepNext w:val="0"/>
              <w:keepLines w:val="0"/>
              <w:pageBreakBefore w:val="0"/>
              <w:widowControl w:val="0"/>
              <w:kinsoku/>
              <w:wordWrap/>
              <w:overflowPunct/>
              <w:topLinePunct w:val="0"/>
              <w:bidi w:val="0"/>
              <w:adjustRightInd/>
              <w:snapToGrid/>
              <w:spacing w:line="360" w:lineRule="auto"/>
              <w:ind w:right="0" w:rightChars="0" w:firstLine="480"/>
              <w:textAlignment w:val="auto"/>
              <w:outlineLvl w:val="9"/>
              <w:rPr>
                <w:color w:val="auto"/>
                <w:sz w:val="24"/>
              </w:rPr>
            </w:pPr>
            <w:r>
              <w:rPr>
                <w:rFonts w:hint="eastAsia" w:ascii="宋体" w:hAnsi="宋体"/>
                <w:color w:val="auto"/>
                <w:sz w:val="24"/>
              </w:rPr>
              <w:t>①</w:t>
            </w:r>
            <w:r>
              <w:rPr>
                <w:rFonts w:hAnsi="宋体"/>
                <w:color w:val="auto"/>
                <w:sz w:val="24"/>
              </w:rPr>
              <w:t>开挖阶段发现不明管道、构筑物时，及时停止修复作业，确认该管道、构筑物已废弃且消除</w:t>
            </w:r>
            <w:r>
              <w:rPr>
                <w:rFonts w:hint="eastAsia" w:hAnsi="宋体"/>
                <w:color w:val="auto"/>
                <w:sz w:val="24"/>
              </w:rPr>
              <w:t>环境污染</w:t>
            </w:r>
            <w:r>
              <w:rPr>
                <w:rFonts w:hAnsi="宋体"/>
                <w:color w:val="auto"/>
                <w:sz w:val="24"/>
              </w:rPr>
              <w:t>隐患后，方可继续修复。不明物料由资质的单位鉴定为危险废物时，送至有危险废物处理资质的单位处置。</w:t>
            </w:r>
          </w:p>
          <w:p>
            <w:pPr>
              <w:keepNext w:val="0"/>
              <w:keepLines w:val="0"/>
              <w:pageBreakBefore w:val="0"/>
              <w:widowControl w:val="0"/>
              <w:kinsoku/>
              <w:wordWrap/>
              <w:overflowPunct/>
              <w:topLinePunct w:val="0"/>
              <w:bidi w:val="0"/>
              <w:adjustRightInd/>
              <w:snapToGrid/>
              <w:spacing w:line="360" w:lineRule="auto"/>
              <w:ind w:right="0" w:rightChars="0" w:firstLine="480"/>
              <w:textAlignment w:val="auto"/>
              <w:outlineLvl w:val="9"/>
              <w:rPr>
                <w:color w:val="auto"/>
                <w:sz w:val="24"/>
              </w:rPr>
            </w:pPr>
            <w:r>
              <w:rPr>
                <w:rFonts w:hint="eastAsia" w:ascii="宋体" w:hAnsi="宋体"/>
                <w:color w:val="auto"/>
                <w:sz w:val="24"/>
              </w:rPr>
              <w:t>②</w:t>
            </w:r>
            <w:r>
              <w:rPr>
                <w:rFonts w:hAnsi="宋体"/>
                <w:color w:val="auto"/>
                <w:sz w:val="24"/>
              </w:rPr>
              <w:t>运输阶段：可能出现车辆覆盖不严密造成遗撒及异味扩散</w:t>
            </w:r>
            <w:r>
              <w:rPr>
                <w:rFonts w:hint="eastAsia" w:hAnsi="宋体"/>
                <w:color w:val="auto"/>
                <w:sz w:val="24"/>
              </w:rPr>
              <w:t>时，</w:t>
            </w:r>
            <w:r>
              <w:rPr>
                <w:rFonts w:hAnsi="宋体"/>
                <w:color w:val="auto"/>
                <w:sz w:val="24"/>
              </w:rPr>
              <w:t>及时清理干净</w:t>
            </w:r>
            <w:r>
              <w:rPr>
                <w:rFonts w:hint="eastAsia" w:hAnsi="宋体"/>
                <w:color w:val="auto"/>
                <w:sz w:val="24"/>
              </w:rPr>
              <w:t>，</w:t>
            </w:r>
            <w:r>
              <w:rPr>
                <w:rFonts w:hAnsi="宋体"/>
                <w:color w:val="auto"/>
                <w:sz w:val="24"/>
              </w:rPr>
              <w:t>大面积溢洒情况，应用苫布或塑料布进行覆盖，防止造成二次污染</w:t>
            </w:r>
            <w:r>
              <w:rPr>
                <w:rFonts w:hint="eastAsia" w:hAnsi="宋体"/>
                <w:color w:val="auto"/>
                <w:sz w:val="24"/>
              </w:rPr>
              <w:t>；</w:t>
            </w:r>
            <w:r>
              <w:rPr>
                <w:rFonts w:hAnsi="宋体"/>
                <w:color w:val="auto"/>
                <w:sz w:val="24"/>
              </w:rPr>
              <w:t>运输车辆出现交通事故</w:t>
            </w:r>
            <w:r>
              <w:rPr>
                <w:rFonts w:hint="eastAsia" w:hAnsi="宋体"/>
                <w:color w:val="auto"/>
                <w:sz w:val="24"/>
              </w:rPr>
              <w:t>时，</w:t>
            </w:r>
            <w:r>
              <w:rPr>
                <w:rFonts w:hAnsi="宋体"/>
                <w:color w:val="auto"/>
                <w:sz w:val="24"/>
              </w:rPr>
              <w:t>立即调派车辆，将污染土壤进行安全转移，确保不发生污染扩散。</w:t>
            </w:r>
          </w:p>
          <w:p>
            <w:pPr>
              <w:keepNext w:val="0"/>
              <w:keepLines w:val="0"/>
              <w:pageBreakBefore w:val="0"/>
              <w:widowControl w:val="0"/>
              <w:kinsoku/>
              <w:wordWrap/>
              <w:overflowPunct/>
              <w:topLinePunct w:val="0"/>
              <w:bidi w:val="0"/>
              <w:adjustRightInd/>
              <w:snapToGrid/>
              <w:spacing w:line="360" w:lineRule="auto"/>
              <w:ind w:right="0" w:rightChars="0" w:firstLine="480"/>
              <w:textAlignment w:val="auto"/>
              <w:outlineLvl w:val="9"/>
              <w:rPr>
                <w:color w:val="auto"/>
                <w:sz w:val="24"/>
              </w:rPr>
            </w:pPr>
            <w:r>
              <w:rPr>
                <w:rFonts w:hint="eastAsia" w:ascii="宋体" w:hAnsi="宋体"/>
                <w:color w:val="auto"/>
                <w:sz w:val="24"/>
              </w:rPr>
              <w:t>③</w:t>
            </w:r>
            <w:r>
              <w:rPr>
                <w:rFonts w:hAnsi="宋体"/>
                <w:color w:val="auto"/>
                <w:sz w:val="24"/>
              </w:rPr>
              <w:t>为防止突遇停水问题影响修复工程洒水降尘，应在现场停放洒水车，在修复现场配备柴油发电机，以免突然停电影响修复施工，同时专业人员立即检查原因，尽快抢修。</w:t>
            </w:r>
          </w:p>
          <w:p>
            <w:pPr>
              <w:keepNext w:val="0"/>
              <w:keepLines w:val="0"/>
              <w:pageBreakBefore w:val="0"/>
              <w:widowControl w:val="0"/>
              <w:kinsoku/>
              <w:wordWrap/>
              <w:overflowPunct/>
              <w:topLinePunct w:val="0"/>
              <w:bidi w:val="0"/>
              <w:adjustRightInd/>
              <w:snapToGrid/>
              <w:spacing w:line="360" w:lineRule="auto"/>
              <w:ind w:right="0" w:rightChars="0" w:firstLine="480"/>
              <w:textAlignment w:val="auto"/>
              <w:outlineLvl w:val="9"/>
              <w:rPr>
                <w:color w:val="auto"/>
                <w:sz w:val="24"/>
              </w:rPr>
            </w:pPr>
            <w:r>
              <w:rPr>
                <w:rFonts w:hint="eastAsia" w:ascii="宋体" w:hAnsi="宋体"/>
                <w:color w:val="auto"/>
                <w:sz w:val="24"/>
              </w:rPr>
              <w:t>④</w:t>
            </w:r>
            <w:r>
              <w:rPr>
                <w:rFonts w:hAnsi="宋体"/>
                <w:color w:val="auto"/>
                <w:sz w:val="24"/>
              </w:rPr>
              <w:t>大风、雨天修复施工要多配备洒水车，降低扬尘；遇到</w:t>
            </w:r>
            <w:r>
              <w:rPr>
                <w:color w:val="auto"/>
                <w:sz w:val="24"/>
              </w:rPr>
              <w:t>4</w:t>
            </w:r>
            <w:r>
              <w:rPr>
                <w:rFonts w:hAnsi="宋体"/>
                <w:color w:val="auto"/>
                <w:sz w:val="24"/>
              </w:rPr>
              <w:t>级以上大风时，停止机械作业，准备充足的苫盖材料，加强苫盖，防止扬尘。大雨天施工注意防止基坑泡水与滑坡，避免径流雨水对基坑水及土堆的淋洗。</w:t>
            </w:r>
          </w:p>
          <w:p>
            <w:pPr>
              <w:keepNext w:val="0"/>
              <w:keepLines w:val="0"/>
              <w:pageBreakBefore w:val="0"/>
              <w:widowControl w:val="0"/>
              <w:kinsoku/>
              <w:wordWrap/>
              <w:overflowPunct/>
              <w:topLinePunct w:val="0"/>
              <w:bidi w:val="0"/>
              <w:adjustRightInd/>
              <w:snapToGrid/>
              <w:spacing w:line="360" w:lineRule="auto"/>
              <w:ind w:right="0" w:rightChars="0" w:firstLine="480"/>
              <w:textAlignment w:val="auto"/>
              <w:outlineLvl w:val="9"/>
              <w:rPr>
                <w:rFonts w:hAnsi="宋体"/>
                <w:color w:val="auto"/>
                <w:sz w:val="24"/>
              </w:rPr>
            </w:pPr>
            <w:r>
              <w:rPr>
                <w:rFonts w:hAnsi="宋体"/>
                <w:color w:val="auto"/>
                <w:sz w:val="24"/>
              </w:rPr>
              <w:t>项目修复过程中涉及到硫酸亚铁</w:t>
            </w:r>
            <w:r>
              <w:rPr>
                <w:rFonts w:hint="eastAsia" w:hAnsi="宋体"/>
                <w:color w:val="auto"/>
                <w:sz w:val="24"/>
              </w:rPr>
              <w:t>等化学品</w:t>
            </w:r>
            <w:r>
              <w:rPr>
                <w:rFonts w:hAnsi="宋体"/>
                <w:color w:val="auto"/>
                <w:sz w:val="24"/>
              </w:rPr>
              <w:t>的使用，其在使用、存储过程中可能发生</w:t>
            </w:r>
            <w:r>
              <w:rPr>
                <w:rFonts w:hint="eastAsia" w:hAnsi="宋体"/>
                <w:color w:val="auto"/>
                <w:sz w:val="24"/>
              </w:rPr>
              <w:t>化学品</w:t>
            </w:r>
            <w:r>
              <w:rPr>
                <w:rFonts w:hAnsi="宋体"/>
                <w:color w:val="auto"/>
                <w:sz w:val="24"/>
              </w:rPr>
              <w:t>泄漏。另外，项目作为污染土壤修复工程，生产过程中若处理不当，有可能造成二次</w:t>
            </w:r>
            <w:r>
              <w:rPr>
                <w:rFonts w:hint="eastAsia" w:hAnsi="宋体"/>
                <w:color w:val="auto"/>
                <w:sz w:val="24"/>
              </w:rPr>
              <w:t>环境</w:t>
            </w:r>
            <w:r>
              <w:rPr>
                <w:rFonts w:hAnsi="宋体"/>
                <w:color w:val="auto"/>
                <w:sz w:val="24"/>
              </w:rPr>
              <w:t>污染。工程在采取有效的防范措施后，可将风险减小到最低，控制在可接受水平，不对周围环境造成较大影响。</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outlineLvl w:val="9"/>
              <w:rPr>
                <w:rFonts w:ascii="宋体" w:hAnsi="宋体"/>
                <w:color w:val="auto"/>
                <w:sz w:val="24"/>
                <w:szCs w:val="28"/>
                <w:u w:val="single"/>
              </w:rPr>
            </w:pPr>
            <w:r>
              <w:rPr>
                <w:rFonts w:hint="eastAsia" w:ascii="宋体" w:hAnsi="宋体"/>
                <w:color w:val="auto"/>
                <w:sz w:val="24"/>
                <w:szCs w:val="28"/>
                <w:u w:val="single"/>
              </w:rPr>
              <w:t>③废水事故排放</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outlineLvl w:val="9"/>
              <w:rPr>
                <w:rFonts w:ascii="宋体" w:hAnsi="宋体"/>
                <w:color w:val="auto"/>
                <w:sz w:val="24"/>
                <w:szCs w:val="28"/>
                <w:u w:val="single"/>
              </w:rPr>
            </w:pPr>
            <w:r>
              <w:rPr>
                <w:rFonts w:hint="eastAsia" w:ascii="宋体" w:hAnsi="宋体"/>
                <w:color w:val="auto"/>
                <w:sz w:val="24"/>
                <w:szCs w:val="28"/>
                <w:u w:val="single"/>
              </w:rPr>
              <w:t>项目将设置一集水池，用于收集储存施工期产生的场地雨水、洗车废水和基坑废水，容积应不小于20m</w:t>
            </w:r>
            <w:r>
              <w:rPr>
                <w:rFonts w:hint="eastAsia" w:ascii="宋体" w:hAnsi="宋体"/>
                <w:color w:val="auto"/>
                <w:sz w:val="24"/>
                <w:szCs w:val="28"/>
                <w:u w:val="single"/>
                <w:vertAlign w:val="superscript"/>
              </w:rPr>
              <w:t>3</w:t>
            </w:r>
            <w:r>
              <w:rPr>
                <w:rFonts w:hint="eastAsia" w:ascii="宋体" w:hAnsi="宋体"/>
                <w:color w:val="auto"/>
                <w:sz w:val="24"/>
                <w:szCs w:val="28"/>
                <w:u w:val="single"/>
              </w:rPr>
              <w:t>。当发生管道泄漏、设备损坏等情况时，可用于暂时收集废水处理设施中未经处理的生产废水，经过两级沉淀后</w:t>
            </w:r>
            <w:r>
              <w:rPr>
                <w:rFonts w:hint="eastAsia" w:ascii="宋体" w:hAnsi="宋体"/>
                <w:color w:val="auto"/>
                <w:sz w:val="24"/>
                <w:szCs w:val="28"/>
                <w:u w:val="single"/>
                <w:lang w:eastAsia="zh-CN"/>
              </w:rPr>
              <w:t>，</w:t>
            </w:r>
            <w:r>
              <w:rPr>
                <w:rFonts w:hint="eastAsia" w:hAnsi="宋体"/>
                <w:color w:val="auto"/>
                <w:sz w:val="24"/>
                <w:szCs w:val="24"/>
                <w:u w:val="single"/>
                <w:lang w:eastAsia="zh-CN"/>
              </w:rPr>
              <w:t>除部分回用泼洒抑尘外，其余经槽罐车</w:t>
            </w:r>
            <w:r>
              <w:rPr>
                <w:rFonts w:hint="eastAsia" w:hAnsi="宋体"/>
                <w:color w:val="auto"/>
                <w:sz w:val="24"/>
                <w:szCs w:val="24"/>
                <w:u w:val="single"/>
              </w:rPr>
              <w:t>运输至有处理能力的污水处理厂或企业污水处理装置处理</w:t>
            </w:r>
            <w:r>
              <w:rPr>
                <w:rFonts w:hint="eastAsia" w:ascii="宋体" w:hAnsi="宋体"/>
                <w:color w:val="auto"/>
                <w:sz w:val="24"/>
                <w:szCs w:val="28"/>
                <w:u w:val="single"/>
              </w:rPr>
              <w:t>，不会对周边环境产生影响。</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outlineLvl w:val="9"/>
              <w:rPr>
                <w:rFonts w:ascii="宋体" w:hAnsi="宋体"/>
                <w:color w:val="auto"/>
                <w:sz w:val="24"/>
                <w:szCs w:val="28"/>
                <w:u w:val="single"/>
              </w:rPr>
            </w:pPr>
            <w:r>
              <w:rPr>
                <w:rFonts w:hint="eastAsia" w:ascii="宋体" w:hAnsi="宋体"/>
                <w:color w:val="auto"/>
                <w:sz w:val="24"/>
                <w:szCs w:val="28"/>
                <w:u w:val="single"/>
              </w:rPr>
              <w:t>④废气事故排放</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outlineLvl w:val="9"/>
              <w:rPr>
                <w:rFonts w:hAnsi="宋体"/>
                <w:color w:val="auto"/>
                <w:sz w:val="24"/>
                <w:lang w:val="zh-CN"/>
              </w:rPr>
            </w:pPr>
            <w:r>
              <w:rPr>
                <w:rFonts w:hint="eastAsia" w:hAnsi="宋体"/>
                <w:color w:val="auto"/>
                <w:sz w:val="24"/>
                <w:u w:val="single"/>
                <w:lang w:val="zh-CN"/>
              </w:rPr>
              <w:t>施工期间应采取设置施工标牌；洒水抑尘；围挡、防尘网设置；运输车辆清洗、遮盖；散料集中堆放、篷布遮盖等措施，降低施工期扬尘对周边大气环境的影响。大风等不利天气条件下</w:t>
            </w:r>
            <w:r>
              <w:rPr>
                <w:rFonts w:hint="eastAsia" w:cs="宋体"/>
                <w:bCs/>
                <w:color w:val="auto"/>
                <w:sz w:val="24"/>
                <w:szCs w:val="24"/>
                <w:u w:val="single"/>
              </w:rPr>
              <w:t>，可能导致堆土、开挖、运输等过程扬尘产生量急剧增加。建设单位应提前关注天气预报情况，禁止在大风等不利天气条件下进行土壤开挖、运输等工程，并及时对项目区裸露的表土、堆土区进行篷布覆盖。</w:t>
            </w:r>
          </w:p>
          <w:p>
            <w:pPr>
              <w:keepNext w:val="0"/>
              <w:keepLines w:val="0"/>
              <w:pageBreakBefore w:val="0"/>
              <w:widowControl w:val="0"/>
              <w:kinsoku/>
              <w:wordWrap/>
              <w:overflowPunct/>
              <w:topLinePunct w:val="0"/>
              <w:bidi w:val="0"/>
              <w:adjustRightInd/>
              <w:snapToGrid/>
              <w:spacing w:line="360" w:lineRule="auto"/>
              <w:ind w:right="0" w:rightChars="0" w:firstLine="482"/>
              <w:textAlignment w:val="auto"/>
              <w:outlineLvl w:val="9"/>
              <w:rPr>
                <w:b/>
                <w:color w:val="auto"/>
                <w:sz w:val="24"/>
                <w:szCs w:val="24"/>
              </w:rPr>
            </w:pPr>
            <w:r>
              <w:rPr>
                <w:rFonts w:hint="eastAsia" w:hAnsi="宋体"/>
                <w:b/>
                <w:color w:val="auto"/>
                <w:sz w:val="24"/>
                <w:szCs w:val="24"/>
              </w:rPr>
              <w:t>八</w:t>
            </w:r>
            <w:r>
              <w:rPr>
                <w:rFonts w:hAnsi="宋体"/>
                <w:b/>
                <w:color w:val="auto"/>
                <w:sz w:val="24"/>
                <w:szCs w:val="24"/>
              </w:rPr>
              <w:t>、</w:t>
            </w:r>
            <w:bookmarkStart w:id="49" w:name="_Toc11156"/>
            <w:bookmarkStart w:id="50" w:name="_Toc3104"/>
            <w:bookmarkStart w:id="51" w:name="_Toc484165363"/>
            <w:r>
              <w:rPr>
                <w:rFonts w:hAnsi="宋体"/>
                <w:b/>
                <w:color w:val="auto"/>
                <w:sz w:val="24"/>
                <w:szCs w:val="24"/>
              </w:rPr>
              <w:t>环境管理与监测计划</w:t>
            </w:r>
            <w:bookmarkEnd w:id="49"/>
            <w:bookmarkEnd w:id="50"/>
            <w:bookmarkEnd w:id="51"/>
          </w:p>
          <w:p>
            <w:pPr>
              <w:keepNext w:val="0"/>
              <w:keepLines w:val="0"/>
              <w:pageBreakBefore w:val="0"/>
              <w:widowControl w:val="0"/>
              <w:kinsoku/>
              <w:wordWrap/>
              <w:overflowPunct/>
              <w:topLinePunct w:val="0"/>
              <w:bidi w:val="0"/>
              <w:adjustRightInd/>
              <w:snapToGrid/>
              <w:spacing w:line="360" w:lineRule="auto"/>
              <w:ind w:right="0" w:rightChars="0" w:firstLine="472" w:firstLineChars="196"/>
              <w:jc w:val="left"/>
              <w:textAlignment w:val="auto"/>
              <w:outlineLvl w:val="9"/>
              <w:rPr>
                <w:b/>
                <w:color w:val="auto"/>
                <w:sz w:val="24"/>
                <w:szCs w:val="24"/>
              </w:rPr>
            </w:pPr>
            <w:bookmarkStart w:id="52" w:name="_Toc18717"/>
            <w:r>
              <w:rPr>
                <w:b/>
                <w:color w:val="auto"/>
                <w:sz w:val="24"/>
                <w:szCs w:val="24"/>
              </w:rPr>
              <w:t>1</w:t>
            </w:r>
            <w:r>
              <w:rPr>
                <w:rFonts w:hAnsi="宋体"/>
                <w:b/>
                <w:color w:val="auto"/>
                <w:sz w:val="24"/>
                <w:szCs w:val="24"/>
              </w:rPr>
              <w:t>、环境保护管理</w:t>
            </w:r>
            <w:bookmarkEnd w:id="52"/>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rPr>
              <w:t>为了贯彻执行国家和地方环境保护法律、法规、政策与标准，及时掌握和了解污染控制措施的效果，以及项目所在区域环境质量的变化情况，更好地监控环保设施的运行情况，协调与地方环保职能部门和其他有关部门的工作，同时保证企业生产管理和环境管理的正常运作，建立环境管理体系与监测制度是非常必要和重要的。</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rPr>
              <w:t>环境管理体系与监测机构的建立能够帮助企业及早发现问题，使企业在发展生产的同时节约能源、降低原材料的消耗，控制污染物排放量，减轻污染物排放对环境的影响，为企业创造更好的经济效益和环境效益，树立良好的社会形象。</w:t>
            </w:r>
          </w:p>
          <w:p>
            <w:pPr>
              <w:keepNext w:val="0"/>
              <w:keepLines w:val="0"/>
              <w:pageBreakBefore w:val="0"/>
              <w:widowControl w:val="0"/>
              <w:kinsoku/>
              <w:wordWrap/>
              <w:overflowPunct/>
              <w:topLinePunct w:val="0"/>
              <w:bidi w:val="0"/>
              <w:adjustRightInd/>
              <w:snapToGrid/>
              <w:spacing w:line="360" w:lineRule="auto"/>
              <w:ind w:right="0" w:rightChars="0"/>
              <w:jc w:val="left"/>
              <w:textAlignment w:val="auto"/>
              <w:outlineLvl w:val="9"/>
              <w:rPr>
                <w:color w:val="auto"/>
                <w:sz w:val="24"/>
                <w:szCs w:val="24"/>
              </w:rPr>
            </w:pPr>
            <w:r>
              <w:rPr>
                <w:color w:val="auto"/>
                <w:sz w:val="24"/>
                <w:szCs w:val="24"/>
              </w:rPr>
              <w:t xml:space="preserve">    (1)</w:t>
            </w:r>
            <w:r>
              <w:rPr>
                <w:rFonts w:hAnsi="宋体"/>
                <w:color w:val="auto"/>
                <w:sz w:val="24"/>
                <w:szCs w:val="24"/>
              </w:rPr>
              <w:t>项目准备和施工期环境管理机构及职责</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rPr>
              <w:t>项目项目准备和施工期环境管理机构是本项目工程建设指挥部。指挥部应有</w:t>
            </w:r>
            <w:r>
              <w:rPr>
                <w:color w:val="auto"/>
                <w:sz w:val="24"/>
                <w:szCs w:val="24"/>
              </w:rPr>
              <w:t>1</w:t>
            </w:r>
            <w:r>
              <w:rPr>
                <w:rFonts w:hAnsi="宋体"/>
                <w:color w:val="auto"/>
                <w:sz w:val="24"/>
                <w:szCs w:val="24"/>
              </w:rPr>
              <w:t>～</w:t>
            </w:r>
            <w:r>
              <w:rPr>
                <w:color w:val="auto"/>
                <w:sz w:val="24"/>
                <w:szCs w:val="24"/>
              </w:rPr>
              <w:t>2</w:t>
            </w:r>
            <w:r>
              <w:rPr>
                <w:rFonts w:hAnsi="宋体"/>
                <w:color w:val="auto"/>
                <w:sz w:val="24"/>
                <w:szCs w:val="24"/>
              </w:rPr>
              <w:t>名专、兼职环保人员，其主要职责是：</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rPr>
              <w:t>①根据国家有关的施工管理条例和操作规范，按照环评报告表提出的施工期环境保护措施和要求，制定项目的施工环境保护管理办法，并负责实施；</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rPr>
              <w:t>②监督施工单位执行施工环境保护管理办法的情况，对违反管理办法的施工行为及时予以制止；</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rPr>
              <w:t>③调查、处理施工扰民或污染纠纷；</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rPr>
              <w:t>④向当地环保部门提交施工期的阶段报告和</w:t>
            </w:r>
            <w:r>
              <w:rPr>
                <w:color w:val="auto"/>
                <w:sz w:val="24"/>
                <w:szCs w:val="24"/>
              </w:rPr>
              <w:t>“</w:t>
            </w:r>
            <w:r>
              <w:rPr>
                <w:rFonts w:hAnsi="宋体"/>
                <w:color w:val="auto"/>
                <w:sz w:val="24"/>
                <w:szCs w:val="24"/>
              </w:rPr>
              <w:t>三同时</w:t>
            </w:r>
            <w:r>
              <w:rPr>
                <w:color w:val="auto"/>
                <w:sz w:val="24"/>
                <w:szCs w:val="24"/>
              </w:rPr>
              <w:t>”</w:t>
            </w:r>
            <w:r>
              <w:rPr>
                <w:rFonts w:hAnsi="宋体"/>
                <w:color w:val="auto"/>
                <w:sz w:val="24"/>
                <w:szCs w:val="24"/>
              </w:rPr>
              <w:t>竣工验收报告。</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color w:val="auto"/>
                <w:sz w:val="24"/>
                <w:szCs w:val="24"/>
              </w:rPr>
              <w:t>(2)</w:t>
            </w:r>
            <w:r>
              <w:rPr>
                <w:rFonts w:hAnsi="宋体"/>
                <w:color w:val="auto"/>
                <w:sz w:val="24"/>
                <w:szCs w:val="24"/>
              </w:rPr>
              <w:t>环境监督机构</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rFonts w:hAnsi="宋体"/>
                <w:color w:val="auto"/>
                <w:sz w:val="24"/>
                <w:szCs w:val="24"/>
              </w:rPr>
            </w:pPr>
            <w:r>
              <w:rPr>
                <w:rFonts w:hAnsi="宋体"/>
                <w:color w:val="auto"/>
                <w:sz w:val="24"/>
                <w:szCs w:val="24"/>
              </w:rPr>
              <w:t>当地环保局负责对本项目环境影响报告表审查及项目环境保护工作实施监督管理：组织和协调有关机构为项目环境保护工作服务；监督项目环境管理计划的实施；负责项目环境保护设施的竣工验收；确保项目应执行的环境管理办法和标准。</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rFonts w:hAnsi="宋体"/>
                <w:color w:val="auto"/>
                <w:sz w:val="24"/>
                <w:szCs w:val="24"/>
                <w:u w:val="single"/>
              </w:rPr>
            </w:pPr>
            <w:r>
              <w:rPr>
                <w:rFonts w:hint="eastAsia" w:hAnsi="宋体"/>
                <w:color w:val="auto"/>
                <w:sz w:val="24"/>
                <w:szCs w:val="24"/>
                <w:u w:val="single"/>
              </w:rPr>
              <w:t>（3）施工环境监理</w:t>
            </w:r>
          </w:p>
          <w:p>
            <w:pPr>
              <w:keepNext w:val="0"/>
              <w:keepLines w:val="0"/>
              <w:pageBreakBefore w:val="0"/>
              <w:widowControl w:val="0"/>
              <w:kinsoku/>
              <w:wordWrap/>
              <w:overflowPunct/>
              <w:topLinePunct w:val="0"/>
              <w:bidi w:val="0"/>
              <w:adjustRightInd/>
              <w:snapToGrid/>
              <w:spacing w:line="360" w:lineRule="auto"/>
              <w:ind w:right="0" w:rightChars="0" w:firstLine="480" w:firstLineChars="200"/>
              <w:textAlignment w:val="auto"/>
              <w:outlineLvl w:val="9"/>
              <w:rPr>
                <w:rFonts w:hint="eastAsia"/>
                <w:color w:val="auto"/>
                <w:sz w:val="24"/>
                <w:szCs w:val="24"/>
                <w:u w:val="single"/>
              </w:rPr>
            </w:pPr>
            <w:r>
              <w:rPr>
                <w:rFonts w:hint="eastAsia"/>
                <w:color w:val="auto"/>
                <w:sz w:val="24"/>
                <w:szCs w:val="24"/>
                <w:u w:val="single"/>
              </w:rPr>
              <w:t>施工环境监理主要包括环保达标监理和环保工程监理。环保达标监理是使主体工程的施工符合环境保护的要求，如噪声、废气、污水等排放应达到有关的标准等。环保工程监理包括生态环境保护，水土保持，包括污水处理设施、噪声减缓措施、边坡防护、排水工程、绿化等在内的环保设施建设的监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color w:val="auto"/>
                <w:sz w:val="24"/>
                <w:szCs w:val="24"/>
                <w:u w:val="single"/>
                <w:lang w:eastAsia="zh-CN"/>
              </w:rPr>
            </w:pPr>
            <w:r>
              <w:rPr>
                <w:rFonts w:hint="eastAsia" w:ascii="Times New Roman" w:hAnsi="Times New Roman" w:cs="Times New Roman"/>
                <w:color w:val="auto"/>
                <w:sz w:val="24"/>
                <w:szCs w:val="24"/>
                <w:u w:val="single"/>
                <w:lang w:eastAsia="zh-CN"/>
              </w:rPr>
              <w:t>建设单位应在土壤修复治理前按照法定程序委托具有相应资质的监理机构对工程实施情况进行监理。接受委托的监理机构应当对工程实施工程中的各项环境保护技术要求的落实情况严格进行监理。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color w:val="auto"/>
                <w:sz w:val="24"/>
                <w:szCs w:val="24"/>
                <w:u w:val="single"/>
                <w:lang w:eastAsia="zh-CN"/>
              </w:rPr>
            </w:pPr>
            <w:r>
              <w:rPr>
                <w:rFonts w:hint="eastAsia" w:ascii="Times New Roman" w:hAnsi="Times New Roman" w:cs="Times New Roman"/>
                <w:color w:val="auto"/>
                <w:sz w:val="24"/>
                <w:szCs w:val="24"/>
                <w:u w:val="single"/>
                <w:lang w:eastAsia="zh-CN"/>
              </w:rPr>
              <w:t>接受委托进行环境监理的机构，应当在治理与修复工程完工后，向建设单位和相关环保行政部门提交监理报告。治理与修复工需要分项实施的，监理机构应当在每个分项工程完工后，提交分项工程环境监理报告。工程全部完工后提交总体工程环境监理报告。</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cs="Times New Roman"/>
                <w:color w:val="auto"/>
                <w:sz w:val="24"/>
                <w:szCs w:val="24"/>
                <w:u w:val="single"/>
                <w:lang w:eastAsia="zh-CN"/>
              </w:rPr>
            </w:pPr>
            <w:r>
              <w:rPr>
                <w:rFonts w:hint="eastAsia" w:ascii="Times New Roman" w:hAnsi="Times New Roman" w:cs="Times New Roman"/>
                <w:color w:val="auto"/>
                <w:sz w:val="24"/>
                <w:szCs w:val="24"/>
                <w:u w:val="single"/>
                <w:lang w:eastAsia="zh-CN"/>
              </w:rPr>
              <w:t>本项目环境监理工作应包含监理工作范围、工作流程、监理内容。</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2" w:firstLineChars="200"/>
              <w:jc w:val="both"/>
              <w:textAlignment w:val="auto"/>
              <w:outlineLvl w:val="9"/>
              <w:rPr>
                <w:rFonts w:hint="eastAsia" w:ascii="Times New Roman" w:hAnsi="Times New Roman" w:cs="Times New Roman"/>
                <w:color w:val="auto"/>
                <w:sz w:val="24"/>
                <w:szCs w:val="24"/>
                <w:u w:val="single"/>
                <w:lang w:eastAsia="zh-CN"/>
              </w:rPr>
            </w:pPr>
            <w:r>
              <w:rPr>
                <w:rFonts w:hint="eastAsia" w:ascii="Times New Roman" w:hAnsi="Times New Roman" w:cs="Times New Roman"/>
                <w:b/>
                <w:bCs/>
                <w:color w:val="auto"/>
                <w:sz w:val="24"/>
                <w:szCs w:val="24"/>
                <w:u w:val="single"/>
                <w:lang w:eastAsia="zh-CN"/>
              </w:rPr>
              <w:t>监理工作范围：</w:t>
            </w:r>
            <w:r>
              <w:rPr>
                <w:rFonts w:hint="eastAsia" w:ascii="Times New Roman" w:hAnsi="Times New Roman" w:cs="Times New Roman"/>
                <w:color w:val="auto"/>
                <w:sz w:val="24"/>
                <w:szCs w:val="24"/>
                <w:u w:val="single"/>
                <w:lang w:eastAsia="zh-CN"/>
              </w:rPr>
              <w:t>项目施工区、环境影响区、生活服务区。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2" w:firstLineChars="200"/>
              <w:jc w:val="both"/>
              <w:textAlignment w:val="auto"/>
              <w:outlineLvl w:val="9"/>
              <w:rPr>
                <w:rFonts w:hint="eastAsia" w:ascii="Times New Roman" w:hAnsi="Times New Roman" w:cs="Times New Roman"/>
                <w:color w:val="auto"/>
                <w:sz w:val="24"/>
                <w:szCs w:val="24"/>
                <w:u w:val="single"/>
                <w:lang w:eastAsia="zh-CN"/>
              </w:rPr>
            </w:pPr>
            <w:r>
              <w:rPr>
                <w:rFonts w:hint="eastAsia" w:ascii="Times New Roman" w:hAnsi="Times New Roman" w:cs="Times New Roman"/>
                <w:b/>
                <w:bCs/>
                <w:color w:val="auto"/>
                <w:sz w:val="24"/>
                <w:szCs w:val="24"/>
                <w:u w:val="single"/>
                <w:lang w:eastAsia="zh-CN"/>
              </w:rPr>
              <w:t>监理工作流程：</w:t>
            </w:r>
            <w:r>
              <w:rPr>
                <w:rFonts w:hint="eastAsia" w:ascii="Times New Roman" w:hAnsi="Times New Roman" w:cs="Times New Roman"/>
                <w:color w:val="auto"/>
                <w:sz w:val="24"/>
                <w:szCs w:val="24"/>
                <w:u w:val="single"/>
                <w:lang w:eastAsia="zh-CN"/>
              </w:rPr>
              <w:t>本项目环境监理工作流程如下图所示。</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single"/>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right="0" w:rightChars="0"/>
              <w:jc w:val="center"/>
              <w:textAlignment w:val="auto"/>
              <w:outlineLvl w:val="9"/>
              <w:rPr>
                <w:rFonts w:hint="eastAsia" w:ascii="Times New Roman" w:hAnsi="Times New Roman" w:cs="Times New Roman"/>
                <w:color w:val="auto"/>
                <w:sz w:val="24"/>
                <w:szCs w:val="24"/>
                <w:u w:val="single"/>
                <w:lang w:eastAsia="zh-CN"/>
              </w:rPr>
            </w:pPr>
            <w:r>
              <w:rPr>
                <w:rFonts w:hint="eastAsia" w:ascii="Times New Roman" w:hAnsi="Times New Roman" w:cs="Times New Roman"/>
                <w:color w:val="auto"/>
                <w:sz w:val="24"/>
                <w:szCs w:val="24"/>
                <w:u w:val="single"/>
                <w:lang w:eastAsia="zh-CN"/>
              </w:rPr>
              <w:object>
                <v:shape id="_x0000_i1027" o:spt="75" type="#_x0000_t75" style="height:512pt;width:318.1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pPr>
              <w:pStyle w:val="2"/>
              <w:jc w:val="center"/>
              <w:rPr>
                <w:rFonts w:hint="eastAsia"/>
                <w:color w:val="auto"/>
                <w:sz w:val="24"/>
                <w:szCs w:val="24"/>
                <w:u w:val="single"/>
              </w:rPr>
            </w:pPr>
            <w:r>
              <w:rPr>
                <w:rFonts w:hint="eastAsia" w:ascii="Times New Roman" w:hAnsi="Times New Roman" w:cs="Times New Roman"/>
                <w:b/>
                <w:color w:val="auto"/>
                <w:sz w:val="21"/>
                <w:szCs w:val="21"/>
                <w:u w:val="single"/>
                <w:lang w:val="en-US" w:eastAsia="zh-CN"/>
              </w:rPr>
              <w:t>图7  项目环境监理工程流程图</w:t>
            </w:r>
          </w:p>
          <w:p>
            <w:pPr>
              <w:keepNext w:val="0"/>
              <w:keepLines w:val="0"/>
              <w:pageBreakBefore w:val="0"/>
              <w:widowControl w:val="0"/>
              <w:kinsoku/>
              <w:wordWrap/>
              <w:overflowPunct/>
              <w:topLinePunct w:val="0"/>
              <w:bidi w:val="0"/>
              <w:adjustRightInd/>
              <w:snapToGrid/>
              <w:spacing w:line="360" w:lineRule="auto"/>
              <w:ind w:right="0" w:rightChars="0"/>
              <w:jc w:val="left"/>
              <w:textAlignment w:val="auto"/>
              <w:outlineLvl w:val="9"/>
              <w:rPr>
                <w:color w:val="auto"/>
                <w:sz w:val="24"/>
                <w:szCs w:val="24"/>
                <w:u w:val="single"/>
              </w:rPr>
            </w:pPr>
            <w:r>
              <w:rPr>
                <w:color w:val="auto"/>
                <w:sz w:val="24"/>
                <w:szCs w:val="24"/>
                <w:u w:val="single"/>
              </w:rPr>
              <w:t xml:space="preserve">    (</w:t>
            </w:r>
            <w:r>
              <w:rPr>
                <w:rFonts w:hint="eastAsia"/>
                <w:color w:val="auto"/>
                <w:sz w:val="24"/>
                <w:szCs w:val="24"/>
                <w:u w:val="single"/>
              </w:rPr>
              <w:t>4</w:t>
            </w:r>
            <w:r>
              <w:rPr>
                <w:color w:val="auto"/>
                <w:sz w:val="24"/>
                <w:szCs w:val="24"/>
                <w:u w:val="single"/>
              </w:rPr>
              <w:t>)</w:t>
            </w:r>
            <w:r>
              <w:rPr>
                <w:rFonts w:hAnsi="宋体"/>
                <w:color w:val="auto"/>
                <w:sz w:val="24"/>
                <w:szCs w:val="24"/>
                <w:u w:val="single"/>
              </w:rPr>
              <w:t>环境管理</w:t>
            </w:r>
            <w:r>
              <w:rPr>
                <w:rFonts w:hint="eastAsia" w:hAnsi="宋体"/>
                <w:color w:val="auto"/>
                <w:sz w:val="24"/>
                <w:szCs w:val="24"/>
                <w:u w:val="single"/>
              </w:rPr>
              <w:t>、环境监理</w:t>
            </w:r>
            <w:r>
              <w:rPr>
                <w:rFonts w:hAnsi="宋体"/>
                <w:color w:val="auto"/>
                <w:sz w:val="24"/>
                <w:szCs w:val="24"/>
                <w:u w:val="single"/>
              </w:rPr>
              <w:t>监控措施</w:t>
            </w:r>
            <w:r>
              <w:rPr>
                <w:rFonts w:hint="eastAsia" w:hAnsi="宋体"/>
                <w:color w:val="auto"/>
                <w:sz w:val="24"/>
                <w:szCs w:val="24"/>
                <w:u w:val="single"/>
              </w:rPr>
              <w:t>、内容</w:t>
            </w:r>
          </w:p>
          <w:p>
            <w:pPr>
              <w:keepNext w:val="0"/>
              <w:keepLines w:val="0"/>
              <w:pageBreakBefore w:val="0"/>
              <w:widowControl w:val="0"/>
              <w:kinsoku/>
              <w:wordWrap/>
              <w:overflowPunct/>
              <w:topLinePunct w:val="0"/>
              <w:bidi w:val="0"/>
              <w:adjustRightInd/>
              <w:snapToGrid/>
              <w:spacing w:line="360" w:lineRule="auto"/>
              <w:ind w:right="0" w:rightChars="0" w:firstLine="480" w:firstLineChars="200"/>
              <w:jc w:val="left"/>
              <w:textAlignment w:val="auto"/>
              <w:outlineLvl w:val="9"/>
              <w:rPr>
                <w:color w:val="auto"/>
                <w:sz w:val="24"/>
                <w:szCs w:val="24"/>
              </w:rPr>
            </w:pPr>
            <w:r>
              <w:rPr>
                <w:rFonts w:hAnsi="宋体"/>
                <w:color w:val="auto"/>
                <w:sz w:val="24"/>
                <w:szCs w:val="24"/>
                <w:u w:val="single"/>
              </w:rPr>
              <w:t>项目的建设过程对周围环境存在潜在污染风险的</w:t>
            </w:r>
            <w:r>
              <w:rPr>
                <w:rFonts w:hint="eastAsia" w:hAnsi="宋体"/>
                <w:color w:val="auto"/>
                <w:sz w:val="24"/>
                <w:szCs w:val="24"/>
                <w:u w:val="single"/>
              </w:rPr>
              <w:t>，</w:t>
            </w:r>
            <w:r>
              <w:rPr>
                <w:rFonts w:hAnsi="宋体"/>
                <w:color w:val="auto"/>
                <w:sz w:val="24"/>
                <w:szCs w:val="24"/>
                <w:u w:val="single"/>
              </w:rPr>
              <w:t>必须采取一定有效的</w:t>
            </w:r>
            <w:r>
              <w:rPr>
                <w:rFonts w:hint="eastAsia" w:hAnsi="宋体"/>
                <w:color w:val="auto"/>
                <w:sz w:val="24"/>
                <w:szCs w:val="24"/>
                <w:u w:val="single"/>
              </w:rPr>
              <w:t>监理、</w:t>
            </w:r>
            <w:r>
              <w:rPr>
                <w:rFonts w:hAnsi="宋体"/>
                <w:color w:val="auto"/>
                <w:sz w:val="24"/>
                <w:szCs w:val="24"/>
                <w:u w:val="single"/>
              </w:rPr>
              <w:t>监控和防范措施，使其对周围环境的影响程度降到最低。其</w:t>
            </w:r>
            <w:r>
              <w:rPr>
                <w:rFonts w:hint="eastAsia" w:hAnsi="宋体"/>
                <w:color w:val="auto"/>
                <w:sz w:val="24"/>
                <w:szCs w:val="24"/>
                <w:u w:val="single"/>
              </w:rPr>
              <w:t>环境管理、环境监理内容及要求</w:t>
            </w:r>
            <w:r>
              <w:rPr>
                <w:rFonts w:hAnsi="宋体"/>
                <w:color w:val="auto"/>
                <w:sz w:val="24"/>
                <w:szCs w:val="24"/>
                <w:u w:val="single"/>
              </w:rPr>
              <w:t>如表</w:t>
            </w:r>
            <w:r>
              <w:rPr>
                <w:color w:val="auto"/>
                <w:sz w:val="24"/>
                <w:szCs w:val="24"/>
                <w:u w:val="single"/>
              </w:rPr>
              <w:t>3</w:t>
            </w:r>
            <w:r>
              <w:rPr>
                <w:rFonts w:hint="eastAsia"/>
                <w:color w:val="auto"/>
                <w:sz w:val="24"/>
                <w:szCs w:val="24"/>
                <w:u w:val="single"/>
                <w:lang w:val="en-US" w:eastAsia="zh-CN"/>
              </w:rPr>
              <w:t>8</w:t>
            </w:r>
            <w:r>
              <w:rPr>
                <w:rFonts w:hAnsi="宋体"/>
                <w:color w:val="auto"/>
                <w:sz w:val="24"/>
                <w:szCs w:val="24"/>
                <w:u w:val="single"/>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表3</w:t>
            </w:r>
            <w:r>
              <w:rPr>
                <w:rFonts w:hint="eastAsia" w:hAnsi="宋体"/>
                <w:b/>
                <w:bCs/>
                <w:color w:val="auto"/>
                <w:u w:val="single"/>
                <w:lang w:val="en-US" w:eastAsia="zh-CN"/>
              </w:rPr>
              <w:t xml:space="preserve">8  </w:t>
            </w:r>
            <w:r>
              <w:rPr>
                <w:rFonts w:hAnsi="宋体"/>
                <w:b/>
                <w:bCs/>
                <w:color w:val="auto"/>
                <w:u w:val="single"/>
              </w:rPr>
              <w:t>环境管理</w:t>
            </w:r>
            <w:r>
              <w:rPr>
                <w:rFonts w:hint="eastAsia" w:hAnsi="宋体"/>
                <w:b/>
                <w:bCs/>
                <w:color w:val="auto"/>
                <w:u w:val="single"/>
              </w:rPr>
              <w:t>、环境监理计划及要求</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5224"/>
              <w:gridCol w:w="918"/>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Ansi="宋体"/>
                      <w:color w:val="auto"/>
                      <w:sz w:val="21"/>
                      <w:szCs w:val="21"/>
                      <w:u w:val="single"/>
                    </w:rPr>
                    <w:t>环境要素</w:t>
                  </w:r>
                </w:p>
              </w:tc>
              <w:tc>
                <w:tcPr>
                  <w:tcW w:w="52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int="eastAsia" w:hAnsi="宋体"/>
                      <w:color w:val="auto"/>
                      <w:sz w:val="21"/>
                      <w:szCs w:val="21"/>
                      <w:u w:val="single"/>
                    </w:rPr>
                    <w:t>监理、监控内容及要求</w:t>
                  </w:r>
                </w:p>
              </w:tc>
              <w:tc>
                <w:tcPr>
                  <w:tcW w:w="91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int="eastAsia" w:hAnsi="宋体"/>
                      <w:color w:val="auto"/>
                      <w:sz w:val="21"/>
                      <w:szCs w:val="21"/>
                      <w:u w:val="single"/>
                    </w:rPr>
                    <w:t>环境监理机构</w:t>
                  </w:r>
                </w:p>
              </w:tc>
              <w:tc>
                <w:tcPr>
                  <w:tcW w:w="163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int="eastAsia" w:hAnsi="宋体"/>
                      <w:color w:val="auto"/>
                      <w:sz w:val="21"/>
                      <w:szCs w:val="21"/>
                      <w:u w:val="single"/>
                    </w:rPr>
                    <w:t>环境管理机构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Ansi="宋体"/>
                      <w:color w:val="auto"/>
                      <w:sz w:val="21"/>
                      <w:szCs w:val="21"/>
                      <w:u w:val="single"/>
                    </w:rPr>
                    <w:t>空气</w:t>
                  </w:r>
                </w:p>
              </w:tc>
              <w:tc>
                <w:tcPr>
                  <w:tcW w:w="52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color w:val="auto"/>
                      <w:sz w:val="21"/>
                      <w:szCs w:val="21"/>
                      <w:u w:val="single"/>
                    </w:rPr>
                  </w:pPr>
                  <w:r>
                    <w:rPr>
                      <w:rFonts w:hAnsi="宋体"/>
                      <w:color w:val="auto"/>
                      <w:sz w:val="21"/>
                      <w:szCs w:val="21"/>
                      <w:u w:val="single"/>
                    </w:rPr>
                    <w:t>①加强管理，文明施工；车辆应覆盖篷布，或用密闭车斗汽车运输。②施工场地、施工道路的扬尘采用定期洒水和清扫措施。③选择设备设施齐全的施工单位。④燃油施工机械采用清洁燃料。</w:t>
                  </w:r>
                  <w:r>
                    <w:rPr>
                      <w:rFonts w:hint="eastAsia" w:hAnsi="宋体"/>
                      <w:color w:val="auto"/>
                      <w:sz w:val="21"/>
                      <w:szCs w:val="21"/>
                      <w:u w:val="single"/>
                    </w:rPr>
                    <w:t>⑤负压大棚做好废气处置措施。</w:t>
                  </w:r>
                </w:p>
              </w:tc>
              <w:tc>
                <w:tcPr>
                  <w:tcW w:w="9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int="eastAsia" w:hAnsi="宋体"/>
                      <w:color w:val="auto"/>
                      <w:sz w:val="21"/>
                      <w:szCs w:val="21"/>
                      <w:u w:val="single"/>
                    </w:rPr>
                    <w:t>第三方监理单位</w:t>
                  </w:r>
                </w:p>
              </w:tc>
              <w:tc>
                <w:tcPr>
                  <w:tcW w:w="163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int="eastAsia" w:hAnsi="宋体"/>
                      <w:color w:val="auto"/>
                      <w:sz w:val="21"/>
                      <w:szCs w:val="21"/>
                      <w:u w:val="single"/>
                    </w:rPr>
                    <w:t>平江县环保局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Ansi="宋体"/>
                      <w:color w:val="auto"/>
                      <w:sz w:val="21"/>
                      <w:szCs w:val="21"/>
                      <w:u w:val="single"/>
                    </w:rPr>
                    <w:t>噪声</w:t>
                  </w:r>
                </w:p>
              </w:tc>
              <w:tc>
                <w:tcPr>
                  <w:tcW w:w="52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color w:val="auto"/>
                      <w:sz w:val="21"/>
                      <w:szCs w:val="21"/>
                      <w:u w:val="single"/>
                    </w:rPr>
                  </w:pPr>
                  <w:r>
                    <w:rPr>
                      <w:rFonts w:hAnsi="宋体"/>
                      <w:color w:val="auto"/>
                      <w:sz w:val="21"/>
                      <w:szCs w:val="21"/>
                      <w:u w:val="single"/>
                    </w:rPr>
                    <w:t>①选用低噪声工程机械设备。②合理安排施工作业时间。③在施工场界设置移动隔声屏障</w:t>
                  </w:r>
                </w:p>
              </w:tc>
              <w:tc>
                <w:tcPr>
                  <w:tcW w:w="9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Ansi="宋体"/>
                      <w:color w:val="auto"/>
                      <w:sz w:val="21"/>
                      <w:szCs w:val="21"/>
                      <w:u w:val="single"/>
                    </w:rPr>
                    <w:t>地表水</w:t>
                  </w:r>
                </w:p>
              </w:tc>
              <w:tc>
                <w:tcPr>
                  <w:tcW w:w="52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color w:val="auto"/>
                      <w:sz w:val="21"/>
                      <w:szCs w:val="21"/>
                      <w:u w:val="single"/>
                    </w:rPr>
                  </w:pPr>
                  <w:r>
                    <w:rPr>
                      <w:rFonts w:hint="eastAsia" w:hAnsi="宋体"/>
                      <w:color w:val="auto"/>
                      <w:sz w:val="21"/>
                      <w:szCs w:val="21"/>
                      <w:u w:val="single"/>
                    </w:rPr>
                    <w:t>污染土壤开挖场地、运输道路及修复负压大棚区、修复土壤临时堆存区四周设置截流沟；</w:t>
                  </w:r>
                  <w:r>
                    <w:rPr>
                      <w:rFonts w:hAnsi="宋体"/>
                      <w:color w:val="auto"/>
                      <w:sz w:val="21"/>
                      <w:szCs w:val="21"/>
                      <w:u w:val="single"/>
                    </w:rPr>
                    <w:t>项目土壤治理区、</w:t>
                  </w:r>
                  <w:r>
                    <w:rPr>
                      <w:rFonts w:hint="eastAsia" w:hAnsi="宋体"/>
                      <w:color w:val="auto"/>
                      <w:sz w:val="21"/>
                      <w:szCs w:val="21"/>
                      <w:u w:val="single"/>
                    </w:rPr>
                    <w:t>负压大棚修复区、修复土壤临时堆存区</w:t>
                  </w:r>
                  <w:r>
                    <w:rPr>
                      <w:rFonts w:hAnsi="宋体"/>
                      <w:color w:val="auto"/>
                      <w:sz w:val="21"/>
                      <w:szCs w:val="21"/>
                      <w:u w:val="single"/>
                    </w:rPr>
                    <w:t>及</w:t>
                  </w:r>
                  <w:r>
                    <w:rPr>
                      <w:rFonts w:hint="eastAsia" w:hAnsi="宋体"/>
                      <w:color w:val="auto"/>
                      <w:sz w:val="21"/>
                      <w:szCs w:val="21"/>
                      <w:u w:val="single"/>
                    </w:rPr>
                    <w:t>车辆清洗平台</w:t>
                  </w:r>
                  <w:r>
                    <w:rPr>
                      <w:rFonts w:hAnsi="宋体"/>
                      <w:color w:val="auto"/>
                      <w:sz w:val="21"/>
                      <w:szCs w:val="21"/>
                      <w:u w:val="single"/>
                    </w:rPr>
                    <w:t>设置废水收集管网</w:t>
                  </w:r>
                  <w:r>
                    <w:rPr>
                      <w:rFonts w:hint="eastAsia" w:hAnsi="宋体"/>
                      <w:color w:val="auto"/>
                      <w:sz w:val="21"/>
                      <w:szCs w:val="21"/>
                      <w:u w:val="single"/>
                    </w:rPr>
                    <w:t>；场地雨水、</w:t>
                  </w:r>
                  <w:r>
                    <w:rPr>
                      <w:rFonts w:hAnsi="宋体"/>
                      <w:color w:val="auto"/>
                      <w:sz w:val="21"/>
                      <w:szCs w:val="21"/>
                      <w:u w:val="single"/>
                    </w:rPr>
                    <w:t>洗车废水、基坑废水经</w:t>
                  </w:r>
                  <w:r>
                    <w:rPr>
                      <w:rFonts w:hint="eastAsia" w:hAnsi="宋体"/>
                      <w:color w:val="auto"/>
                      <w:sz w:val="21"/>
                      <w:szCs w:val="21"/>
                      <w:u w:val="single"/>
                    </w:rPr>
                    <w:t>收集管网收集后经过两级沉淀后</w:t>
                  </w:r>
                  <w:r>
                    <w:rPr>
                      <w:rFonts w:hint="eastAsia" w:hAnsi="宋体"/>
                      <w:color w:val="auto"/>
                      <w:sz w:val="21"/>
                      <w:szCs w:val="21"/>
                      <w:u w:val="single"/>
                      <w:lang w:eastAsia="zh-CN"/>
                    </w:rPr>
                    <w:t>，除部分回用泼洒抑尘外，其余经槽罐车运输至有处理能力的污水处理厂或企业污水处理装置处理</w:t>
                  </w:r>
                  <w:r>
                    <w:rPr>
                      <w:rFonts w:hAnsi="宋体"/>
                      <w:color w:val="auto"/>
                      <w:sz w:val="21"/>
                      <w:szCs w:val="21"/>
                      <w:u w:val="single"/>
                    </w:rPr>
                    <w:t>；生活污水经隔油隔渣</w:t>
                  </w:r>
                  <w:r>
                    <w:rPr>
                      <w:color w:val="auto"/>
                      <w:sz w:val="21"/>
                      <w:szCs w:val="21"/>
                      <w:u w:val="single"/>
                    </w:rPr>
                    <w:t>+</w:t>
                  </w:r>
                  <w:r>
                    <w:rPr>
                      <w:rFonts w:hAnsi="宋体"/>
                      <w:color w:val="auto"/>
                      <w:sz w:val="21"/>
                      <w:szCs w:val="21"/>
                      <w:u w:val="single"/>
                    </w:rPr>
                    <w:t>化粪池处理后外运作农肥</w:t>
                  </w:r>
                </w:p>
              </w:tc>
              <w:tc>
                <w:tcPr>
                  <w:tcW w:w="9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Ansi="宋体"/>
                      <w:color w:val="auto"/>
                      <w:sz w:val="21"/>
                      <w:szCs w:val="21"/>
                      <w:u w:val="single"/>
                    </w:rPr>
                    <w:t>地下水</w:t>
                  </w:r>
                </w:p>
              </w:tc>
              <w:tc>
                <w:tcPr>
                  <w:tcW w:w="52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Ansi="宋体"/>
                      <w:color w:val="auto"/>
                      <w:sz w:val="21"/>
                      <w:szCs w:val="21"/>
                      <w:u w:val="single"/>
                    </w:rPr>
                  </w:pPr>
                  <w:r>
                    <w:rPr>
                      <w:rFonts w:hAnsi="宋体"/>
                      <w:color w:val="auto"/>
                      <w:sz w:val="21"/>
                      <w:szCs w:val="21"/>
                      <w:u w:val="single"/>
                    </w:rPr>
                    <w:t>场地铺设水泥混凝土、碎石、薄膜防渗层</w:t>
                  </w:r>
                  <w:r>
                    <w:rPr>
                      <w:rFonts w:hint="eastAsia" w:hAnsi="宋体"/>
                      <w:color w:val="auto"/>
                      <w:sz w:val="21"/>
                      <w:szCs w:val="21"/>
                      <w:u w:val="single"/>
                    </w:rPr>
                    <w:t>；做好负压大棚、合格土壤临时储存区、开挖基坑底部和侧壁的防渗。场地地下水水文场下游设置地下水监测井，定期监测水质情况</w:t>
                  </w:r>
                </w:p>
              </w:tc>
              <w:tc>
                <w:tcPr>
                  <w:tcW w:w="9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1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Ansi="宋体"/>
                      <w:color w:val="auto"/>
                      <w:sz w:val="21"/>
                      <w:szCs w:val="21"/>
                      <w:u w:val="single"/>
                    </w:rPr>
                    <w:t>固废</w:t>
                  </w:r>
                </w:p>
              </w:tc>
              <w:tc>
                <w:tcPr>
                  <w:tcW w:w="52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color w:val="auto"/>
                      <w:sz w:val="21"/>
                      <w:szCs w:val="21"/>
                      <w:u w:val="single"/>
                    </w:rPr>
                  </w:pPr>
                  <w:r>
                    <w:rPr>
                      <w:rFonts w:hAnsi="宋体"/>
                      <w:color w:val="auto"/>
                      <w:sz w:val="21"/>
                      <w:szCs w:val="21"/>
                      <w:u w:val="single"/>
                    </w:rPr>
                    <w:t>拆除的建筑垃圾、废防渗材料、渣块，运至</w:t>
                  </w:r>
                  <w:r>
                    <w:rPr>
                      <w:rFonts w:hint="eastAsia" w:hAnsi="宋体"/>
                      <w:color w:val="auto"/>
                      <w:sz w:val="21"/>
                      <w:szCs w:val="21"/>
                      <w:u w:val="single"/>
                    </w:rPr>
                    <w:t>相关专业机构进行集中处理</w:t>
                  </w:r>
                  <w:r>
                    <w:rPr>
                      <w:rFonts w:hAnsi="宋体"/>
                      <w:color w:val="auto"/>
                      <w:sz w:val="21"/>
                      <w:szCs w:val="21"/>
                      <w:u w:val="single"/>
                    </w:rPr>
                    <w:t>；</w:t>
                  </w:r>
                  <w:r>
                    <w:rPr>
                      <w:rFonts w:hint="eastAsia" w:hAnsi="宋体"/>
                      <w:color w:val="auto"/>
                      <w:sz w:val="21"/>
                      <w:szCs w:val="21"/>
                      <w:u w:val="single"/>
                    </w:rPr>
                    <w:t>除尘措施收集的粉尘与污染土壤一块修复</w:t>
                  </w:r>
                  <w:r>
                    <w:rPr>
                      <w:rFonts w:hAnsi="宋体"/>
                      <w:color w:val="auto"/>
                      <w:sz w:val="21"/>
                      <w:szCs w:val="21"/>
                      <w:u w:val="single"/>
                    </w:rPr>
                    <w:t>；员工生活垃圾交由环卫部门清运处理。</w:t>
                  </w:r>
                  <w:r>
                    <w:rPr>
                      <w:rFonts w:hint="eastAsia" w:hAnsi="宋体"/>
                      <w:color w:val="auto"/>
                      <w:sz w:val="21"/>
                      <w:szCs w:val="21"/>
                      <w:u w:val="single"/>
                    </w:rPr>
                    <w:t>修复后的土壤需监测达到修复目标值后方可转运至临时储存区。</w:t>
                  </w:r>
                </w:p>
              </w:tc>
              <w:tc>
                <w:tcPr>
                  <w:tcW w:w="9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r>
                    <w:rPr>
                      <w:rFonts w:hAnsi="宋体"/>
                      <w:color w:val="auto"/>
                      <w:sz w:val="21"/>
                      <w:szCs w:val="21"/>
                      <w:u w:val="single"/>
                    </w:rPr>
                    <w:t>生态</w:t>
                  </w:r>
                </w:p>
              </w:tc>
              <w:tc>
                <w:tcPr>
                  <w:tcW w:w="522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color w:val="auto"/>
                      <w:sz w:val="21"/>
                      <w:szCs w:val="21"/>
                      <w:u w:val="single"/>
                    </w:rPr>
                  </w:pPr>
                  <w:r>
                    <w:rPr>
                      <w:rFonts w:hAnsi="宋体"/>
                      <w:color w:val="auto"/>
                      <w:sz w:val="21"/>
                      <w:szCs w:val="21"/>
                      <w:u w:val="single"/>
                    </w:rPr>
                    <w:t>做好施工场地的水土保持和绿化工作，临时占地的生态恢复工作。</w:t>
                  </w:r>
                </w:p>
              </w:tc>
              <w:tc>
                <w:tcPr>
                  <w:tcW w:w="9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auto"/>
                      <w:sz w:val="21"/>
                      <w:szCs w:val="21"/>
                      <w:u w:val="single"/>
                    </w:rPr>
                  </w:pPr>
                </w:p>
              </w:tc>
            </w:tr>
          </w:tbl>
          <w:p>
            <w:pPr>
              <w:spacing w:line="360" w:lineRule="auto"/>
              <w:ind w:firstLine="472" w:firstLineChars="196"/>
              <w:jc w:val="left"/>
              <w:rPr>
                <w:b/>
                <w:color w:val="auto"/>
                <w:sz w:val="24"/>
                <w:szCs w:val="24"/>
              </w:rPr>
            </w:pPr>
            <w:bookmarkStart w:id="53" w:name="_Toc4632"/>
            <w:r>
              <w:rPr>
                <w:b/>
                <w:color w:val="auto"/>
                <w:sz w:val="24"/>
                <w:szCs w:val="24"/>
              </w:rPr>
              <w:t>2</w:t>
            </w:r>
            <w:r>
              <w:rPr>
                <w:rFonts w:hAnsi="宋体"/>
                <w:b/>
                <w:color w:val="auto"/>
                <w:sz w:val="24"/>
                <w:szCs w:val="24"/>
              </w:rPr>
              <w:t>、环境监测</w:t>
            </w:r>
            <w:bookmarkEnd w:id="53"/>
          </w:p>
          <w:p>
            <w:pPr>
              <w:spacing w:line="360" w:lineRule="auto"/>
              <w:ind w:firstLine="480" w:firstLineChars="200"/>
              <w:jc w:val="left"/>
              <w:rPr>
                <w:color w:val="auto"/>
                <w:sz w:val="24"/>
                <w:szCs w:val="24"/>
                <w:u w:val="single"/>
              </w:rPr>
            </w:pPr>
            <w:r>
              <w:rPr>
                <w:color w:val="auto"/>
                <w:sz w:val="24"/>
                <w:szCs w:val="24"/>
                <w:u w:val="single"/>
              </w:rPr>
              <w:t>(1)</w:t>
            </w:r>
            <w:r>
              <w:rPr>
                <w:rFonts w:hAnsi="宋体"/>
                <w:color w:val="auto"/>
                <w:sz w:val="24"/>
                <w:szCs w:val="24"/>
                <w:u w:val="single"/>
              </w:rPr>
              <w:t>环境监测目的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Ansi="宋体"/>
                <w:color w:val="auto"/>
                <w:sz w:val="24"/>
                <w:szCs w:val="24"/>
                <w:u w:val="single"/>
              </w:rPr>
            </w:pPr>
            <w:r>
              <w:rPr>
                <w:rFonts w:hAnsi="宋体"/>
                <w:color w:val="auto"/>
                <w:sz w:val="24"/>
                <w:szCs w:val="24"/>
                <w:u w:val="single"/>
              </w:rPr>
              <w:t>环境监测是一项政府行为，也是环境管理的技术支持。环境监测是企业做好环境管理，促进污染治理设施正常运行的主要保障。通过定期环境监测，了解邻近地区的环境质量状况，可及时发现问题、解决问题，从而有利于监督各项环保措施的落实，并根据检测结果适时调整环境保护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szCs w:val="24"/>
              </w:rPr>
            </w:pPr>
            <w:r>
              <w:rPr>
                <w:rFonts w:hint="eastAsia" w:hAnsi="宋体"/>
                <w:color w:val="auto"/>
                <w:sz w:val="24"/>
                <w:szCs w:val="24"/>
                <w:u w:val="single"/>
              </w:rPr>
              <w:t>土壤修复后需进行跟踪监测，土壤环境跟踪监测管理措施包括土壤环境影响跟踪监测计划、监理土壤环境影响跟踪监测制度、配备适用的监测仪器和设备，以便及时发现问题，采取措施。</w:t>
            </w:r>
          </w:p>
          <w:p>
            <w:pPr>
              <w:spacing w:line="360" w:lineRule="auto"/>
              <w:ind w:firstLine="480" w:firstLineChars="200"/>
              <w:jc w:val="left"/>
              <w:rPr>
                <w:color w:val="auto"/>
                <w:sz w:val="24"/>
                <w:szCs w:val="24"/>
              </w:rPr>
            </w:pPr>
            <w:r>
              <w:rPr>
                <w:color w:val="auto"/>
                <w:sz w:val="24"/>
                <w:szCs w:val="24"/>
              </w:rPr>
              <w:t>(2)</w:t>
            </w:r>
            <w:r>
              <w:rPr>
                <w:rFonts w:hAnsi="宋体"/>
                <w:color w:val="auto"/>
                <w:sz w:val="24"/>
                <w:szCs w:val="24"/>
              </w:rPr>
              <w:t>环境监测机构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szCs w:val="24"/>
              </w:rPr>
            </w:pPr>
            <w:r>
              <w:rPr>
                <w:rFonts w:hAnsi="宋体"/>
                <w:color w:val="auto"/>
                <w:sz w:val="24"/>
                <w:szCs w:val="24"/>
              </w:rPr>
              <w:t>可通过委托或招标来确定环境监测机构。</w:t>
            </w:r>
          </w:p>
          <w:p>
            <w:pPr>
              <w:numPr>
                <w:ilvl w:val="0"/>
                <w:numId w:val="13"/>
              </w:numPr>
              <w:spacing w:line="360" w:lineRule="auto"/>
              <w:ind w:firstLine="480" w:firstLineChars="200"/>
              <w:jc w:val="left"/>
              <w:rPr>
                <w:rFonts w:hAnsi="宋体"/>
                <w:color w:val="auto"/>
                <w:sz w:val="24"/>
                <w:szCs w:val="24"/>
              </w:rPr>
            </w:pPr>
            <w:r>
              <w:rPr>
                <w:rFonts w:hAnsi="宋体"/>
                <w:color w:val="auto"/>
                <w:sz w:val="24"/>
                <w:szCs w:val="24"/>
              </w:rPr>
              <w:t>监测项目及监测计划</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kern w:val="0"/>
                <w:sz w:val="24"/>
                <w:szCs w:val="24"/>
                <w:u w:val="single"/>
                <w:lang w:eastAsia="zh-CN"/>
              </w:rPr>
            </w:pPr>
            <w:r>
              <w:rPr>
                <w:rFonts w:hint="default" w:ascii="Times New Roman" w:hAnsi="Times New Roman" w:cs="Times New Roman"/>
                <w:color w:val="auto"/>
                <w:kern w:val="0"/>
                <w:sz w:val="24"/>
                <w:szCs w:val="24"/>
                <w:u w:val="single"/>
                <w:lang w:eastAsia="zh-CN"/>
              </w:rPr>
              <w:t>在施工工程中将对涉及区域内的土壤、空气、水和噪声环境进行</w:t>
            </w:r>
            <w:r>
              <w:rPr>
                <w:rFonts w:hint="eastAsia" w:ascii="Times New Roman" w:hAnsi="Times New Roman" w:cs="Times New Roman"/>
                <w:color w:val="auto"/>
                <w:kern w:val="0"/>
                <w:sz w:val="24"/>
                <w:szCs w:val="24"/>
                <w:u w:val="single"/>
                <w:lang w:eastAsia="zh-CN"/>
              </w:rPr>
              <w:t>常规因子及特征因子</w:t>
            </w:r>
            <w:r>
              <w:rPr>
                <w:rFonts w:hint="default" w:ascii="Times New Roman" w:hAnsi="Times New Roman" w:cs="Times New Roman"/>
                <w:color w:val="auto"/>
                <w:kern w:val="0"/>
                <w:sz w:val="24"/>
                <w:szCs w:val="24"/>
                <w:u w:val="single"/>
                <w:lang w:eastAsia="zh-CN"/>
              </w:rPr>
              <w:t>监测，然后将监测结果与相关标准规范或施工前的环境质量进行对比评价，并采取相应环境管理措施，保证项目施工工程中不产生二次污染及确保相关人员身体健康，并为现场环境管理提供依据。</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cs="Times New Roman"/>
                <w:color w:val="auto"/>
                <w:sz w:val="24"/>
                <w:szCs w:val="24"/>
                <w:u w:val="none"/>
                <w:lang w:eastAsia="zh-CN"/>
              </w:rPr>
            </w:pPr>
            <w:r>
              <w:rPr>
                <w:rFonts w:hint="default" w:ascii="Times New Roman" w:hAnsi="Times New Roman" w:cs="Times New Roman"/>
                <w:color w:val="auto"/>
                <w:sz w:val="24"/>
                <w:szCs w:val="24"/>
                <w:u w:val="single"/>
                <w:lang w:eastAsia="zh-CN"/>
              </w:rPr>
              <w:t>全过程的监测方案拟在环境监理单位的监督下执行，由施工方进行采样，并委托具有相应检测资质（</w:t>
            </w:r>
            <w:r>
              <w:rPr>
                <w:rFonts w:hint="default" w:ascii="Times New Roman" w:hAnsi="Times New Roman" w:cs="Times New Roman"/>
                <w:color w:val="auto"/>
                <w:sz w:val="24"/>
                <w:szCs w:val="24"/>
                <w:u w:val="single"/>
                <w:lang w:val="en-US" w:eastAsia="zh-CN"/>
              </w:rPr>
              <w:t>CMA认证</w:t>
            </w:r>
            <w:r>
              <w:rPr>
                <w:rFonts w:hint="default" w:ascii="Times New Roman" w:hAnsi="Times New Roman" w:cs="Times New Roman"/>
                <w:color w:val="auto"/>
                <w:sz w:val="24"/>
                <w:szCs w:val="24"/>
                <w:u w:val="single"/>
                <w:lang w:eastAsia="zh-CN"/>
              </w:rPr>
              <w:t>）的第三方单位进行检测分析。</w:t>
            </w:r>
          </w:p>
          <w:p>
            <w:pPr>
              <w:spacing w:line="360" w:lineRule="auto"/>
              <w:ind w:firstLine="480" w:firstLineChars="200"/>
              <w:jc w:val="left"/>
              <w:rPr>
                <w:color w:val="auto"/>
                <w:sz w:val="24"/>
                <w:szCs w:val="24"/>
                <w:u w:val="single"/>
              </w:rPr>
            </w:pPr>
            <w:r>
              <w:rPr>
                <w:rFonts w:hAnsi="宋体"/>
                <w:color w:val="auto"/>
                <w:sz w:val="24"/>
                <w:szCs w:val="24"/>
                <w:u w:val="single"/>
              </w:rPr>
              <w:t>本项目监测内容计划见表</w:t>
            </w:r>
            <w:r>
              <w:rPr>
                <w:rFonts w:hint="eastAsia"/>
                <w:color w:val="auto"/>
                <w:sz w:val="24"/>
                <w:szCs w:val="24"/>
                <w:u w:val="single"/>
              </w:rPr>
              <w:t>3</w:t>
            </w:r>
            <w:r>
              <w:rPr>
                <w:rFonts w:hint="eastAsia"/>
                <w:color w:val="auto"/>
                <w:sz w:val="24"/>
                <w:szCs w:val="24"/>
                <w:u w:val="single"/>
                <w:lang w:val="en-US" w:eastAsia="zh-CN"/>
              </w:rPr>
              <w:t>9</w:t>
            </w:r>
            <w:r>
              <w:rPr>
                <w:rFonts w:hAnsi="宋体"/>
                <w:color w:val="auto"/>
                <w:sz w:val="24"/>
                <w:szCs w:val="24"/>
                <w:u w:val="single"/>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b/>
                <w:bCs/>
                <w:color w:val="auto"/>
                <w:u w:val="single"/>
              </w:rPr>
            </w:pPr>
            <w:r>
              <w:rPr>
                <w:rFonts w:hAnsi="宋体"/>
                <w:b/>
                <w:bCs/>
                <w:color w:val="auto"/>
                <w:u w:val="single"/>
              </w:rPr>
              <w:t>表</w:t>
            </w:r>
            <w:r>
              <w:rPr>
                <w:rFonts w:hint="eastAsia"/>
                <w:b/>
                <w:bCs/>
                <w:color w:val="auto"/>
                <w:u w:val="single"/>
              </w:rPr>
              <w:t>3</w:t>
            </w:r>
            <w:r>
              <w:rPr>
                <w:rFonts w:hint="eastAsia"/>
                <w:b/>
                <w:bCs/>
                <w:color w:val="auto"/>
                <w:u w:val="single"/>
                <w:lang w:val="en-US" w:eastAsia="zh-CN"/>
              </w:rPr>
              <w:t xml:space="preserve">9  </w:t>
            </w:r>
            <w:r>
              <w:rPr>
                <w:rFonts w:hAnsi="宋体"/>
                <w:b/>
                <w:bCs/>
                <w:color w:val="auto"/>
                <w:u w:val="single"/>
              </w:rPr>
              <w:t>监测项目内容计划</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1190"/>
              <w:gridCol w:w="2184"/>
              <w:gridCol w:w="2914"/>
              <w:gridCol w:w="1811"/>
              <w:gridCol w:w="9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0" w:type="dxa"/>
                  <w:bottom w:w="0" w:type="dxa"/>
                  <w:right w:w="0" w:type="dxa"/>
                </w:tblCellMar>
              </w:tblPrEx>
              <w:trPr>
                <w:trHeight w:val="23" w:hRule="atLeast"/>
                <w:jc w:val="center"/>
              </w:trPr>
              <w:tc>
                <w:tcPr>
                  <w:tcW w:w="119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监测介质</w:t>
                  </w:r>
                </w:p>
              </w:tc>
              <w:tc>
                <w:tcPr>
                  <w:tcW w:w="218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采样和监测规范</w:t>
                  </w:r>
                </w:p>
              </w:tc>
              <w:tc>
                <w:tcPr>
                  <w:tcW w:w="291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监测频率</w:t>
                  </w:r>
                </w:p>
              </w:tc>
              <w:tc>
                <w:tcPr>
                  <w:tcW w:w="181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监测指标</w:t>
                  </w:r>
                </w:p>
              </w:tc>
              <w:tc>
                <w:tcPr>
                  <w:tcW w:w="97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19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hint="eastAsia" w:ascii="Times New Roman" w:hAnsi="宋体" w:eastAsia="宋体" w:cs="Times New Roman"/>
                      <w:color w:val="auto"/>
                      <w:sz w:val="21"/>
                      <w:szCs w:val="21"/>
                      <w:u w:val="single"/>
                      <w:lang w:val="zh-TW"/>
                    </w:rPr>
                    <w:t>地表</w:t>
                  </w:r>
                  <w:r>
                    <w:rPr>
                      <w:rStyle w:val="112"/>
                      <w:rFonts w:ascii="Times New Roman" w:hAnsi="宋体" w:eastAsia="宋体" w:cs="Times New Roman"/>
                      <w:color w:val="auto"/>
                      <w:sz w:val="21"/>
                      <w:szCs w:val="21"/>
                      <w:u w:val="single"/>
                      <w:lang w:val="zh-TW" w:eastAsia="zh-TW"/>
                    </w:rPr>
                    <w:t>水</w:t>
                  </w:r>
                </w:p>
              </w:tc>
              <w:tc>
                <w:tcPr>
                  <w:tcW w:w="218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《环境监测技术规范》及《地表水和污水监测技术规范》</w:t>
                  </w:r>
                </w:p>
              </w:tc>
              <w:tc>
                <w:tcPr>
                  <w:tcW w:w="291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施工中，在</w:t>
                  </w:r>
                  <w:r>
                    <w:rPr>
                      <w:rStyle w:val="112"/>
                      <w:rFonts w:ascii="Times New Roman" w:hAnsi="宋体" w:eastAsia="宋体" w:cs="Times New Roman"/>
                      <w:color w:val="auto"/>
                      <w:sz w:val="21"/>
                      <w:szCs w:val="21"/>
                      <w:u w:val="single"/>
                      <w:lang w:val="zh-TW"/>
                    </w:rPr>
                    <w:t>施工废水回用</w:t>
                  </w:r>
                  <w:r>
                    <w:rPr>
                      <w:rStyle w:val="112"/>
                      <w:rFonts w:ascii="Times New Roman" w:hAnsi="宋体" w:eastAsia="宋体" w:cs="Times New Roman"/>
                      <w:color w:val="auto"/>
                      <w:sz w:val="21"/>
                      <w:szCs w:val="21"/>
                      <w:u w:val="single"/>
                      <w:lang w:val="zh-TW" w:eastAsia="zh-TW"/>
                    </w:rPr>
                    <w:t>口布设</w:t>
                  </w:r>
                  <w:r>
                    <w:rPr>
                      <w:rStyle w:val="116"/>
                      <w:rFonts w:ascii="Times New Roman" w:hAnsi="Times New Roman" w:eastAsia="宋体" w:cs="Times New Roman"/>
                      <w:color w:val="auto"/>
                      <w:sz w:val="21"/>
                      <w:szCs w:val="21"/>
                      <w:u w:val="single"/>
                      <w:lang w:val="zh-TW" w:eastAsia="zh-TW"/>
                    </w:rPr>
                    <w:t>1</w:t>
                  </w:r>
                  <w:r>
                    <w:rPr>
                      <w:rStyle w:val="112"/>
                      <w:rFonts w:ascii="Times New Roman" w:hAnsi="宋体" w:eastAsia="宋体" w:cs="Times New Roman"/>
                      <w:color w:val="auto"/>
                      <w:sz w:val="21"/>
                      <w:szCs w:val="21"/>
                      <w:u w:val="single"/>
                      <w:lang w:val="zh-TW" w:eastAsia="zh-TW"/>
                    </w:rPr>
                    <w:t>个点，每月监测</w:t>
                  </w:r>
                  <w:r>
                    <w:rPr>
                      <w:rStyle w:val="116"/>
                      <w:rFonts w:ascii="Times New Roman" w:hAnsi="Times New Roman" w:eastAsia="宋体" w:cs="Times New Roman"/>
                      <w:color w:val="auto"/>
                      <w:sz w:val="21"/>
                      <w:szCs w:val="21"/>
                      <w:u w:val="single"/>
                      <w:lang w:val="zh-TW" w:eastAsia="zh-TW"/>
                    </w:rPr>
                    <w:t>1</w:t>
                  </w:r>
                  <w:r>
                    <w:rPr>
                      <w:rStyle w:val="112"/>
                      <w:rFonts w:ascii="Times New Roman" w:hAnsi="宋体" w:eastAsia="宋体" w:cs="Times New Roman"/>
                      <w:color w:val="auto"/>
                      <w:sz w:val="21"/>
                      <w:szCs w:val="21"/>
                      <w:u w:val="single"/>
                      <w:lang w:val="zh-TW" w:eastAsia="zh-TW"/>
                    </w:rPr>
                    <w:t>次；</w:t>
                  </w:r>
                </w:p>
              </w:tc>
              <w:tc>
                <w:tcPr>
                  <w:tcW w:w="181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3"/>
                      <w:rFonts w:ascii="Times New Roman" w:eastAsia="宋体" w:cs="Times New Roman"/>
                      <w:color w:val="auto"/>
                      <w:sz w:val="21"/>
                      <w:szCs w:val="21"/>
                      <w:u w:val="single"/>
                      <w:lang w:eastAsia="zh-CN"/>
                    </w:rPr>
                    <w:t>pH</w:t>
                  </w:r>
                  <w:r>
                    <w:rPr>
                      <w:rStyle w:val="112"/>
                      <w:rFonts w:ascii="Times New Roman" w:hAnsi="宋体" w:eastAsia="宋体" w:cs="Times New Roman"/>
                      <w:color w:val="auto"/>
                      <w:sz w:val="21"/>
                      <w:szCs w:val="21"/>
                      <w:u w:val="single"/>
                    </w:rPr>
                    <w:t>、</w:t>
                  </w:r>
                  <w:r>
                    <w:rPr>
                      <w:rStyle w:val="112"/>
                      <w:rFonts w:ascii="Times New Roman" w:hAnsi="宋体" w:eastAsia="宋体" w:cs="Times New Roman"/>
                      <w:color w:val="auto"/>
                      <w:sz w:val="21"/>
                      <w:szCs w:val="21"/>
                      <w:u w:val="single"/>
                      <w:lang w:val="zh-TW" w:eastAsia="zh-TW"/>
                    </w:rPr>
                    <w:t>色度、悬浮物、</w:t>
                  </w:r>
                  <w:r>
                    <w:rPr>
                      <w:rStyle w:val="113"/>
                      <w:rFonts w:ascii="Times New Roman" w:eastAsia="宋体" w:cs="Times New Roman"/>
                      <w:color w:val="auto"/>
                      <w:sz w:val="21"/>
                      <w:szCs w:val="21"/>
                      <w:u w:val="single"/>
                      <w:lang w:eastAsia="zh-CN"/>
                    </w:rPr>
                    <w:t>BOD</w:t>
                  </w:r>
                  <w:r>
                    <w:rPr>
                      <w:rStyle w:val="116"/>
                      <w:rFonts w:ascii="Times New Roman" w:hAnsi="Times New Roman" w:eastAsia="宋体" w:cs="Times New Roman"/>
                      <w:color w:val="auto"/>
                      <w:sz w:val="21"/>
                      <w:szCs w:val="21"/>
                      <w:u w:val="single"/>
                      <w:vertAlign w:val="subscript"/>
                    </w:rPr>
                    <w:t>5</w:t>
                  </w:r>
                  <w:r>
                    <w:rPr>
                      <w:rStyle w:val="112"/>
                      <w:rFonts w:ascii="Times New Roman" w:hAnsi="宋体" w:eastAsia="宋体" w:cs="Times New Roman"/>
                      <w:color w:val="auto"/>
                      <w:sz w:val="21"/>
                      <w:szCs w:val="21"/>
                      <w:u w:val="single"/>
                    </w:rPr>
                    <w:t>、</w:t>
                  </w:r>
                  <w:r>
                    <w:rPr>
                      <w:rStyle w:val="113"/>
                      <w:rFonts w:ascii="Times New Roman" w:eastAsia="宋体" w:cs="Times New Roman"/>
                      <w:color w:val="auto"/>
                      <w:sz w:val="21"/>
                      <w:szCs w:val="21"/>
                      <w:u w:val="single"/>
                      <w:lang w:eastAsia="zh-CN"/>
                    </w:rPr>
                    <w:t>COD</w:t>
                  </w:r>
                  <w:r>
                    <w:rPr>
                      <w:rStyle w:val="112"/>
                      <w:rFonts w:ascii="Times New Roman" w:hAnsi="宋体" w:eastAsia="宋体" w:cs="Times New Roman"/>
                      <w:color w:val="auto"/>
                      <w:sz w:val="21"/>
                      <w:szCs w:val="21"/>
                      <w:u w:val="single"/>
                    </w:rPr>
                    <w:t>、</w:t>
                  </w:r>
                  <w:r>
                    <w:rPr>
                      <w:rStyle w:val="112"/>
                      <w:rFonts w:ascii="Times New Roman" w:hAnsi="宋体" w:eastAsia="宋体" w:cs="Times New Roman"/>
                      <w:color w:val="auto"/>
                      <w:sz w:val="21"/>
                      <w:szCs w:val="21"/>
                      <w:u w:val="single"/>
                      <w:lang w:val="zh-TW" w:eastAsia="zh-TW"/>
                    </w:rPr>
                    <w:t>氨氮、</w:t>
                  </w:r>
                  <w:r>
                    <w:rPr>
                      <w:rStyle w:val="112"/>
                      <w:rFonts w:hint="eastAsia" w:ascii="Times New Roman" w:hAnsi="宋体" w:eastAsia="宋体" w:cs="Times New Roman"/>
                      <w:color w:val="auto"/>
                      <w:sz w:val="21"/>
                      <w:szCs w:val="21"/>
                      <w:u w:val="single"/>
                      <w:lang w:val="zh-TW"/>
                    </w:rPr>
                    <w:t>六六六</w:t>
                  </w:r>
                  <w:r>
                    <w:rPr>
                      <w:rStyle w:val="112"/>
                      <w:rFonts w:ascii="Times New Roman" w:hAnsi="宋体" w:eastAsia="宋体" w:cs="Times New Roman"/>
                      <w:color w:val="auto"/>
                      <w:sz w:val="21"/>
                      <w:szCs w:val="21"/>
                      <w:u w:val="single"/>
                      <w:lang w:val="zh-TW" w:eastAsia="zh-TW"/>
                    </w:rPr>
                    <w:t>、</w:t>
                  </w:r>
                  <w:r>
                    <w:rPr>
                      <w:rStyle w:val="112"/>
                      <w:rFonts w:hint="eastAsia" w:ascii="Times New Roman" w:hAnsi="宋体" w:eastAsia="宋体" w:cs="Times New Roman"/>
                      <w:color w:val="auto"/>
                      <w:sz w:val="21"/>
                      <w:szCs w:val="21"/>
                      <w:u w:val="single"/>
                      <w:lang w:val="zh-TW"/>
                    </w:rPr>
                    <w:t>滴滴涕、</w:t>
                  </w:r>
                  <w:r>
                    <w:rPr>
                      <w:rStyle w:val="112"/>
                      <w:rFonts w:ascii="Times New Roman" w:hAnsi="宋体" w:eastAsia="宋体" w:cs="Times New Roman"/>
                      <w:color w:val="auto"/>
                      <w:sz w:val="21"/>
                      <w:szCs w:val="21"/>
                      <w:u w:val="single"/>
                      <w:lang w:val="zh-TW" w:eastAsia="zh-TW"/>
                    </w:rPr>
                    <w:t>六价铬</w:t>
                  </w:r>
                </w:p>
              </w:tc>
              <w:tc>
                <w:tcPr>
                  <w:tcW w:w="971" w:type="dxa"/>
                  <w:vMerge w:val="restart"/>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监测站</w:t>
                  </w:r>
                  <w:r>
                    <w:rPr>
                      <w:rStyle w:val="112"/>
                      <w:rFonts w:ascii="Times New Roman" w:hAnsi="宋体" w:eastAsia="宋体" w:cs="Times New Roman"/>
                      <w:color w:val="auto"/>
                      <w:sz w:val="21"/>
                      <w:szCs w:val="21"/>
                      <w:u w:val="single"/>
                      <w:lang w:val="zh-TW"/>
                    </w:rPr>
                    <w:t>或委托第三方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19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2"/>
                      <w:rFonts w:ascii="Times New Roman" w:hAnsi="宋体" w:eastAsia="宋体" w:cs="Times New Roman"/>
                      <w:color w:val="auto"/>
                      <w:sz w:val="21"/>
                      <w:szCs w:val="21"/>
                      <w:u w:val="single"/>
                      <w:lang w:val="zh-TW"/>
                    </w:rPr>
                  </w:pPr>
                  <w:r>
                    <w:rPr>
                      <w:rStyle w:val="112"/>
                      <w:rFonts w:hint="eastAsia" w:ascii="Times New Roman" w:hAnsi="宋体" w:eastAsia="宋体" w:cs="Times New Roman"/>
                      <w:color w:val="auto"/>
                      <w:sz w:val="21"/>
                      <w:szCs w:val="21"/>
                      <w:u w:val="single"/>
                      <w:lang w:val="zh-TW"/>
                    </w:rPr>
                    <w:t>地下水</w:t>
                  </w:r>
                </w:p>
              </w:tc>
              <w:tc>
                <w:tcPr>
                  <w:tcW w:w="218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2"/>
                      <w:rFonts w:ascii="Times New Roman" w:hAnsi="宋体" w:eastAsia="宋体" w:cs="Times New Roman"/>
                      <w:color w:val="auto"/>
                      <w:sz w:val="21"/>
                      <w:szCs w:val="21"/>
                      <w:u w:val="single"/>
                      <w:lang w:val="zh-TW" w:eastAsia="zh-TW"/>
                    </w:rPr>
                  </w:pPr>
                  <w:r>
                    <w:rPr>
                      <w:rStyle w:val="112"/>
                      <w:rFonts w:ascii="Times New Roman" w:hAnsi="宋体" w:eastAsia="宋体" w:cs="Times New Roman"/>
                      <w:color w:val="auto"/>
                      <w:sz w:val="21"/>
                      <w:szCs w:val="21"/>
                      <w:u w:val="single"/>
                      <w:lang w:val="zh-TW" w:eastAsia="zh-TW"/>
                    </w:rPr>
                    <w:t>《环境监测技术规范》及《</w:t>
                  </w:r>
                  <w:r>
                    <w:rPr>
                      <w:rStyle w:val="112"/>
                      <w:rFonts w:hint="eastAsia" w:ascii="Times New Roman" w:hAnsi="宋体" w:eastAsia="宋体" w:cs="Times New Roman"/>
                      <w:color w:val="auto"/>
                      <w:sz w:val="21"/>
                      <w:szCs w:val="21"/>
                      <w:u w:val="single"/>
                      <w:lang w:val="zh-TW"/>
                    </w:rPr>
                    <w:t>地下水环境监测技术规范</w:t>
                  </w:r>
                  <w:r>
                    <w:rPr>
                      <w:rStyle w:val="112"/>
                      <w:rFonts w:ascii="Times New Roman" w:hAnsi="宋体" w:eastAsia="宋体" w:cs="Times New Roman"/>
                      <w:color w:val="auto"/>
                      <w:sz w:val="21"/>
                      <w:szCs w:val="21"/>
                      <w:u w:val="single"/>
                      <w:lang w:val="zh-TW" w:eastAsia="zh-TW"/>
                    </w:rPr>
                    <w:t>》</w:t>
                  </w:r>
                </w:p>
              </w:tc>
              <w:tc>
                <w:tcPr>
                  <w:tcW w:w="291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2"/>
                      <w:rFonts w:ascii="Times New Roman" w:hAnsi="宋体" w:eastAsia="宋体" w:cs="Times New Roman"/>
                      <w:color w:val="auto"/>
                      <w:sz w:val="21"/>
                      <w:szCs w:val="21"/>
                      <w:u w:val="single"/>
                      <w:lang w:val="zh-TW" w:eastAsia="zh-TW"/>
                    </w:rPr>
                  </w:pPr>
                  <w:r>
                    <w:rPr>
                      <w:rFonts w:hint="eastAsia" w:hAnsi="宋体"/>
                      <w:color w:val="auto"/>
                      <w:sz w:val="21"/>
                      <w:szCs w:val="21"/>
                      <w:u w:val="single"/>
                    </w:rPr>
                    <w:t>土壤修复后，在本项目场地地下水水文场下游设置1个地下水跟踪监测井，每月监测1次；</w:t>
                  </w:r>
                </w:p>
              </w:tc>
              <w:tc>
                <w:tcPr>
                  <w:tcW w:w="181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3"/>
                      <w:rFonts w:ascii="Times New Roman" w:eastAsia="宋体" w:cs="Times New Roman"/>
                      <w:color w:val="auto"/>
                      <w:sz w:val="21"/>
                      <w:szCs w:val="21"/>
                      <w:u w:val="single"/>
                      <w:lang w:eastAsia="zh-TW"/>
                    </w:rPr>
                  </w:pPr>
                  <w:r>
                    <w:rPr>
                      <w:rStyle w:val="113"/>
                      <w:rFonts w:ascii="Times New Roman" w:eastAsia="宋体" w:cs="Times New Roman"/>
                      <w:color w:val="auto"/>
                      <w:sz w:val="21"/>
                      <w:szCs w:val="21"/>
                      <w:u w:val="single"/>
                      <w:lang w:eastAsia="zh-CN"/>
                    </w:rPr>
                    <w:t>pH</w:t>
                  </w:r>
                  <w:r>
                    <w:rPr>
                      <w:rStyle w:val="112"/>
                      <w:rFonts w:ascii="Times New Roman" w:hAnsi="宋体" w:eastAsia="宋体" w:cs="Times New Roman"/>
                      <w:color w:val="auto"/>
                      <w:sz w:val="21"/>
                      <w:szCs w:val="21"/>
                      <w:u w:val="single"/>
                    </w:rPr>
                    <w:t>、</w:t>
                  </w:r>
                  <w:r>
                    <w:rPr>
                      <w:rStyle w:val="112"/>
                      <w:rFonts w:ascii="Times New Roman" w:hAnsi="宋体" w:eastAsia="宋体" w:cs="Times New Roman"/>
                      <w:color w:val="auto"/>
                      <w:sz w:val="21"/>
                      <w:szCs w:val="21"/>
                      <w:u w:val="single"/>
                      <w:lang w:val="zh-TW" w:eastAsia="zh-TW"/>
                    </w:rPr>
                    <w:t>色度、悬浮物、</w:t>
                  </w:r>
                  <w:r>
                    <w:rPr>
                      <w:rStyle w:val="113"/>
                      <w:rFonts w:ascii="Times New Roman" w:eastAsia="宋体" w:cs="Times New Roman"/>
                      <w:color w:val="auto"/>
                      <w:sz w:val="21"/>
                      <w:szCs w:val="21"/>
                      <w:u w:val="single"/>
                      <w:lang w:eastAsia="zh-CN"/>
                    </w:rPr>
                    <w:t>BOD</w:t>
                  </w:r>
                  <w:r>
                    <w:rPr>
                      <w:rStyle w:val="116"/>
                      <w:rFonts w:ascii="Times New Roman" w:hAnsi="Times New Roman" w:eastAsia="宋体" w:cs="Times New Roman"/>
                      <w:color w:val="auto"/>
                      <w:sz w:val="21"/>
                      <w:szCs w:val="21"/>
                      <w:u w:val="single"/>
                      <w:vertAlign w:val="subscript"/>
                    </w:rPr>
                    <w:t>5</w:t>
                  </w:r>
                  <w:r>
                    <w:rPr>
                      <w:rStyle w:val="112"/>
                      <w:rFonts w:ascii="Times New Roman" w:hAnsi="宋体" w:eastAsia="宋体" w:cs="Times New Roman"/>
                      <w:color w:val="auto"/>
                      <w:sz w:val="21"/>
                      <w:szCs w:val="21"/>
                      <w:u w:val="single"/>
                    </w:rPr>
                    <w:t>、</w:t>
                  </w:r>
                  <w:r>
                    <w:rPr>
                      <w:rStyle w:val="113"/>
                      <w:rFonts w:ascii="Times New Roman" w:eastAsia="宋体" w:cs="Times New Roman"/>
                      <w:color w:val="auto"/>
                      <w:sz w:val="21"/>
                      <w:szCs w:val="21"/>
                      <w:u w:val="single"/>
                      <w:lang w:eastAsia="zh-CN"/>
                    </w:rPr>
                    <w:t>COD</w:t>
                  </w:r>
                  <w:r>
                    <w:rPr>
                      <w:rStyle w:val="112"/>
                      <w:rFonts w:ascii="Times New Roman" w:hAnsi="宋体" w:eastAsia="宋体" w:cs="Times New Roman"/>
                      <w:color w:val="auto"/>
                      <w:sz w:val="21"/>
                      <w:szCs w:val="21"/>
                      <w:u w:val="single"/>
                    </w:rPr>
                    <w:t>、</w:t>
                  </w:r>
                  <w:r>
                    <w:rPr>
                      <w:rStyle w:val="112"/>
                      <w:rFonts w:ascii="Times New Roman" w:hAnsi="宋体" w:eastAsia="宋体" w:cs="Times New Roman"/>
                      <w:color w:val="auto"/>
                      <w:sz w:val="21"/>
                      <w:szCs w:val="21"/>
                      <w:u w:val="single"/>
                      <w:lang w:val="zh-TW" w:eastAsia="zh-TW"/>
                    </w:rPr>
                    <w:t>氨氮、</w:t>
                  </w:r>
                  <w:r>
                    <w:rPr>
                      <w:rStyle w:val="112"/>
                      <w:rFonts w:hint="eastAsia" w:ascii="Times New Roman" w:hAnsi="宋体" w:eastAsia="宋体" w:cs="Times New Roman"/>
                      <w:color w:val="auto"/>
                      <w:sz w:val="21"/>
                      <w:szCs w:val="21"/>
                      <w:u w:val="single"/>
                      <w:lang w:val="zh-TW"/>
                    </w:rPr>
                    <w:t>六六六</w:t>
                  </w:r>
                  <w:r>
                    <w:rPr>
                      <w:rStyle w:val="112"/>
                      <w:rFonts w:ascii="Times New Roman" w:hAnsi="宋体" w:eastAsia="宋体" w:cs="Times New Roman"/>
                      <w:color w:val="auto"/>
                      <w:sz w:val="21"/>
                      <w:szCs w:val="21"/>
                      <w:u w:val="single"/>
                      <w:lang w:val="zh-TW" w:eastAsia="zh-TW"/>
                    </w:rPr>
                    <w:t>、</w:t>
                  </w:r>
                  <w:r>
                    <w:rPr>
                      <w:rStyle w:val="112"/>
                      <w:rFonts w:hint="eastAsia" w:ascii="Times New Roman" w:hAnsi="宋体" w:eastAsia="宋体" w:cs="Times New Roman"/>
                      <w:color w:val="auto"/>
                      <w:sz w:val="21"/>
                      <w:szCs w:val="21"/>
                      <w:u w:val="single"/>
                      <w:lang w:val="zh-TW"/>
                    </w:rPr>
                    <w:t>滴滴涕、</w:t>
                  </w:r>
                  <w:r>
                    <w:rPr>
                      <w:rStyle w:val="112"/>
                      <w:rFonts w:ascii="Times New Roman" w:hAnsi="宋体" w:eastAsia="宋体" w:cs="Times New Roman"/>
                      <w:color w:val="auto"/>
                      <w:sz w:val="21"/>
                      <w:szCs w:val="21"/>
                      <w:u w:val="single"/>
                      <w:lang w:val="zh-TW" w:eastAsia="zh-TW"/>
                    </w:rPr>
                    <w:t>六价铬</w:t>
                  </w:r>
                </w:p>
              </w:tc>
              <w:tc>
                <w:tcPr>
                  <w:tcW w:w="971" w:type="dxa"/>
                  <w:vMerge w:val="continue"/>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rStyle w:val="112"/>
                      <w:rFonts w:ascii="Times New Roman" w:hAnsi="宋体" w:eastAsia="宋体" w:cs="Times New Roman"/>
                      <w:color w:val="auto"/>
                      <w:sz w:val="21"/>
                      <w:szCs w:val="21"/>
                      <w:u w:val="single"/>
                      <w:lang w:val="zh-TW" w:eastAsia="zh-TW"/>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19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空气</w:t>
                  </w:r>
                </w:p>
              </w:tc>
              <w:tc>
                <w:tcPr>
                  <w:tcW w:w="218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《环境空气质量标准》</w:t>
                  </w:r>
                </w:p>
              </w:tc>
              <w:tc>
                <w:tcPr>
                  <w:tcW w:w="291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上</w:t>
                  </w:r>
                  <w:r>
                    <w:rPr>
                      <w:rStyle w:val="112"/>
                      <w:rFonts w:ascii="Times New Roman" w:hAnsi="宋体" w:eastAsia="宋体" w:cs="Times New Roman"/>
                      <w:color w:val="auto"/>
                      <w:sz w:val="21"/>
                      <w:szCs w:val="21"/>
                      <w:u w:val="single"/>
                      <w:lang w:val="zh-TW"/>
                    </w:rPr>
                    <w:t>、</w:t>
                  </w:r>
                  <w:r>
                    <w:rPr>
                      <w:rStyle w:val="112"/>
                      <w:rFonts w:ascii="Times New Roman" w:hAnsi="宋体" w:eastAsia="宋体" w:cs="Times New Roman"/>
                      <w:color w:val="auto"/>
                      <w:sz w:val="21"/>
                      <w:szCs w:val="21"/>
                      <w:u w:val="single"/>
                      <w:lang w:val="zh-TW" w:eastAsia="zh-TW"/>
                    </w:rPr>
                    <w:t>下风向及场内共</w:t>
                  </w:r>
                  <w:r>
                    <w:rPr>
                      <w:rStyle w:val="113"/>
                      <w:rFonts w:ascii="Times New Roman" w:eastAsia="宋体" w:cs="Times New Roman"/>
                      <w:color w:val="auto"/>
                      <w:sz w:val="21"/>
                      <w:szCs w:val="21"/>
                      <w:u w:val="single"/>
                      <w:lang w:val="zh-TW" w:eastAsia="zh-TW"/>
                    </w:rPr>
                    <w:t>3</w:t>
                  </w:r>
                  <w:r>
                    <w:rPr>
                      <w:rStyle w:val="112"/>
                      <w:rFonts w:ascii="Times New Roman" w:hAnsi="宋体" w:eastAsia="宋体" w:cs="Times New Roman"/>
                      <w:color w:val="auto"/>
                      <w:sz w:val="21"/>
                      <w:szCs w:val="21"/>
                      <w:u w:val="single"/>
                      <w:lang w:val="zh-TW" w:eastAsia="zh-TW"/>
                    </w:rPr>
                    <w:t>个点</w:t>
                  </w:r>
                  <w:r>
                    <w:rPr>
                      <w:rStyle w:val="112"/>
                      <w:rFonts w:ascii="Times New Roman" w:hAnsi="宋体" w:eastAsia="宋体" w:cs="Times New Roman"/>
                      <w:color w:val="auto"/>
                      <w:sz w:val="21"/>
                      <w:szCs w:val="21"/>
                      <w:u w:val="single"/>
                      <w:lang w:val="zh-TW"/>
                    </w:rPr>
                    <w:t>，</w:t>
                  </w:r>
                  <w:r>
                    <w:rPr>
                      <w:rStyle w:val="112"/>
                      <w:rFonts w:ascii="Times New Roman" w:hAnsi="宋体" w:eastAsia="宋体" w:cs="Times New Roman"/>
                      <w:color w:val="auto"/>
                      <w:sz w:val="21"/>
                      <w:szCs w:val="21"/>
                      <w:u w:val="single"/>
                      <w:lang w:val="zh-TW" w:eastAsia="zh-TW"/>
                    </w:rPr>
                    <w:t>检测</w:t>
                  </w:r>
                  <w:r>
                    <w:rPr>
                      <w:rStyle w:val="116"/>
                      <w:rFonts w:ascii="Times New Roman" w:hAnsi="Times New Roman" w:eastAsia="宋体" w:cs="Times New Roman"/>
                      <w:color w:val="auto"/>
                      <w:sz w:val="21"/>
                      <w:szCs w:val="21"/>
                      <w:u w:val="single"/>
                      <w:lang w:val="zh-TW" w:eastAsia="zh-TW"/>
                    </w:rPr>
                    <w:t>1</w:t>
                  </w:r>
                  <w:r>
                    <w:rPr>
                      <w:rStyle w:val="112"/>
                      <w:rFonts w:ascii="Times New Roman" w:hAnsi="宋体" w:eastAsia="宋体" w:cs="Times New Roman"/>
                      <w:color w:val="auto"/>
                      <w:sz w:val="21"/>
                      <w:szCs w:val="21"/>
                      <w:u w:val="single"/>
                      <w:lang w:val="zh-TW" w:eastAsia="zh-TW"/>
                    </w:rPr>
                    <w:t>次</w:t>
                  </w:r>
                </w:p>
              </w:tc>
              <w:tc>
                <w:tcPr>
                  <w:tcW w:w="181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color w:val="auto"/>
                      <w:spacing w:val="6"/>
                      <w:sz w:val="21"/>
                      <w:szCs w:val="21"/>
                      <w:u w:val="single"/>
                      <w:lang w:eastAsia="zh-TW"/>
                    </w:rPr>
                    <w:t>TSP</w:t>
                  </w:r>
                  <w:r>
                    <w:rPr>
                      <w:rFonts w:hAnsi="宋体"/>
                      <w:color w:val="auto"/>
                      <w:spacing w:val="6"/>
                      <w:sz w:val="21"/>
                      <w:szCs w:val="21"/>
                      <w:u w:val="single"/>
                      <w:lang w:eastAsia="zh-TW"/>
                    </w:rPr>
                    <w:t>、</w:t>
                  </w:r>
                  <w:r>
                    <w:rPr>
                      <w:color w:val="auto"/>
                      <w:spacing w:val="6"/>
                      <w:sz w:val="21"/>
                      <w:szCs w:val="21"/>
                      <w:u w:val="single"/>
                      <w:lang w:eastAsia="zh-TW"/>
                    </w:rPr>
                    <w:t>PM</w:t>
                  </w:r>
                  <w:r>
                    <w:rPr>
                      <w:color w:val="auto"/>
                      <w:spacing w:val="6"/>
                      <w:sz w:val="21"/>
                      <w:szCs w:val="21"/>
                      <w:u w:val="single"/>
                      <w:vertAlign w:val="subscript"/>
                      <w:lang w:eastAsia="zh-TW"/>
                    </w:rPr>
                    <w:t>10</w:t>
                  </w:r>
                  <w:r>
                    <w:rPr>
                      <w:rFonts w:hAnsi="宋体"/>
                      <w:color w:val="auto"/>
                      <w:spacing w:val="6"/>
                      <w:sz w:val="21"/>
                      <w:szCs w:val="21"/>
                      <w:u w:val="single"/>
                      <w:lang w:eastAsia="zh-TW"/>
                    </w:rPr>
                    <w:t>、</w:t>
                  </w:r>
                  <w:r>
                    <w:rPr>
                      <w:color w:val="auto"/>
                      <w:spacing w:val="6"/>
                      <w:sz w:val="21"/>
                      <w:szCs w:val="21"/>
                      <w:u w:val="single"/>
                      <w:lang w:eastAsia="zh-TW"/>
                    </w:rPr>
                    <w:t>SO</w:t>
                  </w:r>
                  <w:r>
                    <w:rPr>
                      <w:color w:val="auto"/>
                      <w:spacing w:val="6"/>
                      <w:sz w:val="21"/>
                      <w:szCs w:val="21"/>
                      <w:u w:val="single"/>
                      <w:vertAlign w:val="subscript"/>
                      <w:lang w:eastAsia="zh-TW"/>
                    </w:rPr>
                    <w:t>2</w:t>
                  </w:r>
                  <w:r>
                    <w:rPr>
                      <w:rFonts w:hAnsi="宋体"/>
                      <w:color w:val="auto"/>
                      <w:spacing w:val="6"/>
                      <w:sz w:val="21"/>
                      <w:szCs w:val="21"/>
                      <w:u w:val="single"/>
                      <w:lang w:eastAsia="zh-TW"/>
                    </w:rPr>
                    <w:t>、</w:t>
                  </w:r>
                  <w:r>
                    <w:rPr>
                      <w:color w:val="auto"/>
                      <w:spacing w:val="6"/>
                      <w:sz w:val="21"/>
                      <w:szCs w:val="21"/>
                      <w:u w:val="single"/>
                      <w:lang w:eastAsia="zh-TW"/>
                    </w:rPr>
                    <w:t>NO</w:t>
                  </w:r>
                  <w:r>
                    <w:rPr>
                      <w:color w:val="auto"/>
                      <w:spacing w:val="6"/>
                      <w:sz w:val="21"/>
                      <w:szCs w:val="21"/>
                      <w:u w:val="single"/>
                      <w:vertAlign w:val="subscript"/>
                      <w:lang w:eastAsia="zh-TW"/>
                    </w:rPr>
                    <w:t>2</w:t>
                  </w:r>
                  <w:r>
                    <w:rPr>
                      <w:rFonts w:hAnsi="宋体"/>
                      <w:color w:val="auto"/>
                      <w:spacing w:val="6"/>
                      <w:sz w:val="21"/>
                      <w:szCs w:val="21"/>
                      <w:u w:val="single"/>
                      <w:lang w:eastAsia="zh-TW"/>
                    </w:rPr>
                    <w:t>、</w:t>
                  </w:r>
                  <w:r>
                    <w:rPr>
                      <w:rFonts w:hint="eastAsia" w:hAnsi="宋体"/>
                      <w:color w:val="auto"/>
                      <w:spacing w:val="6"/>
                      <w:sz w:val="21"/>
                      <w:szCs w:val="21"/>
                      <w:u w:val="single"/>
                    </w:rPr>
                    <w:t>TVOC、六六六、滴滴涕</w:t>
                  </w:r>
                </w:p>
              </w:tc>
              <w:tc>
                <w:tcPr>
                  <w:tcW w:w="971" w:type="dxa"/>
                  <w:vMerge w:val="continue"/>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trHeight w:val="23" w:hRule="atLeast"/>
                <w:jc w:val="center"/>
              </w:trPr>
              <w:tc>
                <w:tcPr>
                  <w:tcW w:w="119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噪声</w:t>
                  </w:r>
                </w:p>
              </w:tc>
              <w:tc>
                <w:tcPr>
                  <w:tcW w:w="218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《建筑施工场界环境噪声排放标准》</w:t>
                  </w:r>
                </w:p>
              </w:tc>
              <w:tc>
                <w:tcPr>
                  <w:tcW w:w="291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场区周边共</w:t>
                  </w:r>
                  <w:r>
                    <w:rPr>
                      <w:rStyle w:val="113"/>
                      <w:rFonts w:ascii="Times New Roman" w:eastAsia="宋体" w:cs="Times New Roman"/>
                      <w:color w:val="auto"/>
                      <w:sz w:val="21"/>
                      <w:szCs w:val="21"/>
                      <w:u w:val="single"/>
                      <w:lang w:val="zh-TW" w:eastAsia="zh-TW"/>
                    </w:rPr>
                    <w:t>4</w:t>
                  </w:r>
                  <w:r>
                    <w:rPr>
                      <w:rStyle w:val="112"/>
                      <w:rFonts w:ascii="Times New Roman" w:hAnsi="宋体" w:eastAsia="宋体" w:cs="Times New Roman"/>
                      <w:color w:val="auto"/>
                      <w:sz w:val="21"/>
                      <w:szCs w:val="21"/>
                      <w:u w:val="single"/>
                      <w:lang w:val="zh-TW" w:eastAsia="zh-TW"/>
                    </w:rPr>
                    <w:t>个点，每个采样点位置设在高度</w:t>
                  </w:r>
                  <w:r>
                    <w:rPr>
                      <w:rStyle w:val="116"/>
                      <w:rFonts w:ascii="Times New Roman" w:hAnsi="Times New Roman" w:eastAsia="宋体" w:cs="Times New Roman"/>
                      <w:color w:val="auto"/>
                      <w:sz w:val="21"/>
                      <w:szCs w:val="21"/>
                      <w:u w:val="single"/>
                    </w:rPr>
                    <w:t>1</w:t>
                  </w:r>
                  <w:r>
                    <w:rPr>
                      <w:rStyle w:val="113"/>
                      <w:rFonts w:ascii="Times New Roman" w:eastAsia="宋体" w:cs="Times New Roman"/>
                      <w:color w:val="auto"/>
                      <w:sz w:val="21"/>
                      <w:szCs w:val="21"/>
                      <w:u w:val="single"/>
                      <w:lang w:eastAsia="zh-CN"/>
                    </w:rPr>
                    <w:t>.</w:t>
                  </w:r>
                  <w:r>
                    <w:rPr>
                      <w:rStyle w:val="116"/>
                      <w:rFonts w:ascii="Times New Roman" w:hAnsi="Times New Roman" w:eastAsia="宋体" w:cs="Times New Roman"/>
                      <w:color w:val="auto"/>
                      <w:sz w:val="21"/>
                      <w:szCs w:val="21"/>
                      <w:u w:val="single"/>
                    </w:rPr>
                    <w:t>2</w:t>
                  </w:r>
                  <w:r>
                    <w:rPr>
                      <w:rStyle w:val="113"/>
                      <w:rFonts w:ascii="Times New Roman" w:eastAsia="宋体" w:cs="Times New Roman"/>
                      <w:color w:val="auto"/>
                      <w:sz w:val="21"/>
                      <w:szCs w:val="21"/>
                      <w:u w:val="single"/>
                      <w:lang w:eastAsia="zh-CN"/>
                    </w:rPr>
                    <w:t>m</w:t>
                  </w:r>
                  <w:r>
                    <w:rPr>
                      <w:rStyle w:val="112"/>
                      <w:rFonts w:ascii="Times New Roman" w:hAnsi="宋体" w:eastAsia="宋体" w:cs="Times New Roman"/>
                      <w:color w:val="auto"/>
                      <w:sz w:val="21"/>
                      <w:szCs w:val="21"/>
                      <w:u w:val="single"/>
                      <w:lang w:val="zh-TW" w:eastAsia="zh-TW"/>
                    </w:rPr>
                    <w:t>以上的噪声敏感处，每月监测</w:t>
                  </w:r>
                  <w:r>
                    <w:rPr>
                      <w:rStyle w:val="116"/>
                      <w:rFonts w:ascii="Times New Roman" w:hAnsi="Times New Roman" w:eastAsia="宋体" w:cs="Times New Roman"/>
                      <w:color w:val="auto"/>
                      <w:sz w:val="21"/>
                      <w:szCs w:val="21"/>
                      <w:u w:val="single"/>
                      <w:lang w:val="zh-TW" w:eastAsia="zh-TW"/>
                    </w:rPr>
                    <w:t>1</w:t>
                  </w:r>
                  <w:r>
                    <w:rPr>
                      <w:rStyle w:val="112"/>
                      <w:rFonts w:ascii="Times New Roman" w:hAnsi="宋体" w:eastAsia="宋体" w:cs="Times New Roman"/>
                      <w:color w:val="auto"/>
                      <w:sz w:val="21"/>
                      <w:szCs w:val="21"/>
                      <w:u w:val="single"/>
                      <w:lang w:val="zh-TW" w:eastAsia="zh-TW"/>
                    </w:rPr>
                    <w:t>次</w:t>
                  </w:r>
                </w:p>
              </w:tc>
              <w:tc>
                <w:tcPr>
                  <w:tcW w:w="181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昼间</w:t>
                  </w:r>
                  <w:r>
                    <w:rPr>
                      <w:rStyle w:val="112"/>
                      <w:rFonts w:ascii="Times New Roman" w:eastAsia="宋体" w:cs="Times New Roman"/>
                      <w:color w:val="auto"/>
                      <w:sz w:val="21"/>
                      <w:szCs w:val="21"/>
                      <w:u w:val="single"/>
                      <w:lang w:val="zh-TW"/>
                    </w:rPr>
                    <w:t>/</w:t>
                  </w:r>
                  <w:r>
                    <w:rPr>
                      <w:rStyle w:val="112"/>
                      <w:rFonts w:ascii="Times New Roman" w:hAnsi="宋体" w:eastAsia="宋体" w:cs="Times New Roman"/>
                      <w:color w:val="auto"/>
                      <w:sz w:val="21"/>
                      <w:szCs w:val="21"/>
                      <w:u w:val="single"/>
                      <w:lang w:val="zh-TW" w:eastAsia="zh-TW"/>
                    </w:rPr>
                    <w:t>夜间噪声等效声级</w:t>
                  </w:r>
                </w:p>
              </w:tc>
              <w:tc>
                <w:tcPr>
                  <w:tcW w:w="971" w:type="dxa"/>
                  <w:vMerge w:val="continue"/>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 w:hRule="atLeast"/>
                <w:jc w:val="center"/>
              </w:trPr>
              <w:tc>
                <w:tcPr>
                  <w:tcW w:w="1190"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土壤</w:t>
                  </w:r>
                </w:p>
              </w:tc>
              <w:tc>
                <w:tcPr>
                  <w:tcW w:w="218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ascii="Times New Roman" w:hAnsi="宋体" w:eastAsia="宋体" w:cs="Times New Roman"/>
                      <w:color w:val="auto"/>
                      <w:sz w:val="21"/>
                      <w:szCs w:val="21"/>
                      <w:u w:val="single"/>
                      <w:lang w:val="zh-TW" w:eastAsia="zh-TW"/>
                    </w:rPr>
                    <w:t>《场地环境监测技术导则》</w:t>
                  </w:r>
                </w:p>
              </w:tc>
              <w:tc>
                <w:tcPr>
                  <w:tcW w:w="2914"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rStyle w:val="112"/>
                      <w:rFonts w:hint="eastAsia" w:ascii="Times New Roman" w:hAnsi="宋体" w:eastAsia="宋体" w:cs="Times New Roman"/>
                      <w:color w:val="auto"/>
                      <w:sz w:val="21"/>
                      <w:szCs w:val="21"/>
                      <w:u w:val="single"/>
                      <w:lang w:val="zh-TW"/>
                    </w:rPr>
                    <w:t>做好修复过程每批次修复土壤的验收检测，修复完工12个月后跟踪监测一次，有必要时每3年监测一次；</w:t>
                  </w:r>
                  <w:r>
                    <w:rPr>
                      <w:rStyle w:val="112"/>
                      <w:rFonts w:ascii="Times New Roman" w:hAnsi="宋体" w:eastAsia="宋体" w:cs="Times New Roman"/>
                      <w:color w:val="auto"/>
                      <w:sz w:val="21"/>
                      <w:szCs w:val="21"/>
                      <w:u w:val="single"/>
                      <w:lang w:val="zh-TW" w:eastAsia="zh-TW"/>
                    </w:rPr>
                    <w:t>土壤每</w:t>
                  </w:r>
                  <w:r>
                    <w:rPr>
                      <w:rStyle w:val="113"/>
                      <w:rFonts w:ascii="Times New Roman" w:eastAsia="宋体" w:cs="Times New Roman"/>
                      <w:color w:val="auto"/>
                      <w:sz w:val="21"/>
                      <w:szCs w:val="21"/>
                      <w:u w:val="single"/>
                      <w:lang w:eastAsia="zh-CN"/>
                    </w:rPr>
                    <w:t>500m</w:t>
                  </w:r>
                  <w:r>
                    <w:rPr>
                      <w:rStyle w:val="112"/>
                      <w:rFonts w:ascii="Times New Roman" w:eastAsia="宋体" w:cs="Times New Roman"/>
                      <w:color w:val="auto"/>
                      <w:sz w:val="21"/>
                      <w:szCs w:val="21"/>
                      <w:u w:val="single"/>
                      <w:vertAlign w:val="superscript"/>
                    </w:rPr>
                    <w:t>3</w:t>
                  </w:r>
                  <w:r>
                    <w:rPr>
                      <w:rStyle w:val="112"/>
                      <w:rFonts w:ascii="Times New Roman" w:hAnsi="宋体" w:eastAsia="宋体" w:cs="Times New Roman"/>
                      <w:color w:val="auto"/>
                      <w:sz w:val="21"/>
                      <w:szCs w:val="21"/>
                      <w:u w:val="single"/>
                      <w:lang w:val="zh-TW" w:eastAsia="zh-TW"/>
                    </w:rPr>
                    <w:t>取样一个；土壤清挖后界面监测</w:t>
                  </w:r>
                  <w:r>
                    <w:rPr>
                      <w:rStyle w:val="112"/>
                      <w:rFonts w:ascii="Times New Roman" w:hAnsi="宋体" w:eastAsia="宋体" w:cs="Times New Roman"/>
                      <w:color w:val="auto"/>
                      <w:sz w:val="21"/>
                      <w:szCs w:val="21"/>
                      <w:u w:val="single"/>
                    </w:rPr>
                    <w:t>，</w:t>
                  </w:r>
                  <w:r>
                    <w:rPr>
                      <w:rStyle w:val="112"/>
                      <w:rFonts w:ascii="Times New Roman" w:hAnsi="宋体" w:eastAsia="宋体" w:cs="Times New Roman"/>
                      <w:color w:val="auto"/>
                      <w:sz w:val="21"/>
                      <w:szCs w:val="21"/>
                      <w:u w:val="single"/>
                      <w:lang w:val="zh-TW" w:eastAsia="zh-TW"/>
                    </w:rPr>
                    <w:t>四周侧面分段</w:t>
                  </w:r>
                  <w:r>
                    <w:rPr>
                      <w:rStyle w:val="112"/>
                      <w:rFonts w:ascii="Times New Roman" w:hAnsi="宋体" w:eastAsia="宋体" w:cs="Times New Roman"/>
                      <w:color w:val="auto"/>
                      <w:sz w:val="21"/>
                      <w:szCs w:val="21"/>
                      <w:u w:val="single"/>
                    </w:rPr>
                    <w:t>，</w:t>
                  </w:r>
                  <w:r>
                    <w:rPr>
                      <w:rStyle w:val="112"/>
                      <w:rFonts w:ascii="Times New Roman" w:hAnsi="宋体" w:eastAsia="宋体" w:cs="Times New Roman"/>
                      <w:color w:val="auto"/>
                      <w:sz w:val="21"/>
                      <w:szCs w:val="21"/>
                      <w:u w:val="single"/>
                      <w:lang w:val="zh-TW" w:eastAsia="zh-TW"/>
                    </w:rPr>
                    <w:t>每段最大长度不超过</w:t>
                  </w:r>
                  <w:r>
                    <w:rPr>
                      <w:rStyle w:val="113"/>
                      <w:rFonts w:ascii="Times New Roman" w:eastAsia="宋体" w:cs="Times New Roman"/>
                      <w:color w:val="auto"/>
                      <w:sz w:val="21"/>
                      <w:szCs w:val="21"/>
                      <w:u w:val="single"/>
                      <w:lang w:eastAsia="zh-CN"/>
                    </w:rPr>
                    <w:t>40m</w:t>
                  </w:r>
                  <w:r>
                    <w:rPr>
                      <w:rStyle w:val="113"/>
                      <w:rFonts w:ascii="Times New Roman" w:hAnsi="宋体" w:eastAsia="宋体" w:cs="Times New Roman"/>
                      <w:color w:val="auto"/>
                      <w:sz w:val="21"/>
                      <w:szCs w:val="21"/>
                      <w:u w:val="single"/>
                      <w:lang w:eastAsia="zh-CN"/>
                    </w:rPr>
                    <w:t>，</w:t>
                  </w:r>
                  <w:r>
                    <w:rPr>
                      <w:rStyle w:val="112"/>
                      <w:rFonts w:ascii="Times New Roman" w:hAnsi="宋体" w:eastAsia="宋体" w:cs="Times New Roman"/>
                      <w:color w:val="auto"/>
                      <w:sz w:val="21"/>
                      <w:szCs w:val="21"/>
                      <w:u w:val="single"/>
                      <w:lang w:val="zh-TW" w:eastAsia="zh-TW"/>
                    </w:rPr>
                    <w:t>底部分块，分块最大面积不超过</w:t>
                  </w:r>
                  <w:r>
                    <w:rPr>
                      <w:rStyle w:val="113"/>
                      <w:rFonts w:ascii="Times New Roman" w:eastAsia="宋体" w:cs="Times New Roman"/>
                      <w:color w:val="auto"/>
                      <w:sz w:val="21"/>
                      <w:szCs w:val="21"/>
                      <w:u w:val="single"/>
                      <w:lang w:eastAsia="zh-CN"/>
                    </w:rPr>
                    <w:t>400m</w:t>
                  </w:r>
                  <w:r>
                    <w:rPr>
                      <w:rStyle w:val="113"/>
                      <w:rFonts w:ascii="Times New Roman" w:eastAsia="宋体" w:cs="Times New Roman"/>
                      <w:color w:val="auto"/>
                      <w:sz w:val="21"/>
                      <w:szCs w:val="21"/>
                      <w:u w:val="single"/>
                      <w:vertAlign w:val="superscript"/>
                      <w:lang w:eastAsia="zh-CN"/>
                    </w:rPr>
                    <w:t>2</w:t>
                  </w:r>
                </w:p>
              </w:tc>
              <w:tc>
                <w:tcPr>
                  <w:tcW w:w="1811" w:type="dxa"/>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r>
                    <w:rPr>
                      <w:color w:val="auto"/>
                      <w:sz w:val="21"/>
                      <w:szCs w:val="21"/>
                      <w:u w:val="single"/>
                    </w:rPr>
                    <w:t>pH</w:t>
                  </w:r>
                  <w:r>
                    <w:rPr>
                      <w:rStyle w:val="112"/>
                      <w:rFonts w:ascii="Times New Roman" w:hAnsi="宋体" w:eastAsia="宋体" w:cs="Times New Roman"/>
                      <w:color w:val="auto"/>
                      <w:sz w:val="21"/>
                      <w:szCs w:val="21"/>
                      <w:u w:val="single"/>
                      <w:lang w:val="zh-TW" w:eastAsia="zh-TW"/>
                    </w:rPr>
                    <w:t>、</w:t>
                  </w:r>
                  <w:r>
                    <w:rPr>
                      <w:rStyle w:val="112"/>
                      <w:rFonts w:hint="eastAsia" w:ascii="Times New Roman" w:hAnsi="宋体" w:eastAsia="宋体" w:cs="Times New Roman"/>
                      <w:color w:val="auto"/>
                      <w:sz w:val="21"/>
                      <w:szCs w:val="21"/>
                      <w:u w:val="single"/>
                      <w:lang w:val="zh-TW"/>
                    </w:rPr>
                    <w:t>六六六</w:t>
                  </w:r>
                  <w:r>
                    <w:rPr>
                      <w:rStyle w:val="112"/>
                      <w:rFonts w:ascii="Times New Roman" w:hAnsi="宋体" w:eastAsia="宋体" w:cs="Times New Roman"/>
                      <w:color w:val="auto"/>
                      <w:sz w:val="21"/>
                      <w:szCs w:val="21"/>
                      <w:u w:val="single"/>
                      <w:lang w:val="zh-TW" w:eastAsia="zh-TW"/>
                    </w:rPr>
                    <w:t>、</w:t>
                  </w:r>
                  <w:r>
                    <w:rPr>
                      <w:rStyle w:val="112"/>
                      <w:rFonts w:hint="eastAsia" w:ascii="Times New Roman" w:hAnsi="宋体" w:eastAsia="宋体" w:cs="Times New Roman"/>
                      <w:color w:val="auto"/>
                      <w:sz w:val="21"/>
                      <w:szCs w:val="21"/>
                      <w:u w:val="single"/>
                      <w:lang w:val="zh-TW"/>
                    </w:rPr>
                    <w:t>滴滴涕</w:t>
                  </w:r>
                  <w:r>
                    <w:rPr>
                      <w:rStyle w:val="112"/>
                      <w:rFonts w:ascii="Times New Roman" w:hAnsi="宋体" w:eastAsia="宋体" w:cs="Times New Roman"/>
                      <w:color w:val="auto"/>
                      <w:sz w:val="21"/>
                      <w:szCs w:val="21"/>
                      <w:u w:val="single"/>
                      <w:lang w:val="zh-TW" w:eastAsia="zh-TW"/>
                    </w:rPr>
                    <w:t>等含量</w:t>
                  </w:r>
                </w:p>
              </w:tc>
              <w:tc>
                <w:tcPr>
                  <w:tcW w:w="971" w:type="dxa"/>
                  <w:vMerge w:val="continue"/>
                  <w:tcBorders>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outlineLvl w:val="9"/>
                    <w:rPr>
                      <w:color w:val="auto"/>
                      <w:sz w:val="21"/>
                      <w:szCs w:val="21"/>
                      <w:u w:val="single"/>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int="eastAsia" w:hAnsi="宋体"/>
                <w:b/>
                <w:color w:val="auto"/>
                <w:sz w:val="24"/>
                <w:szCs w:val="24"/>
              </w:rPr>
              <w:t>九</w:t>
            </w:r>
            <w:r>
              <w:rPr>
                <w:rFonts w:hAnsi="宋体"/>
                <w:b/>
                <w:color w:val="auto"/>
                <w:sz w:val="24"/>
                <w:szCs w:val="24"/>
              </w:rPr>
              <w:t>、产业政策、规划相符性分析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7" w:firstLineChars="174"/>
              <w:jc w:val="both"/>
              <w:textAlignment w:val="auto"/>
              <w:outlineLvl w:val="9"/>
              <w:rPr>
                <w:color w:val="auto"/>
                <w:sz w:val="24"/>
                <w:szCs w:val="24"/>
              </w:rPr>
            </w:pPr>
            <w:r>
              <w:rPr>
                <w:rFonts w:hAnsi="宋体"/>
                <w:color w:val="auto"/>
                <w:sz w:val="24"/>
                <w:szCs w:val="24"/>
              </w:rPr>
              <w:t>（</w:t>
            </w:r>
            <w:r>
              <w:rPr>
                <w:color w:val="auto"/>
                <w:sz w:val="24"/>
                <w:szCs w:val="24"/>
              </w:rPr>
              <w:t>1</w:t>
            </w:r>
            <w:r>
              <w:rPr>
                <w:rFonts w:hAnsi="宋体"/>
                <w:color w:val="auto"/>
                <w:sz w:val="24"/>
                <w:szCs w:val="24"/>
              </w:rPr>
              <w:t>）与产业政策相符性分析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7" w:firstLineChars="174"/>
              <w:jc w:val="both"/>
              <w:textAlignment w:val="auto"/>
              <w:outlineLvl w:val="9"/>
              <w:rPr>
                <w:color w:val="auto"/>
                <w:sz w:val="24"/>
                <w:szCs w:val="24"/>
              </w:rPr>
            </w:pPr>
            <w:r>
              <w:rPr>
                <w:rFonts w:hAnsi="宋体"/>
                <w:color w:val="auto"/>
                <w:sz w:val="24"/>
                <w:szCs w:val="24"/>
              </w:rPr>
              <w:t>本项目为重金属污染土壤治理修复工程，属于《产业结构调整目录（</w:t>
            </w:r>
            <w:r>
              <w:rPr>
                <w:color w:val="auto"/>
                <w:sz w:val="24"/>
                <w:szCs w:val="24"/>
              </w:rPr>
              <w:t>2011</w:t>
            </w:r>
            <w:r>
              <w:rPr>
                <w:rFonts w:hAnsi="宋体"/>
                <w:color w:val="auto"/>
                <w:sz w:val="24"/>
                <w:szCs w:val="24"/>
              </w:rPr>
              <w:t>年本）》（</w:t>
            </w:r>
            <w:r>
              <w:rPr>
                <w:color w:val="auto"/>
                <w:sz w:val="24"/>
                <w:szCs w:val="24"/>
              </w:rPr>
              <w:t>2013</w:t>
            </w:r>
            <w:r>
              <w:rPr>
                <w:rFonts w:hAnsi="宋体"/>
                <w:color w:val="auto"/>
                <w:sz w:val="24"/>
                <w:szCs w:val="24"/>
              </w:rPr>
              <w:t>年修正）中规定的</w:t>
            </w:r>
            <w:r>
              <w:rPr>
                <w:color w:val="auto"/>
                <w:sz w:val="24"/>
                <w:szCs w:val="24"/>
              </w:rPr>
              <w:t>“</w:t>
            </w:r>
            <w:r>
              <w:rPr>
                <w:rFonts w:hAnsi="宋体"/>
                <w:color w:val="auto"/>
                <w:sz w:val="24"/>
                <w:szCs w:val="24"/>
              </w:rPr>
              <w:t>鼓励类</w:t>
            </w:r>
            <w:r>
              <w:rPr>
                <w:color w:val="auto"/>
                <w:sz w:val="24"/>
                <w:szCs w:val="24"/>
              </w:rPr>
              <w:t>”</w:t>
            </w:r>
            <w:r>
              <w:rPr>
                <w:rFonts w:hAnsi="宋体"/>
                <w:color w:val="auto"/>
                <w:sz w:val="24"/>
                <w:szCs w:val="24"/>
              </w:rPr>
              <w:t>第</w:t>
            </w:r>
            <w:r>
              <w:rPr>
                <w:color w:val="auto"/>
                <w:sz w:val="24"/>
                <w:szCs w:val="24"/>
              </w:rPr>
              <w:t>“</w:t>
            </w:r>
            <w:r>
              <w:rPr>
                <w:rFonts w:hAnsi="宋体"/>
                <w:color w:val="auto"/>
                <w:sz w:val="24"/>
                <w:szCs w:val="24"/>
              </w:rPr>
              <w:t>三十八、环境保护与资源节约综合利用</w:t>
            </w:r>
            <w:r>
              <w:rPr>
                <w:color w:val="auto"/>
                <w:sz w:val="24"/>
                <w:szCs w:val="24"/>
              </w:rPr>
              <w:t>”</w:t>
            </w:r>
            <w:r>
              <w:rPr>
                <w:rFonts w:hAnsi="宋体"/>
                <w:color w:val="auto"/>
                <w:sz w:val="24"/>
                <w:szCs w:val="24"/>
              </w:rPr>
              <w:t>中的</w:t>
            </w:r>
            <w:r>
              <w:rPr>
                <w:color w:val="auto"/>
                <w:sz w:val="24"/>
                <w:szCs w:val="24"/>
              </w:rPr>
              <w:t>“16</w:t>
            </w:r>
            <w:r>
              <w:rPr>
                <w:rFonts w:hAnsi="宋体"/>
                <w:color w:val="auto"/>
                <w:sz w:val="24"/>
                <w:szCs w:val="24"/>
              </w:rPr>
              <w:t>、三废综合利用及治理工程</w:t>
            </w:r>
            <w:r>
              <w:rPr>
                <w:color w:val="auto"/>
                <w:sz w:val="24"/>
                <w:szCs w:val="24"/>
              </w:rPr>
              <w:t>”</w:t>
            </w:r>
            <w:r>
              <w:rPr>
                <w:rFonts w:hAnsi="宋体"/>
                <w:color w:val="auto"/>
                <w:sz w:val="24"/>
                <w:szCs w:val="24"/>
              </w:rPr>
              <w:t>，因此，项目建设符合国家产业政策的要求。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color w:val="auto"/>
                <w:sz w:val="24"/>
                <w:szCs w:val="28"/>
              </w:rPr>
            </w:pPr>
            <w:r>
              <w:rPr>
                <w:rFonts w:hAnsi="宋体"/>
                <w:color w:val="auto"/>
                <w:sz w:val="24"/>
                <w:szCs w:val="24"/>
              </w:rPr>
              <w:t>（</w:t>
            </w:r>
            <w:r>
              <w:rPr>
                <w:color w:val="auto"/>
                <w:sz w:val="24"/>
                <w:szCs w:val="24"/>
              </w:rPr>
              <w:t>2</w:t>
            </w:r>
            <w:r>
              <w:rPr>
                <w:rFonts w:hAnsi="宋体"/>
                <w:color w:val="auto"/>
                <w:sz w:val="24"/>
                <w:szCs w:val="24"/>
              </w:rPr>
              <w:t>）与</w:t>
            </w:r>
            <w:r>
              <w:rPr>
                <w:rFonts w:hAnsi="宋体"/>
                <w:color w:val="auto"/>
                <w:sz w:val="24"/>
                <w:szCs w:val="28"/>
              </w:rPr>
              <w:t>《</w:t>
            </w:r>
            <w:r>
              <w:rPr>
                <w:rFonts w:hint="eastAsia" w:hAnsi="宋体"/>
                <w:color w:val="auto"/>
                <w:sz w:val="24"/>
                <w:szCs w:val="28"/>
              </w:rPr>
              <w:t>平江县城关镇规划</w:t>
            </w:r>
            <w:r>
              <w:rPr>
                <w:rFonts w:hAnsi="宋体"/>
                <w:color w:val="auto"/>
                <w:sz w:val="24"/>
                <w:szCs w:val="28"/>
              </w:rPr>
              <w:t>》相符性分析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color w:val="auto"/>
                <w:sz w:val="24"/>
                <w:szCs w:val="24"/>
              </w:rPr>
            </w:pPr>
            <w:r>
              <w:rPr>
                <w:rFonts w:hAnsi="宋体"/>
                <w:color w:val="auto"/>
                <w:sz w:val="24"/>
              </w:rPr>
              <w:t>根据《根据平江县城关镇规划</w:t>
            </w:r>
            <w:r>
              <w:rPr>
                <w:rFonts w:hint="eastAsia" w:hAnsi="宋体"/>
                <w:color w:val="auto"/>
                <w:sz w:val="24"/>
              </w:rPr>
              <w:t>》</w:t>
            </w:r>
            <w:r>
              <w:rPr>
                <w:rFonts w:hAnsi="宋体"/>
                <w:color w:val="auto"/>
                <w:sz w:val="24"/>
              </w:rPr>
              <w:t>，原</w:t>
            </w:r>
            <w:r>
              <w:rPr>
                <w:rFonts w:hint="eastAsia" w:hAnsi="宋体"/>
                <w:color w:val="auto"/>
                <w:sz w:val="24"/>
              </w:rPr>
              <w:t>平江县原三阳乡化学农药厂厂区及附近区域均被规划为居民用地。</w:t>
            </w:r>
            <w:r>
              <w:rPr>
                <w:rFonts w:hAnsi="宋体"/>
                <w:color w:val="auto"/>
                <w:sz w:val="24"/>
              </w:rPr>
              <w:t>见附图。而根据</w:t>
            </w:r>
            <w:r>
              <w:rPr>
                <w:color w:val="auto"/>
                <w:sz w:val="24"/>
                <w:szCs w:val="24"/>
              </w:rPr>
              <w:t>2017</w:t>
            </w:r>
            <w:r>
              <w:rPr>
                <w:rFonts w:hAnsi="宋体"/>
                <w:color w:val="auto"/>
                <w:sz w:val="24"/>
                <w:szCs w:val="24"/>
              </w:rPr>
              <w:t>年</w:t>
            </w:r>
            <w:r>
              <w:rPr>
                <w:rFonts w:hint="eastAsia"/>
                <w:color w:val="auto"/>
                <w:sz w:val="24"/>
                <w:szCs w:val="24"/>
              </w:rPr>
              <w:t>2</w:t>
            </w:r>
            <w:r>
              <w:rPr>
                <w:rFonts w:hAnsi="宋体"/>
                <w:color w:val="auto"/>
                <w:sz w:val="24"/>
                <w:szCs w:val="24"/>
              </w:rPr>
              <w:t>月该片区土壤的调查报告，该片区土壤受到</w:t>
            </w:r>
            <w:r>
              <w:rPr>
                <w:rFonts w:hint="eastAsia" w:hAnsi="宋体"/>
                <w:color w:val="auto"/>
                <w:sz w:val="24"/>
                <w:szCs w:val="24"/>
              </w:rPr>
              <w:t>有机物的</w:t>
            </w:r>
            <w:r>
              <w:rPr>
                <w:rFonts w:hAnsi="宋体"/>
                <w:color w:val="auto"/>
                <w:sz w:val="24"/>
                <w:szCs w:val="24"/>
              </w:rPr>
              <w:t>污染，其</w:t>
            </w:r>
            <w:r>
              <w:rPr>
                <w:rFonts w:hint="eastAsia" w:hAnsi="宋体"/>
                <w:color w:val="auto"/>
                <w:sz w:val="24"/>
                <w:szCs w:val="24"/>
              </w:rPr>
              <w:t>六六六、滴滴涕</w:t>
            </w:r>
            <w:r>
              <w:rPr>
                <w:rFonts w:hAnsi="宋体"/>
                <w:color w:val="auto"/>
                <w:sz w:val="24"/>
                <w:szCs w:val="24"/>
              </w:rPr>
              <w:t>含量出现超标现象，</w:t>
            </w:r>
            <w:r>
              <w:rPr>
                <w:rFonts w:hint="eastAsia" w:hAnsi="宋体"/>
                <w:color w:val="auto"/>
                <w:sz w:val="24"/>
                <w:szCs w:val="24"/>
              </w:rPr>
              <w:t>有机物的</w:t>
            </w:r>
            <w:r>
              <w:rPr>
                <w:rFonts w:hAnsi="宋体"/>
                <w:color w:val="auto"/>
                <w:sz w:val="24"/>
                <w:szCs w:val="24"/>
              </w:rPr>
              <w:t>污染将极大制约区域的土地开发利用。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color w:val="auto"/>
                <w:sz w:val="24"/>
                <w:szCs w:val="28"/>
              </w:rPr>
            </w:pPr>
            <w:r>
              <w:rPr>
                <w:rFonts w:hAnsi="宋体"/>
                <w:color w:val="auto"/>
                <w:sz w:val="24"/>
                <w:szCs w:val="28"/>
              </w:rPr>
              <w:t>本项目通过对该片区土壤进行全面整治，改善</w:t>
            </w:r>
            <w:r>
              <w:rPr>
                <w:rFonts w:hint="eastAsia" w:hAnsi="宋体"/>
                <w:color w:val="auto"/>
                <w:sz w:val="24"/>
              </w:rPr>
              <w:t>江县原三阳乡化学农药厂</w:t>
            </w:r>
            <w:r>
              <w:rPr>
                <w:rFonts w:hAnsi="宋体"/>
                <w:color w:val="auto"/>
                <w:sz w:val="24"/>
                <w:szCs w:val="28"/>
              </w:rPr>
              <w:t>数年沉积的污染，消除历史欠账，使该地区回归自然生态，可有效改善</w:t>
            </w:r>
            <w:r>
              <w:rPr>
                <w:rFonts w:hint="eastAsia" w:hAnsi="宋体"/>
                <w:color w:val="auto"/>
                <w:sz w:val="24"/>
                <w:szCs w:val="28"/>
              </w:rPr>
              <w:t>区域</w:t>
            </w:r>
            <w:r>
              <w:rPr>
                <w:rFonts w:hAnsi="宋体"/>
                <w:color w:val="auto"/>
                <w:sz w:val="24"/>
                <w:szCs w:val="28"/>
              </w:rPr>
              <w:t>生态环境质量，提髙</w:t>
            </w:r>
            <w:r>
              <w:rPr>
                <w:rFonts w:hAnsi="宋体"/>
                <w:color w:val="auto"/>
                <w:sz w:val="24"/>
              </w:rPr>
              <w:t>平江县城</w:t>
            </w:r>
            <w:r>
              <w:rPr>
                <w:rFonts w:hAnsi="宋体"/>
                <w:color w:val="auto"/>
                <w:sz w:val="24"/>
                <w:szCs w:val="28"/>
              </w:rPr>
              <w:t>的建设和居民生活质量，对构建和谐社会和可持续发展经济社会具有重要的意义。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jc w:val="both"/>
              <w:textAlignment w:val="auto"/>
              <w:outlineLvl w:val="9"/>
              <w:rPr>
                <w:rFonts w:hAnsi="宋体"/>
                <w:color w:val="auto"/>
                <w:sz w:val="24"/>
                <w:szCs w:val="28"/>
              </w:rPr>
            </w:pPr>
            <w:r>
              <w:rPr>
                <w:rFonts w:hAnsi="宋体"/>
                <w:color w:val="auto"/>
                <w:sz w:val="24"/>
                <w:szCs w:val="28"/>
              </w:rPr>
              <w:t>因此，本项目的实施与</w:t>
            </w:r>
            <w:r>
              <w:rPr>
                <w:rFonts w:hAnsi="宋体"/>
                <w:color w:val="auto"/>
                <w:sz w:val="24"/>
              </w:rPr>
              <w:t>平江县城关镇规划</w:t>
            </w:r>
            <w:r>
              <w:rPr>
                <w:rFonts w:hAnsi="宋体"/>
                <w:color w:val="auto"/>
                <w:sz w:val="24"/>
                <w:szCs w:val="28"/>
              </w:rPr>
              <w:t>相符。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rFonts w:hint="default" w:hAnsi="宋体"/>
                <w:b/>
                <w:color w:val="auto"/>
                <w:sz w:val="24"/>
                <w:szCs w:val="24"/>
                <w:u w:val="single"/>
              </w:rPr>
            </w:pPr>
            <w:r>
              <w:rPr>
                <w:rFonts w:hint="eastAsia" w:hAnsi="宋体"/>
                <w:b/>
                <w:color w:val="auto"/>
                <w:sz w:val="24"/>
                <w:szCs w:val="24"/>
                <w:u w:val="single"/>
                <w:lang w:eastAsia="zh-CN"/>
              </w:rPr>
              <w:t>十、</w:t>
            </w:r>
            <w:r>
              <w:rPr>
                <w:rFonts w:hint="default" w:hAnsi="宋体"/>
                <w:b/>
                <w:color w:val="auto"/>
                <w:sz w:val="24"/>
                <w:szCs w:val="24"/>
                <w:u w:val="single"/>
              </w:rPr>
              <w:t>总平面布置的合理性分析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本项目建设考虑场地</w:t>
            </w:r>
            <w:r>
              <w:rPr>
                <w:rFonts w:hint="default" w:ascii="Times New Roman" w:hAnsi="Times New Roman" w:cs="Times New Roman"/>
                <w:color w:val="auto"/>
                <w:sz w:val="24"/>
                <w:u w:val="single"/>
                <w:lang w:eastAsia="zh-CN"/>
              </w:rPr>
              <w:t>北临云龙路</w:t>
            </w:r>
            <w:r>
              <w:rPr>
                <w:rFonts w:hint="default" w:ascii="Times New Roman" w:hAnsi="Times New Roman" w:cs="Times New Roman"/>
                <w:color w:val="auto"/>
                <w:sz w:val="24"/>
                <w:u w:val="single"/>
              </w:rPr>
              <w:t>、地形地势与本项目</w:t>
            </w:r>
            <w:r>
              <w:rPr>
                <w:rFonts w:hint="default" w:ascii="Times New Roman" w:hAnsi="Times New Roman" w:cs="Times New Roman"/>
                <w:color w:val="auto"/>
                <w:sz w:val="24"/>
                <w:u w:val="single"/>
                <w:lang w:eastAsia="zh-CN"/>
              </w:rPr>
              <w:t>施工期时</w:t>
            </w:r>
            <w:r>
              <w:rPr>
                <w:rFonts w:hint="default" w:ascii="Times New Roman" w:hAnsi="Times New Roman" w:cs="Times New Roman"/>
                <w:color w:val="auto"/>
                <w:sz w:val="24"/>
                <w:u w:val="single"/>
              </w:rPr>
              <w:t>设施功能、各建筑物布局等关系，</w:t>
            </w:r>
            <w:r>
              <w:rPr>
                <w:rFonts w:hint="eastAsia" w:ascii="Times New Roman" w:hAnsi="Times New Roman" w:cs="Times New Roman"/>
                <w:color w:val="auto"/>
                <w:sz w:val="24"/>
                <w:u w:val="single"/>
                <w:lang w:eastAsia="zh-CN"/>
              </w:rPr>
              <w:t>并结合建设单位提供的资料对</w:t>
            </w:r>
            <w:r>
              <w:rPr>
                <w:rFonts w:hint="default" w:ascii="Times New Roman" w:hAnsi="Times New Roman" w:cs="Times New Roman"/>
                <w:color w:val="auto"/>
                <w:sz w:val="24"/>
                <w:u w:val="single"/>
              </w:rPr>
              <w:t>本项目总平面合理性分析如下：</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（1）本项目的平面设计根据流程和设备运转的要求，按照</w:t>
            </w:r>
            <w:r>
              <w:rPr>
                <w:rFonts w:hint="default" w:ascii="Times New Roman" w:hAnsi="Times New Roman" w:cs="Times New Roman"/>
                <w:color w:val="auto"/>
                <w:sz w:val="24"/>
                <w:u w:val="single"/>
                <w:lang w:eastAsia="zh-CN"/>
              </w:rPr>
              <w:t>工序流程</w:t>
            </w:r>
            <w:r>
              <w:rPr>
                <w:rFonts w:hint="default" w:ascii="Times New Roman" w:hAnsi="Times New Roman" w:cs="Times New Roman"/>
                <w:color w:val="auto"/>
                <w:sz w:val="24"/>
                <w:u w:val="single"/>
              </w:rPr>
              <w:t>、运转顺序和安全生产的需要布置</w:t>
            </w:r>
            <w:r>
              <w:rPr>
                <w:rFonts w:hint="default" w:ascii="Times New Roman" w:hAnsi="Times New Roman" w:cs="Times New Roman"/>
                <w:color w:val="auto"/>
                <w:sz w:val="24"/>
                <w:u w:val="single"/>
                <w:lang w:eastAsia="zh-CN"/>
              </w:rPr>
              <w:t>挖掘区、设施设备、负压密闭大棚位置</w:t>
            </w:r>
            <w:r>
              <w:rPr>
                <w:rFonts w:hint="default" w:ascii="Times New Roman" w:hAnsi="Times New Roman" w:cs="Times New Roman"/>
                <w:color w:val="auto"/>
                <w:sz w:val="24"/>
                <w:u w:val="single"/>
              </w:rPr>
              <w:t>，满足了流程的合理顺畅，使设备集中布置。</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（2）项目所在</w:t>
            </w:r>
            <w:r>
              <w:rPr>
                <w:rFonts w:hint="default" w:ascii="Times New Roman" w:hAnsi="Times New Roman" w:cs="Times New Roman"/>
                <w:color w:val="auto"/>
                <w:sz w:val="24"/>
                <w:u w:val="single"/>
                <w:lang w:eastAsia="zh-CN"/>
              </w:rPr>
              <w:t>场区</w:t>
            </w:r>
            <w:r>
              <w:rPr>
                <w:rFonts w:hint="default" w:ascii="Times New Roman" w:hAnsi="Times New Roman" w:cs="Times New Roman"/>
                <w:color w:val="auto"/>
                <w:sz w:val="24"/>
                <w:u w:val="single"/>
              </w:rPr>
              <w:t>四周设置绿化隔离带，即美化环境又能起滞尘隔声防治污染的作用。</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u w:val="single"/>
                <w:lang w:eastAsia="zh-CN"/>
              </w:rPr>
            </w:pP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lang w:val="en-US" w:eastAsia="zh-CN"/>
              </w:rPr>
              <w:t>4</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rPr>
              <w:t>项目污染处置区和生活区占地为非污染场地，项目功能分区明显，</w:t>
            </w:r>
            <w:r>
              <w:rPr>
                <w:rFonts w:hint="default" w:ascii="Times New Roman" w:hAnsi="Times New Roman" w:cs="Times New Roman"/>
                <w:color w:val="auto"/>
                <w:sz w:val="24"/>
                <w:u w:val="single"/>
                <w:lang w:eastAsia="zh-CN"/>
              </w:rPr>
              <w:t>周边</w:t>
            </w:r>
            <w:r>
              <w:rPr>
                <w:rFonts w:hint="default" w:ascii="Times New Roman" w:hAnsi="Times New Roman" w:cs="Times New Roman"/>
                <w:color w:val="auto"/>
                <w:sz w:val="24"/>
                <w:u w:val="single"/>
              </w:rPr>
              <w:t>内无生活饮用水水源保护区和自然保护区</w:t>
            </w:r>
            <w:r>
              <w:rPr>
                <w:rFonts w:hint="default" w:ascii="Times New Roman" w:hAnsi="Times New Roman" w:cs="Times New Roman"/>
                <w:color w:val="auto"/>
                <w:sz w:val="24"/>
                <w:u w:val="single"/>
                <w:lang w:eastAsia="zh-CN"/>
              </w:rPr>
              <w:t>。</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cs="Times New Roman"/>
                <w:color w:val="FF0000"/>
                <w:sz w:val="24"/>
                <w:u w:val="single"/>
                <w:lang w:eastAsia="zh-CN"/>
              </w:rPr>
            </w:pPr>
            <w:r>
              <w:rPr>
                <w:rFonts w:hint="eastAsia" w:cs="Times New Roman"/>
                <w:color w:val="FF0000"/>
                <w:sz w:val="24"/>
                <w:u w:val="single"/>
                <w:lang w:eastAsia="zh-CN"/>
              </w:rPr>
              <w:t>（</w:t>
            </w:r>
            <w:r>
              <w:rPr>
                <w:rFonts w:hint="eastAsia" w:cs="Times New Roman"/>
                <w:color w:val="FF0000"/>
                <w:sz w:val="24"/>
                <w:u w:val="single"/>
                <w:lang w:val="en-US" w:eastAsia="zh-CN"/>
              </w:rPr>
              <w:t>5</w:t>
            </w:r>
            <w:r>
              <w:rPr>
                <w:rFonts w:hint="eastAsia" w:cs="Times New Roman"/>
                <w:color w:val="FF0000"/>
                <w:sz w:val="24"/>
                <w:u w:val="single"/>
                <w:lang w:eastAsia="zh-CN"/>
              </w:rPr>
              <w:t>）本项目修复大棚位于厂区污染区北侧，在主导风向下主要为修复场地、在建建筑、低矮厂房以及空地，且根据工程分析可知，本项目修复大棚排放的废气均可达标排放；根据选址合理性分析可知，待修复大棚东南侧建筑建成投入使用时，本项目已结束。修复大棚南侧在建建筑不高，因此不会影响其通风等。</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综上所述，</w:t>
            </w:r>
            <w:r>
              <w:rPr>
                <w:rFonts w:hint="default" w:ascii="Times New Roman" w:hAnsi="Times New Roman" w:eastAsia="宋体" w:cs="Times New Roman"/>
                <w:i w:val="0"/>
                <w:color w:val="auto"/>
                <w:sz w:val="24"/>
                <w:szCs w:val="24"/>
                <w:u w:val="single"/>
              </w:rPr>
              <w:t>建设项目总平面布置满足生产要求，总平面布置基本合理</w:t>
            </w:r>
            <w:r>
              <w:rPr>
                <w:rFonts w:hint="default" w:ascii="Times New Roman" w:hAnsi="Times New Roman" w:cs="Times New Roman"/>
                <w:color w:val="auto"/>
                <w:sz w:val="24"/>
                <w:u w:val="single"/>
              </w:rPr>
              <w:t>。</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eastAsia="zh-CN"/>
              </w:rPr>
            </w:pPr>
            <w:r>
              <w:rPr>
                <w:rFonts w:hint="eastAsia" w:ascii="Times New Roman" w:hAnsi="Times New Roman" w:cs="Times New Roman"/>
                <w:color w:val="auto"/>
                <w:sz w:val="24"/>
                <w:u w:val="single"/>
                <w:lang w:eastAsia="zh-CN"/>
              </w:rPr>
              <w:t>为进一步防治因土壤修复期间造成的二次污染，本次评价提出如下建议：</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cs="Times New Roman"/>
                <w:color w:val="auto"/>
                <w:sz w:val="24"/>
                <w:u w:val="single"/>
                <w:lang w:eastAsia="zh-CN"/>
              </w:rPr>
            </w:pPr>
            <w:r>
              <w:rPr>
                <w:rFonts w:hint="eastAsia" w:cs="Times New Roman"/>
                <w:color w:val="auto"/>
                <w:sz w:val="24"/>
                <w:u w:val="single"/>
                <w:lang w:eastAsia="zh-CN"/>
              </w:rPr>
              <w:t>（</w:t>
            </w:r>
            <w:r>
              <w:rPr>
                <w:rFonts w:hint="eastAsia" w:cs="Times New Roman"/>
                <w:color w:val="auto"/>
                <w:sz w:val="24"/>
                <w:u w:val="single"/>
                <w:lang w:val="en-US" w:eastAsia="zh-CN"/>
              </w:rPr>
              <w:t>1</w:t>
            </w:r>
            <w:r>
              <w:rPr>
                <w:rFonts w:hint="eastAsia" w:cs="Times New Roman"/>
                <w:color w:val="auto"/>
                <w:sz w:val="24"/>
                <w:u w:val="single"/>
                <w:lang w:eastAsia="zh-CN"/>
              </w:rPr>
              <w:t>）建议将土壤临时堆置场设置于负压密闭大棚内部</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eastAsia="zh-CN"/>
              </w:rPr>
            </w:pPr>
            <w:r>
              <w:rPr>
                <w:rFonts w:hint="eastAsia" w:cs="Times New Roman"/>
                <w:color w:val="auto"/>
                <w:sz w:val="24"/>
                <w:u w:val="single"/>
                <w:lang w:eastAsia="zh-CN"/>
              </w:rPr>
              <w:t>（</w:t>
            </w:r>
            <w:r>
              <w:rPr>
                <w:rFonts w:hint="eastAsia" w:cs="Times New Roman"/>
                <w:color w:val="auto"/>
                <w:sz w:val="24"/>
                <w:u w:val="single"/>
                <w:lang w:val="en-US" w:eastAsia="zh-CN"/>
              </w:rPr>
              <w:t>2</w:t>
            </w:r>
            <w:r>
              <w:rPr>
                <w:rFonts w:hint="eastAsia" w:cs="Times New Roman"/>
                <w:color w:val="auto"/>
                <w:sz w:val="24"/>
                <w:u w:val="single"/>
                <w:lang w:eastAsia="zh-CN"/>
              </w:rPr>
              <w:t>）</w:t>
            </w:r>
            <w:r>
              <w:rPr>
                <w:rFonts w:hint="eastAsia" w:ascii="Times New Roman" w:hAnsi="Times New Roman" w:cs="Times New Roman"/>
                <w:color w:val="auto"/>
                <w:sz w:val="24"/>
                <w:u w:val="single"/>
                <w:lang w:eastAsia="zh-CN"/>
              </w:rPr>
              <w:t>建设单位应认真贯彻执行有关建设项目环境保护管理文件的精神，建立健全的各项环境保护规章制度，严格实行“三同时”政策，即污染治理设施要同主项目同时设计、同时建设、同时投产。</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eastAsia="zh-CN"/>
              </w:rPr>
            </w:pPr>
            <w:r>
              <w:rPr>
                <w:rFonts w:hint="eastAsia" w:cs="Times New Roman"/>
                <w:color w:val="auto"/>
                <w:sz w:val="24"/>
                <w:u w:val="single"/>
                <w:lang w:eastAsia="zh-CN"/>
              </w:rPr>
              <w:t>（</w:t>
            </w:r>
            <w:r>
              <w:rPr>
                <w:rFonts w:hint="eastAsia" w:cs="Times New Roman"/>
                <w:color w:val="auto"/>
                <w:sz w:val="24"/>
                <w:u w:val="single"/>
                <w:lang w:val="en-US" w:eastAsia="zh-CN"/>
              </w:rPr>
              <w:t>3</w:t>
            </w:r>
            <w:r>
              <w:rPr>
                <w:rFonts w:hint="eastAsia" w:cs="Times New Roman"/>
                <w:color w:val="auto"/>
                <w:sz w:val="24"/>
                <w:u w:val="single"/>
                <w:lang w:eastAsia="zh-CN"/>
              </w:rPr>
              <w:t>）</w:t>
            </w:r>
            <w:r>
              <w:rPr>
                <w:rFonts w:hint="eastAsia" w:ascii="Times New Roman" w:hAnsi="Times New Roman" w:cs="Times New Roman"/>
                <w:color w:val="auto"/>
                <w:sz w:val="24"/>
                <w:u w:val="single"/>
                <w:lang w:eastAsia="zh-CN"/>
              </w:rPr>
              <w:t>进一步合理规划和安排场区内的总体布局，进一步优选防噪方案，切实落实尤其是高噪声设备的隔音、减振、降噪工作，确保厂界施工噪声达标，尽可能降低项目噪声对界外环境的贡献。</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eastAsia="zh-CN"/>
              </w:rPr>
            </w:pPr>
            <w:r>
              <w:rPr>
                <w:rFonts w:hint="eastAsia" w:cs="Times New Roman"/>
                <w:color w:val="auto"/>
                <w:sz w:val="24"/>
                <w:u w:val="single"/>
                <w:lang w:eastAsia="zh-CN"/>
              </w:rPr>
              <w:t>（</w:t>
            </w:r>
            <w:r>
              <w:rPr>
                <w:rFonts w:hint="eastAsia" w:cs="Times New Roman"/>
                <w:color w:val="auto"/>
                <w:sz w:val="24"/>
                <w:u w:val="single"/>
                <w:lang w:val="en-US" w:eastAsia="zh-CN"/>
              </w:rPr>
              <w:t>4</w:t>
            </w:r>
            <w:r>
              <w:rPr>
                <w:rFonts w:hint="eastAsia" w:cs="Times New Roman"/>
                <w:color w:val="auto"/>
                <w:sz w:val="24"/>
                <w:u w:val="single"/>
                <w:lang w:eastAsia="zh-CN"/>
              </w:rPr>
              <w:t>）</w:t>
            </w:r>
            <w:r>
              <w:rPr>
                <w:rFonts w:hint="eastAsia" w:ascii="Times New Roman" w:hAnsi="Times New Roman" w:cs="Times New Roman"/>
                <w:color w:val="auto"/>
                <w:sz w:val="24"/>
                <w:u w:val="single"/>
                <w:lang w:eastAsia="zh-CN"/>
              </w:rPr>
              <w:t>加强固体废弃物的管理，对运出固体废弃物的去向及利用途径进行跟踪管理，确保固废的有效处理处置，杜绝二次污染及转移污染。各类固废应及时清运处理，不得在场区长期堆存，不得随意堆放修复后的土壤，不得随意弃土。</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eastAsia="zh-CN"/>
              </w:rPr>
            </w:pPr>
            <w:r>
              <w:rPr>
                <w:rFonts w:hint="eastAsia" w:cs="Times New Roman"/>
                <w:color w:val="auto"/>
                <w:sz w:val="24"/>
                <w:u w:val="single"/>
                <w:lang w:eastAsia="zh-CN"/>
              </w:rPr>
              <w:t>（</w:t>
            </w:r>
            <w:r>
              <w:rPr>
                <w:rFonts w:hint="eastAsia" w:cs="Times New Roman"/>
                <w:color w:val="auto"/>
                <w:sz w:val="24"/>
                <w:u w:val="single"/>
                <w:lang w:val="en-US" w:eastAsia="zh-CN"/>
              </w:rPr>
              <w:t>5</w:t>
            </w:r>
            <w:r>
              <w:rPr>
                <w:rFonts w:hint="eastAsia" w:cs="Times New Roman"/>
                <w:color w:val="auto"/>
                <w:sz w:val="24"/>
                <w:u w:val="single"/>
                <w:lang w:eastAsia="zh-CN"/>
              </w:rPr>
              <w:t>）</w:t>
            </w:r>
            <w:r>
              <w:rPr>
                <w:rFonts w:hint="eastAsia" w:ascii="Times New Roman" w:hAnsi="Times New Roman" w:cs="Times New Roman"/>
                <w:color w:val="auto"/>
                <w:sz w:val="24"/>
                <w:u w:val="single"/>
                <w:lang w:eastAsia="zh-CN"/>
              </w:rPr>
              <w:t>建议施工方在施工前应及时联系具有危险废物处理资质的单位，妥善安置危险废物。</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eastAsia="zh-CN"/>
              </w:rPr>
            </w:pPr>
            <w:r>
              <w:rPr>
                <w:rFonts w:hint="eastAsia" w:cs="Times New Roman"/>
                <w:color w:val="auto"/>
                <w:sz w:val="24"/>
                <w:u w:val="single"/>
                <w:lang w:eastAsia="zh-CN"/>
              </w:rPr>
              <w:t>（</w:t>
            </w:r>
            <w:r>
              <w:rPr>
                <w:rFonts w:hint="eastAsia" w:cs="Times New Roman"/>
                <w:color w:val="auto"/>
                <w:sz w:val="24"/>
                <w:u w:val="single"/>
                <w:lang w:val="en-US" w:eastAsia="zh-CN"/>
              </w:rPr>
              <w:t>6</w:t>
            </w:r>
            <w:r>
              <w:rPr>
                <w:rFonts w:hint="eastAsia" w:cs="Times New Roman"/>
                <w:color w:val="auto"/>
                <w:sz w:val="24"/>
                <w:u w:val="single"/>
                <w:lang w:eastAsia="zh-CN"/>
              </w:rPr>
              <w:t>）</w:t>
            </w:r>
            <w:r>
              <w:rPr>
                <w:rFonts w:hint="eastAsia" w:ascii="Times New Roman" w:hAnsi="Times New Roman" w:cs="Times New Roman"/>
                <w:color w:val="auto"/>
                <w:sz w:val="24"/>
                <w:u w:val="single"/>
                <w:lang w:eastAsia="zh-CN"/>
              </w:rPr>
              <w:t>监测期间加强对大气和地下水的污染监控，及时了解项目施工对周边大气和区域地下水的影响情况，发现异常，立即采取补救措施。</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val="en-US" w:eastAsia="zh-CN"/>
              </w:rPr>
            </w:pPr>
            <w:r>
              <w:rPr>
                <w:rFonts w:hint="eastAsia" w:cs="Times New Roman"/>
                <w:color w:val="auto"/>
                <w:sz w:val="24"/>
                <w:u w:val="single"/>
                <w:lang w:eastAsia="zh-CN"/>
              </w:rPr>
              <w:t>（</w:t>
            </w:r>
            <w:r>
              <w:rPr>
                <w:rFonts w:hint="eastAsia" w:cs="Times New Roman"/>
                <w:color w:val="auto"/>
                <w:sz w:val="24"/>
                <w:u w:val="single"/>
                <w:lang w:val="en-US" w:eastAsia="zh-CN"/>
              </w:rPr>
              <w:t>7</w:t>
            </w:r>
            <w:r>
              <w:rPr>
                <w:rFonts w:hint="eastAsia" w:cs="Times New Roman"/>
                <w:color w:val="auto"/>
                <w:sz w:val="24"/>
                <w:u w:val="single"/>
                <w:lang w:eastAsia="zh-CN"/>
              </w:rPr>
              <w:t>）</w:t>
            </w:r>
            <w:r>
              <w:rPr>
                <w:rFonts w:hint="eastAsia" w:ascii="Times New Roman" w:hAnsi="Times New Roman" w:cs="Times New Roman"/>
                <w:color w:val="auto"/>
                <w:sz w:val="24"/>
                <w:u w:val="single"/>
                <w:lang w:eastAsia="zh-CN"/>
              </w:rPr>
              <w:t>严格按照修复方案确定的治理措施和治理位置对土壤进行修复，并进行严格的验收监测，治理达标方可进行回填。</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cs="Times New Roman"/>
                <w:color w:val="auto"/>
                <w:sz w:val="24"/>
                <w:u w:val="single"/>
                <w:lang w:val="en-US" w:eastAsia="zh-CN"/>
              </w:rPr>
            </w:pPr>
            <w:r>
              <w:rPr>
                <w:rFonts w:hint="eastAsia" w:cs="Times New Roman"/>
                <w:color w:val="auto"/>
                <w:sz w:val="24"/>
                <w:u w:val="single"/>
                <w:lang w:eastAsia="zh-CN"/>
              </w:rPr>
              <w:t>（</w:t>
            </w:r>
            <w:r>
              <w:rPr>
                <w:rFonts w:hint="eastAsia" w:cs="Times New Roman"/>
                <w:color w:val="auto"/>
                <w:sz w:val="24"/>
                <w:u w:val="single"/>
                <w:lang w:val="en-US" w:eastAsia="zh-CN"/>
              </w:rPr>
              <w:t>8</w:t>
            </w:r>
            <w:r>
              <w:rPr>
                <w:rFonts w:hint="eastAsia" w:cs="Times New Roman"/>
                <w:color w:val="auto"/>
                <w:sz w:val="24"/>
                <w:u w:val="single"/>
                <w:lang w:eastAsia="zh-CN"/>
              </w:rPr>
              <w:t>）</w:t>
            </w:r>
            <w:r>
              <w:rPr>
                <w:rFonts w:hint="eastAsia" w:ascii="Times New Roman" w:hAnsi="Times New Roman" w:cs="Times New Roman"/>
                <w:color w:val="auto"/>
                <w:sz w:val="24"/>
                <w:u w:val="single"/>
                <w:lang w:val="en-US" w:eastAsia="zh-CN"/>
              </w:rPr>
              <w:t>对临时堆置的土壤覆盖帆布等，减少扬尘的产生。</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lang w:val="en-US" w:eastAsia="zh-CN"/>
              </w:rPr>
            </w:pPr>
            <w:r>
              <w:rPr>
                <w:rFonts w:hint="eastAsia" w:cs="Times New Roman"/>
                <w:color w:val="auto"/>
                <w:sz w:val="24"/>
                <w:u w:val="single"/>
                <w:lang w:val="en-US" w:eastAsia="zh-CN"/>
              </w:rPr>
              <w:t>（9）为避免因各处理车间及场内物料转运过程导致有机废气溢散，建议在各处理车间及场内物料转运过程中应全密闭。</w:t>
            </w:r>
          </w:p>
          <w:p>
            <w:pPr>
              <w:keepNext w:val="0"/>
              <w:keepLines w:val="0"/>
              <w:pageBreakBefore w:val="0"/>
              <w:widowControl w:val="0"/>
              <w:tabs>
                <w:tab w:val="left" w:pos="1875"/>
              </w:tabs>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default" w:ascii="Times New Roman" w:hAnsi="Times New Roman" w:cs="Times New Roman"/>
                <w:b/>
                <w:color w:val="auto"/>
                <w:sz w:val="24"/>
                <w:highlight w:val="none"/>
                <w:u w:val="single"/>
                <w:lang w:eastAsia="zh-CN"/>
              </w:rPr>
            </w:pPr>
            <w:r>
              <w:rPr>
                <w:rFonts w:hint="eastAsia" w:hAnsi="宋体"/>
                <w:b/>
                <w:color w:val="auto"/>
                <w:sz w:val="24"/>
                <w:szCs w:val="24"/>
                <w:u w:val="single"/>
                <w:lang w:eastAsia="zh-CN"/>
              </w:rPr>
              <w:t>十一、</w:t>
            </w:r>
            <w:r>
              <w:rPr>
                <w:rFonts w:hint="default" w:ascii="Times New Roman" w:hAnsi="Times New Roman" w:cs="Times New Roman"/>
                <w:b/>
                <w:color w:val="auto"/>
                <w:sz w:val="24"/>
                <w:highlight w:val="none"/>
                <w:u w:val="single"/>
                <w:lang w:eastAsia="zh-CN"/>
              </w:rPr>
              <w:t>项目场地修复</w:t>
            </w:r>
            <w:r>
              <w:rPr>
                <w:rFonts w:hint="eastAsia" w:ascii="Times New Roman" w:hAnsi="Times New Roman" w:cs="Times New Roman"/>
                <w:b/>
                <w:color w:val="auto"/>
                <w:sz w:val="24"/>
                <w:highlight w:val="none"/>
                <w:u w:val="single"/>
                <w:lang w:eastAsia="zh-CN"/>
              </w:rPr>
              <w:t>技术</w:t>
            </w:r>
            <w:r>
              <w:rPr>
                <w:rFonts w:hint="default" w:ascii="Times New Roman" w:hAnsi="Times New Roman" w:cs="Times New Roman"/>
                <w:b/>
                <w:color w:val="auto"/>
                <w:sz w:val="24"/>
                <w:highlight w:val="none"/>
                <w:u w:val="single"/>
                <w:lang w:eastAsia="zh-CN"/>
              </w:rPr>
              <w:t>选择及可行性分析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lang w:val="en-US" w:eastAsia="zh-CN"/>
              </w:rPr>
              <w:t>根据施工方提供的相关资料可知，施工方所选用的土壤修复技术是在全面调研国内外土壤修复技术的基础上，采用修复技术路线选择矩阵的方法分别对国内外目前采用的土壤修复技术的优缺点和技术可行性进行了分析，并在此基础上筛选出适合本场地污染土壤的修复技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cs="Times New Roman"/>
                <w:color w:val="auto"/>
                <w:sz w:val="24"/>
                <w:u w:val="single"/>
                <w:lang w:val="en-US" w:eastAsia="zh-CN"/>
              </w:rPr>
            </w:pPr>
            <w:r>
              <w:rPr>
                <w:rFonts w:hint="default" w:ascii="Times New Roman" w:hAnsi="Times New Roman" w:cs="Times New Roman"/>
                <w:color w:val="auto"/>
                <w:sz w:val="24"/>
                <w:u w:val="single"/>
                <w:lang w:val="en-US" w:eastAsia="zh-CN"/>
              </w:rPr>
              <w:t>由于该场地土壤有机污染物主要为</w:t>
            </w:r>
            <w:r>
              <w:rPr>
                <w:rFonts w:hint="eastAsia" w:cs="Times New Roman"/>
                <w:color w:val="auto"/>
                <w:sz w:val="24"/>
                <w:u w:val="single"/>
                <w:lang w:val="en-US" w:eastAsia="zh-CN"/>
              </w:rPr>
              <w:t>六六六、DDT</w:t>
            </w:r>
            <w:r>
              <w:rPr>
                <w:rFonts w:hint="default" w:ascii="Times New Roman" w:hAnsi="Times New Roman" w:cs="Times New Roman"/>
                <w:color w:val="auto"/>
                <w:sz w:val="24"/>
                <w:u w:val="single"/>
                <w:lang w:val="en-US" w:eastAsia="zh-CN"/>
              </w:rPr>
              <w:t>，将对有机污染物土壤修复技术进行必选。详见下表。</w:t>
            </w:r>
          </w:p>
          <w:p>
            <w:pPr>
              <w:jc w:val="center"/>
              <w:rPr>
                <w:rFonts w:hint="default" w:ascii="Times New Roman" w:hAnsi="Times New Roman" w:cs="Times New Roman"/>
                <w:b/>
                <w:color w:val="auto"/>
                <w:sz w:val="21"/>
                <w:szCs w:val="21"/>
                <w:u w:val="single"/>
              </w:rPr>
            </w:pPr>
            <w:r>
              <w:rPr>
                <w:rFonts w:hint="default" w:ascii="Times New Roman" w:hAnsi="Times New Roman" w:cs="Times New Roman"/>
                <w:b/>
                <w:color w:val="auto"/>
                <w:sz w:val="21"/>
                <w:szCs w:val="21"/>
                <w:u w:val="single"/>
              </w:rPr>
              <w:t>表</w:t>
            </w:r>
            <w:r>
              <w:rPr>
                <w:rFonts w:hint="eastAsia" w:cs="Times New Roman"/>
                <w:b/>
                <w:color w:val="auto"/>
                <w:sz w:val="21"/>
                <w:szCs w:val="21"/>
                <w:u w:val="single"/>
                <w:lang w:val="en-US" w:eastAsia="zh-CN"/>
              </w:rPr>
              <w:t>40</w:t>
            </w:r>
            <w:r>
              <w:rPr>
                <w:rFonts w:hint="default" w:ascii="Times New Roman" w:hAnsi="Times New Roman" w:cs="Times New Roman"/>
                <w:b/>
                <w:color w:val="auto"/>
                <w:sz w:val="21"/>
                <w:szCs w:val="21"/>
                <w:u w:val="single"/>
              </w:rPr>
              <w:t xml:space="preserve">  </w:t>
            </w:r>
            <w:r>
              <w:rPr>
                <w:rFonts w:hint="default" w:ascii="Times New Roman" w:hAnsi="Times New Roman" w:cs="Times New Roman"/>
                <w:b/>
                <w:color w:val="auto"/>
                <w:sz w:val="21"/>
                <w:szCs w:val="21"/>
                <w:u w:val="single"/>
                <w:lang w:eastAsia="zh-CN"/>
              </w:rPr>
              <w:t>土壤修复技术选择矩阵</w:t>
            </w:r>
          </w:p>
          <w:tbl>
            <w:tblPr>
              <w:tblStyle w:val="30"/>
              <w:tblW w:w="907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66"/>
              <w:gridCol w:w="1061"/>
              <w:gridCol w:w="2697"/>
              <w:gridCol w:w="1147"/>
              <w:gridCol w:w="1146"/>
              <w:gridCol w:w="24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285"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序号</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技术名称</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技术简介</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治理周期</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资金水平</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适用性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1890"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1</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气相抽取</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通过注入空气/氧气到地下水中，促进有机污染物的挥发，同时利用真空泵抽取易挥发性污染物进行处理</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很长</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较高</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技术成熟，能与其他技术联合使用，可原位或异位修复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1350"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2</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水泥窑协同处置</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将污染土壤作为水泥填料，添加水泥窑中进行煅烧，煅烧后有机污染物就生产二氧化碳和谁</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短</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高</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技术成熟，时间较短，污染去除彻底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1350"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3</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热脱附</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通过注入蒸汽/热空气使非水相挥发，随后通过抽取收集有机污染物</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短</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较高</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处理时间段，需要大量的现场蒸汽控制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2700"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4</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化学氧化技术</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通过加入氧化剂，利用化学方法使有毒有害物质转化，从而去除污染物毒性，将有害物质转化为稳定、惰性的无害或低毒化合物</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较短</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适中</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技术成熟，处理周期短，费用较高，处理效果佳，能处理高浓度或纯相污染物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2160"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5</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生物修复技术</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用环境中原有微生物，对吸附于土壤、不饱和层或通气层中邮寄污染物进行生物降解</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较长</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较低</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技术成熟，价格较低，能与其他技术联合使用，可原位或异位修复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1080"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6</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溶剂萃取技术</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用化学试剂或有机容积来萃取土壤中的污染物</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短</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较高</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处理时间段，适用于处理有机污染物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Ex>
              <w:trPr>
                <w:trHeight w:val="1350" w:hRule="atLeast"/>
              </w:trPr>
              <w:tc>
                <w:tcPr>
                  <w:tcW w:w="56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7</w:t>
                  </w:r>
                </w:p>
              </w:tc>
              <w:tc>
                <w:tcPr>
                  <w:tcW w:w="106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土壤混合固化稳定</w:t>
                  </w:r>
                </w:p>
              </w:tc>
              <w:tc>
                <w:tcPr>
                  <w:tcW w:w="26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通过加入固化剂，降低土壤的渗透率，减少污染物的迁移性</w:t>
                  </w:r>
                </w:p>
              </w:tc>
              <w:tc>
                <w:tcPr>
                  <w:tcW w:w="114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短</w:t>
                  </w:r>
                </w:p>
              </w:tc>
              <w:tc>
                <w:tcPr>
                  <w:tcW w:w="11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适中</w:t>
                  </w:r>
                </w:p>
              </w:tc>
              <w:tc>
                <w:tcPr>
                  <w:tcW w:w="2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single"/>
                    </w:rPr>
                  </w:pPr>
                  <w:r>
                    <w:rPr>
                      <w:rFonts w:hint="default" w:ascii="Times New Roman" w:hAnsi="Times New Roman" w:eastAsia="宋体" w:cs="Times New Roman"/>
                      <w:i w:val="0"/>
                      <w:color w:val="auto"/>
                      <w:kern w:val="0"/>
                      <w:sz w:val="21"/>
                      <w:szCs w:val="21"/>
                      <w:u w:val="single"/>
                      <w:lang w:val="en-US" w:eastAsia="zh-CN" w:bidi="ar"/>
                    </w:rPr>
                    <w:t>处理时间段，处理后的土壤适合建筑施工</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b w:val="0"/>
                <w:bCs/>
                <w:color w:val="auto"/>
                <w:sz w:val="24"/>
                <w:u w:val="single"/>
                <w:lang w:eastAsia="zh-CN"/>
              </w:rPr>
            </w:pPr>
            <w:r>
              <w:rPr>
                <w:rFonts w:hint="default" w:ascii="Times New Roman" w:hAnsi="Times New Roman" w:cs="Times New Roman"/>
                <w:b w:val="0"/>
                <w:bCs/>
                <w:color w:val="auto"/>
                <w:sz w:val="24"/>
                <w:u w:val="single"/>
                <w:lang w:eastAsia="zh-CN"/>
              </w:rPr>
              <w:t>根据施工方提供的资料可知，化学氧化技术反应速度快、修复时间短，反应强度大，对污染物性质和浓度不</w:t>
            </w:r>
            <w:r>
              <w:rPr>
                <w:rFonts w:hint="eastAsia" w:ascii="Times New Roman" w:hAnsi="Times New Roman" w:cs="Times New Roman"/>
                <w:b w:val="0"/>
                <w:bCs/>
                <w:color w:val="auto"/>
                <w:sz w:val="24"/>
                <w:u w:val="single"/>
                <w:lang w:eastAsia="zh-CN"/>
              </w:rPr>
              <w:t>敏感</w:t>
            </w:r>
            <w:r>
              <w:rPr>
                <w:rFonts w:hint="default" w:ascii="Times New Roman" w:hAnsi="Times New Roman" w:cs="Times New Roman"/>
                <w:b w:val="0"/>
                <w:bCs/>
                <w:color w:val="auto"/>
                <w:sz w:val="24"/>
                <w:u w:val="single"/>
                <w:lang w:eastAsia="zh-CN"/>
              </w:rPr>
              <w:t>，对某些难以用其他方法处理的有机物有效，化学氧化工程只产生水和二氧化碳等无害的反应物，对环境的二次污染风险低。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rFonts w:hint="eastAsia" w:hAnsi="宋体"/>
                <w:b/>
                <w:color w:val="auto"/>
                <w:sz w:val="24"/>
                <w:szCs w:val="24"/>
                <w:lang w:eastAsia="zh-CN"/>
              </w:rPr>
            </w:pPr>
            <w:r>
              <w:rPr>
                <w:rFonts w:hint="default" w:ascii="Times New Roman" w:hAnsi="Times New Roman" w:cs="Times New Roman"/>
                <w:color w:val="auto"/>
                <w:sz w:val="24"/>
                <w:u w:val="single"/>
                <w:lang w:val="en-US" w:eastAsia="zh-CN"/>
              </w:rPr>
              <w:t>综上可知，</w:t>
            </w:r>
            <w:r>
              <w:rPr>
                <w:rFonts w:hint="default" w:ascii="Times New Roman" w:hAnsi="Times New Roman" w:cs="Times New Roman"/>
                <w:color w:val="auto"/>
                <w:sz w:val="24"/>
                <w:u w:val="single"/>
                <w:lang w:eastAsia="zh-CN"/>
              </w:rPr>
              <w:t>项目场地修复方案恰当，技术可行。</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eastAsia" w:hAnsi="宋体"/>
                <w:b/>
                <w:color w:val="FF0000"/>
                <w:sz w:val="24"/>
                <w:szCs w:val="24"/>
                <w:u w:val="single"/>
                <w:lang w:eastAsia="zh-CN"/>
              </w:rPr>
            </w:pPr>
            <w:r>
              <w:rPr>
                <w:rFonts w:hint="eastAsia" w:hAnsi="宋体"/>
                <w:b/>
                <w:color w:val="FF0000"/>
                <w:sz w:val="24"/>
                <w:szCs w:val="24"/>
                <w:u w:val="single"/>
                <w:lang w:eastAsia="zh-CN"/>
              </w:rPr>
              <w:t>项目场地污染土壤修复技术可行性及修复药剂可行性分析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Ansi="宋体"/>
                <w:color w:val="FF0000"/>
                <w:sz w:val="24"/>
                <w:szCs w:val="24"/>
                <w:highlight w:val="none"/>
                <w:u w:val="single"/>
              </w:rPr>
            </w:pPr>
            <w:r>
              <w:rPr>
                <w:rFonts w:hint="eastAsia" w:hAnsi="宋体"/>
                <w:color w:val="FF0000"/>
                <w:sz w:val="24"/>
                <w:szCs w:val="24"/>
                <w:highlight w:val="none"/>
                <w:u w:val="single"/>
              </w:rPr>
              <w:t>根据环境保护部发布的《污染场地修复技术目录》（2014），</w:t>
            </w:r>
            <w:r>
              <w:rPr>
                <w:rFonts w:hint="eastAsia" w:hAnsi="宋体"/>
                <w:color w:val="FF0000"/>
                <w:sz w:val="24"/>
                <w:szCs w:val="24"/>
                <w:highlight w:val="none"/>
                <w:u w:val="single"/>
                <w:lang w:eastAsia="zh-CN"/>
              </w:rPr>
              <w:t>化学氧化</w:t>
            </w:r>
            <w:r>
              <w:rPr>
                <w:rFonts w:hint="eastAsia" w:hAnsi="宋体"/>
                <w:color w:val="FF0000"/>
                <w:sz w:val="24"/>
                <w:szCs w:val="24"/>
                <w:highlight w:val="none"/>
                <w:u w:val="single"/>
              </w:rPr>
              <w:t>法适用于农药类污染土壤的治理，并已有实际工程案例，根据北京建工环境修复股份有限公司实施的华中有机氯农药污染场地治理工程项目同样是采取了化学氧化法对受到污染的农田土壤进行了治理。含铁还原药剂用于处理针对六六六、滴滴涕的有机污染场地土壤可获得较好的修复效果。</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Ansi="宋体"/>
                <w:color w:val="FF0000"/>
                <w:sz w:val="24"/>
                <w:szCs w:val="24"/>
                <w:highlight w:val="none"/>
                <w:u w:val="single"/>
              </w:rPr>
            </w:pPr>
            <w:r>
              <w:rPr>
                <w:rFonts w:hint="eastAsia" w:hAnsi="宋体"/>
                <w:color w:val="FF0000"/>
                <w:sz w:val="24"/>
                <w:szCs w:val="24"/>
                <w:highlight w:val="none"/>
                <w:u w:val="single"/>
              </w:rPr>
              <w:t>反应原理：</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Ansi="宋体"/>
                <w:color w:val="FF0000"/>
                <w:sz w:val="24"/>
                <w:szCs w:val="24"/>
                <w:highlight w:val="none"/>
                <w:u w:val="single"/>
              </w:rPr>
            </w:pPr>
            <w:r>
              <w:rPr>
                <w:rFonts w:hint="eastAsia" w:hAnsi="宋体"/>
                <w:color w:val="FF0000"/>
                <w:sz w:val="24"/>
                <w:szCs w:val="24"/>
                <w:highlight w:val="none"/>
                <w:u w:val="single"/>
              </w:rPr>
              <w:t>根据六六六及滴滴涕及其降解产物的结构可知其主要为有机氯化物，</w:t>
            </w:r>
            <w:r>
              <w:rPr>
                <w:rFonts w:hint="eastAsia" w:hAnsi="宋体"/>
                <w:color w:val="FF0000"/>
                <w:sz w:val="24"/>
                <w:szCs w:val="24"/>
                <w:highlight w:val="none"/>
                <w:u w:val="single"/>
                <w:lang w:eastAsia="zh-CN"/>
              </w:rPr>
              <w:t>化学氧化</w:t>
            </w:r>
            <w:r>
              <w:rPr>
                <w:rFonts w:hint="eastAsia" w:hAnsi="宋体"/>
                <w:color w:val="FF0000"/>
                <w:sz w:val="24"/>
                <w:szCs w:val="24"/>
                <w:highlight w:val="none"/>
                <w:u w:val="single"/>
              </w:rPr>
              <w:t>法尤其是金属铁还原法成为热门的研究热点，该类方法适用的氯代有机物种类和范围广，反应条件温和，操作简单。其可能发生的反应有三种可能：路径氢解、还原消除、加氢还原以及吸附作用等。</w:t>
            </w:r>
          </w:p>
          <w:p>
            <w:pPr>
              <w:pStyle w:val="241"/>
              <w:keepNext w:val="0"/>
              <w:keepLines w:val="0"/>
              <w:pageBreakBefore w:val="0"/>
              <w:widowControl w:val="0"/>
              <w:numPr>
                <w:ilvl w:val="0"/>
                <w:numId w:val="14"/>
              </w:numPr>
              <w:kinsoku/>
              <w:wordWrap/>
              <w:overflowPunct/>
              <w:topLinePunct w:val="0"/>
              <w:autoSpaceDE/>
              <w:autoSpaceDN/>
              <w:bidi w:val="0"/>
              <w:adjustRightInd/>
              <w:snapToGrid/>
              <w:spacing w:line="360" w:lineRule="auto"/>
              <w:ind w:right="0" w:rightChars="0" w:firstLineChars="0"/>
              <w:jc w:val="both"/>
              <w:textAlignment w:val="auto"/>
              <w:outlineLvl w:val="9"/>
              <w:rPr>
                <w:rFonts w:hAnsi="宋体"/>
                <w:color w:val="FF0000"/>
                <w:sz w:val="24"/>
                <w:szCs w:val="24"/>
                <w:highlight w:val="none"/>
                <w:u w:val="single"/>
              </w:rPr>
            </w:pPr>
            <w:r>
              <w:rPr>
                <w:rFonts w:hint="eastAsia" w:hAnsi="宋体"/>
                <w:color w:val="FF0000"/>
                <w:sz w:val="24"/>
                <w:szCs w:val="24"/>
                <w:highlight w:val="none"/>
                <w:u w:val="single"/>
              </w:rPr>
              <w:t>属铁表面的电子直接转移至有机氯化物</w:t>
            </w:r>
          </w:p>
          <w:p>
            <w:pPr>
              <w:pStyle w:val="241"/>
              <w:keepNext w:val="0"/>
              <w:keepLines w:val="0"/>
              <w:pageBreakBefore w:val="0"/>
              <w:widowControl w:val="0"/>
              <w:numPr>
                <w:ilvl w:val="0"/>
                <w:numId w:val="14"/>
              </w:numPr>
              <w:kinsoku/>
              <w:wordWrap/>
              <w:overflowPunct/>
              <w:topLinePunct w:val="0"/>
              <w:autoSpaceDE/>
              <w:autoSpaceDN/>
              <w:bidi w:val="0"/>
              <w:adjustRightInd/>
              <w:snapToGrid/>
              <w:spacing w:line="360" w:lineRule="auto"/>
              <w:ind w:right="0" w:rightChars="0" w:firstLineChars="0"/>
              <w:jc w:val="both"/>
              <w:textAlignment w:val="auto"/>
              <w:outlineLvl w:val="9"/>
              <w:rPr>
                <w:rFonts w:hAnsi="宋体"/>
                <w:color w:val="FF0000"/>
                <w:sz w:val="24"/>
                <w:szCs w:val="24"/>
                <w:highlight w:val="none"/>
                <w:u w:val="single"/>
              </w:rPr>
            </w:pPr>
            <w:r>
              <w:rPr>
                <w:rFonts w:hint="eastAsia" w:hAnsi="宋体"/>
                <w:color w:val="FF0000"/>
                <w:sz w:val="24"/>
                <w:szCs w:val="24"/>
                <w:highlight w:val="none"/>
                <w:u w:val="single"/>
              </w:rPr>
              <w:t>属铁腐蚀产生的还原作用使部分有机氯化物脱氯</w:t>
            </w:r>
            <w:r>
              <w:rPr>
                <w:color w:val="FF0000"/>
                <w:sz w:val="24"/>
                <w:szCs w:val="24"/>
                <w:highlight w:val="none"/>
                <w:u w:val="single"/>
              </w:rPr>
              <w:drawing>
                <wp:anchor distT="0" distB="0" distL="114300" distR="114300" simplePos="0" relativeHeight="251793408" behindDoc="0" locked="0" layoutInCell="1" allowOverlap="1">
                  <wp:simplePos x="0" y="0"/>
                  <wp:positionH relativeFrom="column">
                    <wp:posOffset>283845</wp:posOffset>
                  </wp:positionH>
                  <wp:positionV relativeFrom="paragraph">
                    <wp:posOffset>133350</wp:posOffset>
                  </wp:positionV>
                  <wp:extent cx="5294630" cy="580390"/>
                  <wp:effectExtent l="0" t="0" r="1270" b="1016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94630" cy="580390"/>
                          </a:xfrm>
                          <a:prstGeom prst="rect">
                            <a:avLst/>
                          </a:prstGeom>
                        </pic:spPr>
                      </pic:pic>
                    </a:graphicData>
                  </a:graphic>
                </wp:anchor>
              </w:drawing>
            </w:r>
          </w:p>
          <w:p>
            <w:pPr>
              <w:pStyle w:val="241"/>
              <w:keepNext w:val="0"/>
              <w:keepLines w:val="0"/>
              <w:pageBreakBefore w:val="0"/>
              <w:widowControl w:val="0"/>
              <w:numPr>
                <w:ilvl w:val="0"/>
                <w:numId w:val="14"/>
              </w:numPr>
              <w:kinsoku/>
              <w:wordWrap/>
              <w:overflowPunct/>
              <w:topLinePunct w:val="0"/>
              <w:autoSpaceDE/>
              <w:autoSpaceDN/>
              <w:bidi w:val="0"/>
              <w:adjustRightInd/>
              <w:snapToGrid/>
              <w:spacing w:line="360" w:lineRule="auto"/>
              <w:ind w:right="0" w:rightChars="0" w:firstLineChars="0"/>
              <w:jc w:val="both"/>
              <w:textAlignment w:val="auto"/>
              <w:outlineLvl w:val="9"/>
              <w:rPr>
                <w:rFonts w:hAnsi="宋体"/>
                <w:color w:val="FF0000"/>
                <w:sz w:val="24"/>
                <w:szCs w:val="24"/>
                <w:highlight w:val="none"/>
                <w:u w:val="single"/>
              </w:rPr>
            </w:pPr>
            <w:r>
              <w:rPr>
                <w:rFonts w:hint="eastAsia" w:hAnsi="宋体"/>
                <w:color w:val="FF0000"/>
                <w:sz w:val="24"/>
                <w:szCs w:val="24"/>
                <w:highlight w:val="none"/>
                <w:u w:val="single"/>
              </w:rPr>
              <w:t>Feo——H</w:t>
            </w:r>
            <w:r>
              <w:rPr>
                <w:color w:val="FF0000"/>
                <w:sz w:val="24"/>
                <w:szCs w:val="24"/>
                <w:highlight w:val="none"/>
                <w:u w:val="single"/>
                <w:vertAlign w:val="subscript"/>
              </w:rPr>
              <w:drawing>
                <wp:anchor distT="0" distB="0" distL="114300" distR="114300" simplePos="0" relativeHeight="251794432" behindDoc="0" locked="0" layoutInCell="1" allowOverlap="1">
                  <wp:simplePos x="0" y="0"/>
                  <wp:positionH relativeFrom="column">
                    <wp:posOffset>469265</wp:posOffset>
                  </wp:positionH>
                  <wp:positionV relativeFrom="paragraph">
                    <wp:posOffset>144780</wp:posOffset>
                  </wp:positionV>
                  <wp:extent cx="4638675" cy="502920"/>
                  <wp:effectExtent l="0" t="0" r="9525" b="1143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638675" cy="502920"/>
                          </a:xfrm>
                          <a:prstGeom prst="rect">
                            <a:avLst/>
                          </a:prstGeom>
                        </pic:spPr>
                      </pic:pic>
                    </a:graphicData>
                  </a:graphic>
                </wp:anchor>
              </w:drawing>
            </w:r>
            <w:r>
              <w:rPr>
                <w:rFonts w:hint="eastAsia" w:hAnsi="宋体"/>
                <w:color w:val="FF0000"/>
                <w:sz w:val="24"/>
                <w:szCs w:val="24"/>
                <w:highlight w:val="none"/>
                <w:u w:val="single"/>
                <w:vertAlign w:val="subscript"/>
              </w:rPr>
              <w:t>2</w:t>
            </w:r>
            <w:r>
              <w:rPr>
                <w:rFonts w:hint="eastAsia" w:hAnsi="宋体"/>
                <w:color w:val="FF0000"/>
                <w:sz w:val="24"/>
                <w:szCs w:val="24"/>
                <w:highlight w:val="none"/>
                <w:u w:val="single"/>
              </w:rPr>
              <w:t>0体系互相反应产生的氢气使用有机氯化物还原</w:t>
            </w:r>
          </w:p>
          <w:p>
            <w:pPr>
              <w:pStyle w:val="241"/>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right="0" w:rightChars="0" w:firstLine="480"/>
              <w:jc w:val="both"/>
              <w:textAlignment w:val="auto"/>
              <w:outlineLvl w:val="9"/>
              <w:rPr>
                <w:rFonts w:hint="eastAsia" w:hAnsi="宋体"/>
                <w:b/>
                <w:color w:val="FF0000"/>
                <w:sz w:val="24"/>
                <w:szCs w:val="24"/>
                <w:highlight w:val="none"/>
                <w:u w:val="single"/>
                <w:lang w:eastAsia="zh-CN"/>
              </w:rPr>
            </w:pPr>
            <w:r>
              <w:rPr>
                <w:rFonts w:hint="eastAsia" w:hAnsi="宋体"/>
                <w:color w:val="FF0000"/>
                <w:sz w:val="24"/>
                <w:szCs w:val="24"/>
                <w:highlight w:val="none"/>
                <w:u w:val="single"/>
              </w:rPr>
              <w:t>吸附，氯代烃的反应性隋卤化物的增加而显著降低，Feo对有机氯化物的转化是与脱氯还原反应在金属铁表面的吸附过程同时进行的。</w:t>
            </w:r>
            <w:r>
              <w:rPr>
                <w:rFonts w:hAnsi="宋体"/>
                <w:color w:val="FF0000"/>
                <w:sz w:val="24"/>
                <w:szCs w:val="24"/>
                <w:highlight w:val="none"/>
                <w:u w:val="single"/>
              </w:rPr>
              <w:drawing>
                <wp:anchor distT="0" distB="0" distL="114300" distR="114300" simplePos="0" relativeHeight="251795456" behindDoc="0" locked="0" layoutInCell="1" allowOverlap="1">
                  <wp:simplePos x="0" y="0"/>
                  <wp:positionH relativeFrom="column">
                    <wp:posOffset>354330</wp:posOffset>
                  </wp:positionH>
                  <wp:positionV relativeFrom="paragraph">
                    <wp:posOffset>62230</wp:posOffset>
                  </wp:positionV>
                  <wp:extent cx="5048250" cy="318770"/>
                  <wp:effectExtent l="0" t="0" r="0" b="508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48250" cy="318770"/>
                          </a:xfrm>
                          <a:prstGeom prst="rect">
                            <a:avLst/>
                          </a:prstGeom>
                        </pic:spPr>
                      </pic:pic>
                    </a:graphicData>
                  </a:graphic>
                </wp:anchor>
              </w:drawing>
            </w:r>
          </w:p>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color w:val="FF0000"/>
                <w:sz w:val="24"/>
                <w:szCs w:val="24"/>
                <w:highlight w:val="none"/>
                <w:u w:val="single"/>
                <w:lang w:eastAsia="zh-CN"/>
              </w:rPr>
            </w:pPr>
            <w:r>
              <w:rPr>
                <w:rFonts w:hint="eastAsia" w:hAnsi="宋体"/>
                <w:color w:val="FF0000"/>
                <w:sz w:val="24"/>
                <w:szCs w:val="24"/>
                <w:highlight w:val="none"/>
                <w:u w:val="single"/>
                <w:lang w:eastAsia="zh-CN"/>
              </w:rPr>
              <w:t>根据上述及已有实际案例分析可知，采用亚铁离子的还原性处理有机污染物。本项目《实施方案》参考相关文献资料以及</w:t>
            </w:r>
            <w:r>
              <w:rPr>
                <w:rFonts w:hint="eastAsia" w:hAnsi="宋体"/>
                <w:color w:val="FF0000"/>
                <w:sz w:val="24"/>
                <w:szCs w:val="24"/>
                <w:highlight w:val="none"/>
                <w:u w:val="single"/>
              </w:rPr>
              <w:t>北京建工环境修复股份有限公司实施的华中有机氯农药污染场地治理工程</w:t>
            </w:r>
            <w:r>
              <w:rPr>
                <w:rFonts w:hint="eastAsia" w:hAnsi="宋体"/>
                <w:color w:val="FF0000"/>
                <w:sz w:val="24"/>
                <w:szCs w:val="24"/>
                <w:highlight w:val="none"/>
                <w:u w:val="single"/>
                <w:lang w:eastAsia="zh-CN"/>
              </w:rPr>
              <w:t>工程案例，使用</w:t>
            </w:r>
            <w:r>
              <w:rPr>
                <w:rFonts w:hint="eastAsia" w:hAnsi="宋体"/>
                <w:color w:val="FF0000"/>
                <w:sz w:val="24"/>
                <w:szCs w:val="24"/>
                <w:highlight w:val="none"/>
                <w:u w:val="single"/>
              </w:rPr>
              <w:t>含铁还原药剂用于处理针对六六六、滴滴涕的有机污染场地土壤可获得较好的修复效果。</w:t>
            </w:r>
            <w:r>
              <w:rPr>
                <w:rFonts w:hint="eastAsia" w:hAnsi="宋体"/>
                <w:color w:val="FF0000"/>
                <w:sz w:val="24"/>
                <w:szCs w:val="24"/>
                <w:highlight w:val="none"/>
                <w:u w:val="single"/>
                <w:lang w:eastAsia="zh-CN"/>
              </w:rPr>
              <w:t>因此</w:t>
            </w:r>
            <w:r>
              <w:rPr>
                <w:rFonts w:hint="eastAsia" w:hAnsi="宋体"/>
                <w:color w:val="FF0000"/>
                <w:sz w:val="24"/>
                <w:szCs w:val="24"/>
                <w:highlight w:val="none"/>
                <w:u w:val="single"/>
              </w:rPr>
              <w:t>本项目选取硫化亚铁、硫酸亚铁作为修复药剂进行了药剂筛选实验</w:t>
            </w:r>
            <w:r>
              <w:rPr>
                <w:rFonts w:hint="eastAsia" w:hAnsi="宋体"/>
                <w:color w:val="FF0000"/>
                <w:sz w:val="24"/>
                <w:szCs w:val="24"/>
                <w:highlight w:val="none"/>
                <w:u w:val="single"/>
                <w:lang w:eastAsia="zh-CN"/>
              </w:rPr>
              <w:t>，试验结果如下表所示：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b/>
                <w:bCs/>
                <w:color w:val="FF0000"/>
                <w:u w:val="single"/>
                <w:lang w:eastAsia="zh-CN"/>
              </w:rPr>
            </w:pPr>
            <w:r>
              <w:rPr>
                <w:rFonts w:hint="eastAsia" w:hAnsi="宋体"/>
                <w:b/>
                <w:bCs/>
                <w:color w:val="FF0000"/>
                <w:u w:val="single"/>
                <w:lang w:eastAsia="zh-CN"/>
              </w:rPr>
              <w:t>表</w:t>
            </w:r>
            <w:r>
              <w:rPr>
                <w:rFonts w:hint="eastAsia" w:hAnsi="宋体"/>
                <w:b/>
                <w:bCs/>
                <w:color w:val="FF0000"/>
                <w:u w:val="single"/>
                <w:lang w:val="en-US" w:eastAsia="zh-CN"/>
              </w:rPr>
              <w:t>41  药剂筛选实验结果</w:t>
            </w:r>
          </w:p>
          <w:tbl>
            <w:tblPr>
              <w:tblStyle w:val="31"/>
              <w:tblW w:w="907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4"/>
              <w:gridCol w:w="1814"/>
              <w:gridCol w:w="1814"/>
              <w:gridCol w:w="1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序号</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处理样品</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药剂</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检测指标</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检出值（</w:t>
                  </w:r>
                  <w:r>
                    <w:rPr>
                      <w:rFonts w:hint="eastAsia" w:hAnsi="宋体"/>
                      <w:color w:val="FF0000"/>
                      <w:sz w:val="24"/>
                      <w:szCs w:val="24"/>
                      <w:highlight w:val="none"/>
                      <w:u w:val="single"/>
                      <w:vertAlign w:val="baseline"/>
                      <w:lang w:val="en-US" w:eastAsia="zh-CN"/>
                    </w:rPr>
                    <w:t>mg/kg</w:t>
                  </w:r>
                  <w:r>
                    <w:rPr>
                      <w:rFonts w:hint="eastAsia" w:hAnsi="宋体"/>
                      <w:color w:val="FF0000"/>
                      <w:sz w:val="24"/>
                      <w:szCs w:val="24"/>
                      <w:highlight w:val="none"/>
                      <w:u w:val="single"/>
                      <w:vertAlign w:val="baseli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1</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样品</w:t>
                  </w:r>
                  <w:r>
                    <w:rPr>
                      <w:rFonts w:hint="eastAsia" w:hAnsi="宋体"/>
                      <w:color w:val="FF0000"/>
                      <w:sz w:val="24"/>
                      <w:szCs w:val="24"/>
                      <w:highlight w:val="none"/>
                      <w:u w:val="single"/>
                      <w:vertAlign w:val="baseline"/>
                      <w:lang w:val="en-US" w:eastAsia="zh-CN"/>
                    </w:rPr>
                    <w:t>1</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硫酸亚铁</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六六六</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滴滴涕</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2</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样品</w:t>
                  </w:r>
                  <w:r>
                    <w:rPr>
                      <w:rFonts w:hint="eastAsia" w:hAnsi="宋体"/>
                      <w:color w:val="FF0000"/>
                      <w:sz w:val="24"/>
                      <w:szCs w:val="24"/>
                      <w:highlight w:val="none"/>
                      <w:u w:val="single"/>
                      <w:vertAlign w:val="baseline"/>
                      <w:lang w:val="en-US" w:eastAsia="zh-CN"/>
                    </w:rPr>
                    <w:t>2</w:t>
                  </w:r>
                </w:p>
              </w:tc>
              <w:tc>
                <w:tcPr>
                  <w:tcW w:w="1814"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eastAsia" w:hAnsi="宋体"/>
                      <w:color w:val="FF0000"/>
                      <w:sz w:val="24"/>
                      <w:szCs w:val="24"/>
                      <w:highlight w:val="none"/>
                      <w:u w:val="single"/>
                      <w:vertAlign w:val="baseline"/>
                      <w:lang w:eastAsia="zh-CN"/>
                    </w:rPr>
                    <w:t>硫酸亚铁</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六六六</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滴滴涕</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3</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样品</w:t>
                  </w:r>
                  <w:r>
                    <w:rPr>
                      <w:rFonts w:hint="eastAsia" w:hAnsi="宋体"/>
                      <w:color w:val="FF0000"/>
                      <w:sz w:val="24"/>
                      <w:szCs w:val="24"/>
                      <w:highlight w:val="none"/>
                      <w:u w:val="single"/>
                      <w:vertAlign w:val="baseline"/>
                      <w:lang w:val="en-US" w:eastAsia="zh-CN"/>
                    </w:rPr>
                    <w:t>3</w:t>
                  </w:r>
                </w:p>
              </w:tc>
              <w:tc>
                <w:tcPr>
                  <w:tcW w:w="1814"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硫酸亚铁</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六六六</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滴滴涕</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4</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样品</w:t>
                  </w:r>
                  <w:r>
                    <w:rPr>
                      <w:rFonts w:hint="eastAsia" w:hAnsi="宋体"/>
                      <w:color w:val="FF0000"/>
                      <w:sz w:val="24"/>
                      <w:szCs w:val="24"/>
                      <w:highlight w:val="none"/>
                      <w:u w:val="single"/>
                      <w:vertAlign w:val="baseline"/>
                      <w:lang w:val="en-US" w:eastAsia="zh-CN"/>
                    </w:rPr>
                    <w:t>1</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硫化亚铁</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六六六</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滴滴涕</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5</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样品</w:t>
                  </w:r>
                  <w:r>
                    <w:rPr>
                      <w:rFonts w:hint="eastAsia" w:hAnsi="宋体"/>
                      <w:color w:val="FF0000"/>
                      <w:sz w:val="24"/>
                      <w:szCs w:val="24"/>
                      <w:highlight w:val="none"/>
                      <w:u w:val="single"/>
                      <w:vertAlign w:val="baseline"/>
                      <w:lang w:val="en-US" w:eastAsia="zh-CN"/>
                    </w:rPr>
                    <w:t>2</w:t>
                  </w:r>
                </w:p>
              </w:tc>
              <w:tc>
                <w:tcPr>
                  <w:tcW w:w="1814"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eastAsia" w:hAnsi="宋体"/>
                      <w:color w:val="FF0000"/>
                      <w:sz w:val="24"/>
                      <w:szCs w:val="24"/>
                      <w:highlight w:val="none"/>
                      <w:u w:val="single"/>
                      <w:vertAlign w:val="baseline"/>
                      <w:lang w:eastAsia="zh-CN"/>
                    </w:rPr>
                    <w:t>硫化亚铁</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六六六</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滴滴涕</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6</w:t>
                  </w:r>
                </w:p>
              </w:tc>
              <w:tc>
                <w:tcPr>
                  <w:tcW w:w="1814" w:type="dxa"/>
                  <w:vMerge w:val="restart"/>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样品</w:t>
                  </w:r>
                  <w:r>
                    <w:rPr>
                      <w:rFonts w:hint="eastAsia" w:hAnsi="宋体"/>
                      <w:color w:val="FF0000"/>
                      <w:sz w:val="24"/>
                      <w:szCs w:val="24"/>
                      <w:highlight w:val="none"/>
                      <w:u w:val="single"/>
                      <w:vertAlign w:val="baseline"/>
                      <w:lang w:val="en-US" w:eastAsia="zh-CN"/>
                    </w:rPr>
                    <w:t>3</w:t>
                  </w:r>
                </w:p>
              </w:tc>
              <w:tc>
                <w:tcPr>
                  <w:tcW w:w="1814"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硫化亚铁</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六六六</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vMerge w:val="continue"/>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eastAsia="zh-CN"/>
                    </w:rPr>
                  </w:pPr>
                  <w:r>
                    <w:rPr>
                      <w:rFonts w:hint="eastAsia" w:hAnsi="宋体"/>
                      <w:color w:val="FF0000"/>
                      <w:sz w:val="24"/>
                      <w:szCs w:val="24"/>
                      <w:highlight w:val="none"/>
                      <w:u w:val="single"/>
                      <w:vertAlign w:val="baseline"/>
                      <w:lang w:eastAsia="zh-CN"/>
                    </w:rPr>
                    <w:t>滴滴涕</w:t>
                  </w:r>
                </w:p>
              </w:tc>
              <w:tc>
                <w:tcPr>
                  <w:tcW w:w="1814" w:type="dxa"/>
                  <w:tcBorders>
                    <w:tl2br w:val="nil"/>
                    <w:tr2bl w:val="nil"/>
                  </w:tcBorders>
                  <w:vAlign w:val="center"/>
                </w:tcPr>
                <w:p>
                  <w:pPr>
                    <w:pStyle w:val="2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color w:val="FF0000"/>
                      <w:sz w:val="24"/>
                      <w:szCs w:val="24"/>
                      <w:highlight w:val="none"/>
                      <w:u w:val="single"/>
                      <w:vertAlign w:val="baseline"/>
                      <w:lang w:val="en-US" w:eastAsia="zh-CN"/>
                    </w:rPr>
                  </w:pPr>
                  <w:r>
                    <w:rPr>
                      <w:rFonts w:hint="eastAsia" w:hAnsi="宋体"/>
                      <w:color w:val="FF0000"/>
                      <w:sz w:val="24"/>
                      <w:szCs w:val="24"/>
                      <w:highlight w:val="none"/>
                      <w:u w:val="single"/>
                      <w:vertAlign w:val="baseline"/>
                      <w:lang w:val="en-US" w:eastAsia="zh-CN"/>
                    </w:rPr>
                    <w:t>1.05</w:t>
                  </w:r>
                </w:p>
              </w:tc>
            </w:tr>
          </w:tbl>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color w:val="FF0000"/>
                <w:sz w:val="24"/>
                <w:szCs w:val="24"/>
                <w:highlight w:val="none"/>
                <w:u w:val="single"/>
              </w:rPr>
            </w:pPr>
            <w:r>
              <w:rPr>
                <w:rFonts w:hint="eastAsia" w:hAnsi="宋体"/>
                <w:color w:val="FF0000"/>
                <w:sz w:val="24"/>
                <w:szCs w:val="24"/>
                <w:highlight w:val="none"/>
                <w:u w:val="single"/>
              </w:rPr>
              <w:t>根据</w:t>
            </w:r>
            <w:r>
              <w:rPr>
                <w:rFonts w:hint="eastAsia" w:hAnsi="宋体"/>
                <w:color w:val="FF0000"/>
                <w:sz w:val="24"/>
                <w:szCs w:val="24"/>
                <w:highlight w:val="none"/>
                <w:u w:val="single"/>
                <w:lang w:eastAsia="zh-CN"/>
              </w:rPr>
              <w:t>上表</w:t>
            </w:r>
            <w:r>
              <w:rPr>
                <w:rFonts w:hint="eastAsia" w:hAnsi="宋体"/>
                <w:color w:val="FF0000"/>
                <w:sz w:val="24"/>
                <w:szCs w:val="24"/>
                <w:highlight w:val="none"/>
                <w:u w:val="single"/>
              </w:rPr>
              <w:t>实验结果</w:t>
            </w:r>
            <w:r>
              <w:rPr>
                <w:rFonts w:hint="eastAsia" w:hAnsi="宋体"/>
                <w:color w:val="FF0000"/>
                <w:sz w:val="24"/>
                <w:szCs w:val="24"/>
                <w:highlight w:val="none"/>
                <w:u w:val="single"/>
                <w:lang w:eastAsia="zh-CN"/>
              </w:rPr>
              <w:t>，</w:t>
            </w:r>
            <w:r>
              <w:rPr>
                <w:rFonts w:hint="eastAsia" w:hAnsi="宋体"/>
                <w:color w:val="FF0000"/>
                <w:sz w:val="24"/>
                <w:szCs w:val="24"/>
                <w:highlight w:val="none"/>
                <w:u w:val="single"/>
              </w:rPr>
              <w:t>硫酸亚铁分解六六六及滴滴涕的能力明显强于硫化亚铁，且硫化亚铁在反应过程中易生成硫化氢等恶臭气体，故本次采用硫酸亚铁作为土壤修复药剂。</w:t>
            </w:r>
          </w:p>
          <w:p>
            <w:pPr>
              <w:pStyle w:val="2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b/>
                <w:color w:val="FF0000"/>
                <w:sz w:val="24"/>
                <w:szCs w:val="24"/>
                <w:lang w:eastAsia="zh-CN"/>
              </w:rPr>
            </w:pPr>
            <w:r>
              <w:rPr>
                <w:rFonts w:hint="eastAsia" w:hAnsi="宋体"/>
                <w:color w:val="FF0000"/>
                <w:sz w:val="24"/>
                <w:szCs w:val="24"/>
                <w:highlight w:val="none"/>
                <w:u w:val="single"/>
                <w:lang w:eastAsia="zh-CN"/>
              </w:rPr>
              <w:t>综上所述，本项目使用的修复工艺及采用硫酸亚铁作为主要修复药剂是合理可行的。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jc w:val="both"/>
              <w:textAlignment w:val="auto"/>
              <w:outlineLvl w:val="9"/>
              <w:rPr>
                <w:b/>
                <w:color w:val="auto"/>
                <w:sz w:val="24"/>
                <w:szCs w:val="24"/>
              </w:rPr>
            </w:pPr>
            <w:r>
              <w:rPr>
                <w:rFonts w:hAnsi="宋体"/>
                <w:b/>
                <w:color w:val="auto"/>
                <w:sz w:val="24"/>
                <w:szCs w:val="24"/>
              </w:rPr>
              <w:t>十</w:t>
            </w:r>
            <w:r>
              <w:rPr>
                <w:rFonts w:hint="eastAsia" w:hAnsi="宋体"/>
                <w:b/>
                <w:color w:val="auto"/>
                <w:sz w:val="24"/>
                <w:szCs w:val="24"/>
                <w:lang w:eastAsia="zh-CN"/>
              </w:rPr>
              <w:t>二、</w:t>
            </w:r>
            <w:r>
              <w:rPr>
                <w:rFonts w:hAnsi="宋体"/>
                <w:b/>
                <w:color w:val="auto"/>
                <w:sz w:val="24"/>
                <w:szCs w:val="24"/>
              </w:rPr>
              <w:t>环保投资估算及竣工环保验收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bCs/>
                <w:color w:val="auto"/>
                <w:sz w:val="24"/>
                <w:szCs w:val="24"/>
              </w:rPr>
            </w:pPr>
            <w:r>
              <w:rPr>
                <w:rFonts w:hAnsi="宋体"/>
                <w:bCs/>
                <w:color w:val="auto"/>
                <w:sz w:val="24"/>
                <w:szCs w:val="24"/>
              </w:rPr>
              <w:t>项目总投资</w:t>
            </w:r>
            <w:r>
              <w:rPr>
                <w:bCs/>
                <w:color w:val="auto"/>
                <w:sz w:val="24"/>
                <w:szCs w:val="24"/>
              </w:rPr>
              <w:t>2600</w:t>
            </w:r>
            <w:r>
              <w:rPr>
                <w:rFonts w:hAnsi="宋体"/>
                <w:bCs/>
                <w:color w:val="auto"/>
                <w:sz w:val="24"/>
                <w:szCs w:val="24"/>
              </w:rPr>
              <w:t>万元，其中环保总投资为</w:t>
            </w:r>
            <w:r>
              <w:rPr>
                <w:rFonts w:hint="eastAsia"/>
                <w:bCs/>
                <w:color w:val="auto"/>
                <w:sz w:val="24"/>
                <w:szCs w:val="24"/>
              </w:rPr>
              <w:t>100</w:t>
            </w:r>
            <w:r>
              <w:rPr>
                <w:rFonts w:hAnsi="宋体"/>
                <w:bCs/>
                <w:color w:val="auto"/>
                <w:sz w:val="24"/>
                <w:szCs w:val="24"/>
              </w:rPr>
              <w:t>万元，占总投资的</w:t>
            </w:r>
            <w:r>
              <w:rPr>
                <w:rFonts w:hint="eastAsia"/>
                <w:bCs/>
                <w:color w:val="auto"/>
                <w:sz w:val="24"/>
                <w:szCs w:val="24"/>
              </w:rPr>
              <w:t>3.85</w:t>
            </w:r>
            <w:r>
              <w:rPr>
                <w:bCs/>
                <w:color w:val="auto"/>
                <w:sz w:val="24"/>
                <w:szCs w:val="24"/>
              </w:rPr>
              <w:t>%</w:t>
            </w:r>
            <w:r>
              <w:rPr>
                <w:rFonts w:hAnsi="宋体"/>
                <w:bCs/>
                <w:color w:val="auto"/>
                <w:sz w:val="24"/>
                <w:szCs w:val="24"/>
              </w:rPr>
              <w:t>。项目各环保措施的环保投资估算及施工期环保验收内容见下表。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Ansi="宋体"/>
                <w:b/>
                <w:bCs/>
                <w:color w:val="auto"/>
                <w:u w:val="single"/>
              </w:rPr>
            </w:pPr>
            <w:r>
              <w:rPr>
                <w:rFonts w:hAnsi="宋体"/>
                <w:b/>
                <w:bCs/>
                <w:color w:val="auto"/>
                <w:u w:val="single"/>
              </w:rPr>
              <w:t>表</w:t>
            </w:r>
            <w:r>
              <w:rPr>
                <w:rFonts w:hint="eastAsia" w:hAnsi="宋体"/>
                <w:b/>
                <w:bCs/>
                <w:color w:val="auto"/>
                <w:u w:val="single"/>
                <w:lang w:val="en-US" w:eastAsia="zh-CN"/>
              </w:rPr>
              <w:t xml:space="preserve">42  </w:t>
            </w:r>
            <w:r>
              <w:rPr>
                <w:rFonts w:hAnsi="宋体"/>
                <w:b/>
                <w:bCs/>
                <w:color w:val="auto"/>
                <w:u w:val="single"/>
              </w:rPr>
              <w:t>环保投资估算及竣工环保验收内容</w:t>
            </w:r>
          </w:p>
          <w:tbl>
            <w:tblPr>
              <w:tblStyle w:val="30"/>
              <w:tblW w:w="90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7"/>
              <w:gridCol w:w="957"/>
              <w:gridCol w:w="3428"/>
              <w:gridCol w:w="899"/>
              <w:gridCol w:w="6"/>
              <w:gridCol w:w="3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94" w:type="dxa"/>
                  <w:gridSpan w:val="2"/>
                  <w:vAlign w:val="center"/>
                </w:tcPr>
                <w:p>
                  <w:pPr>
                    <w:jc w:val="center"/>
                    <w:rPr>
                      <w:color w:val="auto"/>
                      <w:sz w:val="21"/>
                      <w:szCs w:val="21"/>
                      <w:u w:val="single"/>
                    </w:rPr>
                  </w:pPr>
                  <w:r>
                    <w:rPr>
                      <w:rFonts w:hAnsi="宋体"/>
                      <w:color w:val="auto"/>
                      <w:sz w:val="21"/>
                      <w:szCs w:val="21"/>
                      <w:u w:val="single"/>
                    </w:rPr>
                    <w:t>项目</w:t>
                  </w:r>
                </w:p>
              </w:tc>
              <w:tc>
                <w:tcPr>
                  <w:tcW w:w="3428" w:type="dxa"/>
                  <w:vAlign w:val="center"/>
                </w:tcPr>
                <w:p>
                  <w:pPr>
                    <w:jc w:val="center"/>
                    <w:rPr>
                      <w:color w:val="auto"/>
                      <w:sz w:val="21"/>
                      <w:szCs w:val="21"/>
                      <w:u w:val="single"/>
                    </w:rPr>
                  </w:pPr>
                  <w:r>
                    <w:rPr>
                      <w:rFonts w:hAnsi="宋体"/>
                      <w:color w:val="auto"/>
                      <w:sz w:val="21"/>
                      <w:szCs w:val="21"/>
                      <w:u w:val="single"/>
                    </w:rPr>
                    <w:t>治理措施</w:t>
                  </w:r>
                </w:p>
              </w:tc>
              <w:tc>
                <w:tcPr>
                  <w:tcW w:w="899" w:type="dxa"/>
                  <w:vAlign w:val="center"/>
                </w:tcPr>
                <w:p>
                  <w:pPr>
                    <w:jc w:val="center"/>
                    <w:rPr>
                      <w:color w:val="auto"/>
                      <w:sz w:val="21"/>
                      <w:szCs w:val="21"/>
                      <w:u w:val="single"/>
                    </w:rPr>
                  </w:pPr>
                  <w:r>
                    <w:rPr>
                      <w:rFonts w:hAnsi="宋体"/>
                      <w:color w:val="auto"/>
                      <w:sz w:val="21"/>
                      <w:szCs w:val="21"/>
                      <w:u w:val="single"/>
                    </w:rPr>
                    <w:t>投资（万元）</w:t>
                  </w:r>
                </w:p>
              </w:tc>
              <w:tc>
                <w:tcPr>
                  <w:tcW w:w="3149" w:type="dxa"/>
                  <w:gridSpan w:val="2"/>
                  <w:vAlign w:val="center"/>
                </w:tcPr>
                <w:p>
                  <w:pPr>
                    <w:jc w:val="center"/>
                    <w:rPr>
                      <w:color w:val="auto"/>
                      <w:sz w:val="21"/>
                      <w:szCs w:val="21"/>
                      <w:u w:val="single"/>
                    </w:rPr>
                  </w:pPr>
                  <w:r>
                    <w:rPr>
                      <w:rFonts w:hAnsi="宋体"/>
                      <w:color w:val="auto"/>
                      <w:sz w:val="21"/>
                      <w:szCs w:val="21"/>
                      <w:u w:val="single"/>
                    </w:rP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37" w:type="dxa"/>
                  <w:vMerge w:val="restart"/>
                  <w:vAlign w:val="center"/>
                </w:tcPr>
                <w:p>
                  <w:pPr>
                    <w:jc w:val="center"/>
                    <w:rPr>
                      <w:color w:val="auto"/>
                      <w:sz w:val="21"/>
                      <w:szCs w:val="21"/>
                      <w:u w:val="single"/>
                    </w:rPr>
                  </w:pPr>
                  <w:r>
                    <w:rPr>
                      <w:rFonts w:hAnsi="宋体"/>
                      <w:color w:val="auto"/>
                      <w:sz w:val="21"/>
                      <w:szCs w:val="21"/>
                      <w:u w:val="single"/>
                    </w:rPr>
                    <w:t>废气</w:t>
                  </w:r>
                </w:p>
              </w:tc>
              <w:tc>
                <w:tcPr>
                  <w:tcW w:w="957" w:type="dxa"/>
                  <w:vMerge w:val="restart"/>
                  <w:vAlign w:val="center"/>
                </w:tcPr>
                <w:p>
                  <w:pPr>
                    <w:jc w:val="center"/>
                    <w:rPr>
                      <w:color w:val="auto"/>
                      <w:sz w:val="21"/>
                      <w:szCs w:val="21"/>
                      <w:u w:val="single"/>
                    </w:rPr>
                  </w:pPr>
                  <w:r>
                    <w:rPr>
                      <w:rFonts w:hAnsi="宋体"/>
                      <w:color w:val="auto"/>
                      <w:sz w:val="21"/>
                      <w:szCs w:val="21"/>
                      <w:u w:val="single"/>
                    </w:rPr>
                    <w:t>扬尘</w:t>
                  </w:r>
                </w:p>
              </w:tc>
              <w:tc>
                <w:tcPr>
                  <w:tcW w:w="3428" w:type="dxa"/>
                  <w:vAlign w:val="center"/>
                </w:tcPr>
                <w:p>
                  <w:pPr>
                    <w:jc w:val="center"/>
                    <w:rPr>
                      <w:color w:val="auto"/>
                      <w:sz w:val="21"/>
                      <w:szCs w:val="21"/>
                      <w:u w:val="single"/>
                    </w:rPr>
                  </w:pPr>
                  <w:r>
                    <w:rPr>
                      <w:rFonts w:hAnsi="宋体"/>
                      <w:color w:val="auto"/>
                      <w:sz w:val="21"/>
                      <w:szCs w:val="21"/>
                      <w:u w:val="single"/>
                    </w:rPr>
                    <w:t>洒水抑尘，包括回用水池、水泵、管网等</w:t>
                  </w:r>
                </w:p>
              </w:tc>
              <w:tc>
                <w:tcPr>
                  <w:tcW w:w="899" w:type="dxa"/>
                  <w:vAlign w:val="center"/>
                </w:tcPr>
                <w:p>
                  <w:pPr>
                    <w:jc w:val="center"/>
                    <w:rPr>
                      <w:color w:val="auto"/>
                      <w:sz w:val="21"/>
                      <w:szCs w:val="21"/>
                      <w:u w:val="single"/>
                    </w:rPr>
                  </w:pPr>
                  <w:r>
                    <w:rPr>
                      <w:color w:val="auto"/>
                      <w:sz w:val="21"/>
                      <w:szCs w:val="21"/>
                      <w:u w:val="single"/>
                    </w:rPr>
                    <w:t>5</w:t>
                  </w:r>
                </w:p>
              </w:tc>
              <w:tc>
                <w:tcPr>
                  <w:tcW w:w="3149" w:type="dxa"/>
                  <w:gridSpan w:val="2"/>
                  <w:vMerge w:val="restart"/>
                  <w:vAlign w:val="center"/>
                </w:tcPr>
                <w:p>
                  <w:pPr>
                    <w:jc w:val="center"/>
                    <w:rPr>
                      <w:color w:val="auto"/>
                      <w:sz w:val="21"/>
                      <w:szCs w:val="21"/>
                      <w:u w:val="single"/>
                    </w:rPr>
                  </w:pPr>
                  <w:r>
                    <w:rPr>
                      <w:rFonts w:hAnsi="宋体"/>
                      <w:color w:val="auto"/>
                      <w:sz w:val="21"/>
                      <w:szCs w:val="21"/>
                      <w:u w:val="single"/>
                    </w:rPr>
                    <w:t>《大气污染物综合排放标准》</w:t>
                  </w:r>
                  <w:r>
                    <w:rPr>
                      <w:color w:val="auto"/>
                      <w:sz w:val="21"/>
                      <w:szCs w:val="21"/>
                      <w:u w:val="single"/>
                    </w:rPr>
                    <w:t>(GB16297-1996)</w:t>
                  </w:r>
                  <w:r>
                    <w:rPr>
                      <w:rFonts w:hAnsi="宋体"/>
                      <w:color w:val="auto"/>
                      <w:sz w:val="21"/>
                      <w:szCs w:val="21"/>
                      <w:u w:val="single"/>
                    </w:rPr>
                    <w:t>表</w:t>
                  </w:r>
                  <w:r>
                    <w:rPr>
                      <w:color w:val="auto"/>
                      <w:sz w:val="21"/>
                      <w:szCs w:val="21"/>
                      <w:u w:val="single"/>
                    </w:rPr>
                    <w:t>2</w:t>
                  </w:r>
                  <w:r>
                    <w:rPr>
                      <w:rFonts w:hAnsi="宋体"/>
                      <w:color w:val="auto"/>
                      <w:sz w:val="21"/>
                      <w:szCs w:val="21"/>
                      <w:u w:val="single"/>
                    </w:rPr>
                    <w:t>无组织监控点标准值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37" w:type="dxa"/>
                  <w:vMerge w:val="continue"/>
                  <w:vAlign w:val="center"/>
                </w:tcPr>
                <w:p>
                  <w:pPr>
                    <w:jc w:val="center"/>
                    <w:rPr>
                      <w:color w:val="auto"/>
                      <w:sz w:val="21"/>
                      <w:szCs w:val="21"/>
                      <w:u w:val="single"/>
                    </w:rPr>
                  </w:pPr>
                </w:p>
              </w:tc>
              <w:tc>
                <w:tcPr>
                  <w:tcW w:w="957" w:type="dxa"/>
                  <w:vMerge w:val="continue"/>
                  <w:vAlign w:val="center"/>
                </w:tcPr>
                <w:p>
                  <w:pPr>
                    <w:jc w:val="center"/>
                    <w:rPr>
                      <w:color w:val="auto"/>
                      <w:sz w:val="21"/>
                      <w:szCs w:val="21"/>
                      <w:u w:val="single"/>
                    </w:rPr>
                  </w:pPr>
                </w:p>
              </w:tc>
              <w:tc>
                <w:tcPr>
                  <w:tcW w:w="3428" w:type="dxa"/>
                  <w:vAlign w:val="center"/>
                </w:tcPr>
                <w:p>
                  <w:pPr>
                    <w:jc w:val="center"/>
                    <w:rPr>
                      <w:color w:val="auto"/>
                      <w:sz w:val="21"/>
                      <w:szCs w:val="21"/>
                      <w:u w:val="single"/>
                    </w:rPr>
                  </w:pPr>
                  <w:r>
                    <w:rPr>
                      <w:rFonts w:hAnsi="宋体"/>
                      <w:color w:val="auto"/>
                      <w:sz w:val="21"/>
                      <w:szCs w:val="21"/>
                      <w:u w:val="single"/>
                    </w:rPr>
                    <w:t>设置挡风墙、防尘网、防尘布</w:t>
                  </w:r>
                </w:p>
              </w:tc>
              <w:tc>
                <w:tcPr>
                  <w:tcW w:w="899" w:type="dxa"/>
                  <w:vAlign w:val="center"/>
                </w:tcPr>
                <w:p>
                  <w:pPr>
                    <w:jc w:val="center"/>
                    <w:rPr>
                      <w:color w:val="auto"/>
                      <w:sz w:val="21"/>
                      <w:szCs w:val="21"/>
                      <w:u w:val="single"/>
                    </w:rPr>
                  </w:pPr>
                  <w:r>
                    <w:rPr>
                      <w:color w:val="auto"/>
                      <w:sz w:val="21"/>
                      <w:szCs w:val="21"/>
                      <w:u w:val="single"/>
                    </w:rPr>
                    <w:t>5</w:t>
                  </w:r>
                </w:p>
              </w:tc>
              <w:tc>
                <w:tcPr>
                  <w:tcW w:w="3149" w:type="dxa"/>
                  <w:gridSpan w:val="2"/>
                  <w:vMerge w:val="continue"/>
                  <w:vAlign w:val="center"/>
                </w:tcPr>
                <w:p>
                  <w:pPr>
                    <w:jc w:val="center"/>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37" w:type="dxa"/>
                  <w:vMerge w:val="continue"/>
                  <w:vAlign w:val="center"/>
                </w:tcPr>
                <w:p>
                  <w:pPr>
                    <w:jc w:val="center"/>
                    <w:rPr>
                      <w:color w:val="auto"/>
                      <w:sz w:val="21"/>
                      <w:szCs w:val="21"/>
                      <w:u w:val="single"/>
                    </w:rPr>
                  </w:pPr>
                </w:p>
              </w:tc>
              <w:tc>
                <w:tcPr>
                  <w:tcW w:w="957" w:type="dxa"/>
                  <w:vMerge w:val="continue"/>
                  <w:vAlign w:val="center"/>
                </w:tcPr>
                <w:p>
                  <w:pPr>
                    <w:jc w:val="center"/>
                    <w:rPr>
                      <w:color w:val="auto"/>
                      <w:sz w:val="21"/>
                      <w:szCs w:val="21"/>
                      <w:u w:val="single"/>
                    </w:rPr>
                  </w:pPr>
                </w:p>
              </w:tc>
              <w:tc>
                <w:tcPr>
                  <w:tcW w:w="3428" w:type="dxa"/>
                  <w:vAlign w:val="center"/>
                </w:tcPr>
                <w:p>
                  <w:pPr>
                    <w:jc w:val="center"/>
                    <w:rPr>
                      <w:color w:val="auto"/>
                      <w:sz w:val="21"/>
                      <w:szCs w:val="21"/>
                      <w:u w:val="single"/>
                    </w:rPr>
                  </w:pPr>
                  <w:r>
                    <w:rPr>
                      <w:rFonts w:hAnsi="宋体"/>
                      <w:color w:val="auto"/>
                      <w:sz w:val="21"/>
                      <w:szCs w:val="21"/>
                      <w:u w:val="single"/>
                    </w:rPr>
                    <w:t>渣土运输车辆清洗平台、遮盖、封闭措施</w:t>
                  </w:r>
                </w:p>
              </w:tc>
              <w:tc>
                <w:tcPr>
                  <w:tcW w:w="899" w:type="dxa"/>
                  <w:vAlign w:val="center"/>
                </w:tcPr>
                <w:p>
                  <w:pPr>
                    <w:jc w:val="center"/>
                    <w:rPr>
                      <w:color w:val="auto"/>
                      <w:sz w:val="21"/>
                      <w:szCs w:val="21"/>
                      <w:u w:val="single"/>
                    </w:rPr>
                  </w:pPr>
                  <w:r>
                    <w:rPr>
                      <w:color w:val="auto"/>
                      <w:sz w:val="21"/>
                      <w:szCs w:val="21"/>
                      <w:u w:val="single"/>
                    </w:rPr>
                    <w:t>3</w:t>
                  </w:r>
                </w:p>
              </w:tc>
              <w:tc>
                <w:tcPr>
                  <w:tcW w:w="3149" w:type="dxa"/>
                  <w:gridSpan w:val="2"/>
                  <w:vMerge w:val="continue"/>
                  <w:vAlign w:val="center"/>
                </w:tcPr>
                <w:p>
                  <w:pPr>
                    <w:jc w:val="center"/>
                    <w:rPr>
                      <w:color w:val="auto"/>
                      <w:sz w:val="21"/>
                      <w:szCs w:val="21"/>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37" w:type="dxa"/>
                  <w:vMerge w:val="continue"/>
                  <w:vAlign w:val="center"/>
                </w:tcPr>
                <w:p>
                  <w:pPr>
                    <w:jc w:val="center"/>
                    <w:rPr>
                      <w:color w:val="auto"/>
                      <w:sz w:val="21"/>
                      <w:szCs w:val="21"/>
                      <w:u w:val="single"/>
                    </w:rPr>
                  </w:pPr>
                </w:p>
              </w:tc>
              <w:tc>
                <w:tcPr>
                  <w:tcW w:w="957" w:type="dxa"/>
                  <w:vAlign w:val="center"/>
                </w:tcPr>
                <w:p>
                  <w:pPr>
                    <w:jc w:val="center"/>
                    <w:rPr>
                      <w:color w:val="auto"/>
                      <w:sz w:val="21"/>
                      <w:szCs w:val="21"/>
                      <w:u w:val="single"/>
                    </w:rPr>
                  </w:pPr>
                  <w:r>
                    <w:rPr>
                      <w:rFonts w:hint="eastAsia"/>
                      <w:color w:val="auto"/>
                      <w:sz w:val="21"/>
                      <w:szCs w:val="21"/>
                      <w:u w:val="single"/>
                    </w:rPr>
                    <w:t>处置大棚有机废气</w:t>
                  </w:r>
                </w:p>
              </w:tc>
              <w:tc>
                <w:tcPr>
                  <w:tcW w:w="3428" w:type="dxa"/>
                  <w:vAlign w:val="center"/>
                </w:tcPr>
                <w:p>
                  <w:pPr>
                    <w:jc w:val="center"/>
                    <w:rPr>
                      <w:rFonts w:hAnsi="宋体"/>
                      <w:color w:val="auto"/>
                      <w:sz w:val="21"/>
                      <w:szCs w:val="21"/>
                      <w:u w:val="single"/>
                    </w:rPr>
                  </w:pPr>
                  <w:r>
                    <w:rPr>
                      <w:rFonts w:hint="eastAsia" w:hAnsi="宋体"/>
                      <w:color w:val="auto"/>
                      <w:sz w:val="21"/>
                      <w:szCs w:val="21"/>
                      <w:u w:val="single"/>
                    </w:rPr>
                    <w:t>循环系统，除尘器+活性炭吸附（5000m</w:t>
                  </w:r>
                  <w:r>
                    <w:rPr>
                      <w:rFonts w:hint="eastAsia" w:hAnsi="宋体"/>
                      <w:color w:val="auto"/>
                      <w:sz w:val="21"/>
                      <w:szCs w:val="21"/>
                      <w:u w:val="single"/>
                      <w:vertAlign w:val="superscript"/>
                    </w:rPr>
                    <w:t>3</w:t>
                  </w:r>
                  <w:r>
                    <w:rPr>
                      <w:rFonts w:hint="eastAsia" w:hAnsi="宋体"/>
                      <w:color w:val="auto"/>
                      <w:sz w:val="21"/>
                      <w:szCs w:val="21"/>
                      <w:u w:val="single"/>
                    </w:rPr>
                    <w:t>/h）</w:t>
                  </w:r>
                </w:p>
              </w:tc>
              <w:tc>
                <w:tcPr>
                  <w:tcW w:w="899" w:type="dxa"/>
                  <w:vAlign w:val="center"/>
                </w:tcPr>
                <w:p>
                  <w:pPr>
                    <w:jc w:val="center"/>
                    <w:rPr>
                      <w:color w:val="auto"/>
                      <w:sz w:val="21"/>
                      <w:szCs w:val="21"/>
                      <w:u w:val="single"/>
                    </w:rPr>
                  </w:pPr>
                  <w:r>
                    <w:rPr>
                      <w:rFonts w:hint="eastAsia"/>
                      <w:color w:val="auto"/>
                      <w:sz w:val="21"/>
                      <w:szCs w:val="21"/>
                      <w:u w:val="single"/>
                    </w:rPr>
                    <w:t>10</w:t>
                  </w:r>
                </w:p>
              </w:tc>
              <w:tc>
                <w:tcPr>
                  <w:tcW w:w="3149" w:type="dxa"/>
                  <w:gridSpan w:val="2"/>
                  <w:vAlign w:val="center"/>
                </w:tcPr>
                <w:p>
                  <w:pPr>
                    <w:jc w:val="center"/>
                    <w:rPr>
                      <w:rFonts w:hAnsi="宋体"/>
                      <w:color w:val="auto"/>
                      <w:sz w:val="21"/>
                      <w:szCs w:val="21"/>
                      <w:u w:val="single"/>
                    </w:rPr>
                  </w:pPr>
                  <w:r>
                    <w:rPr>
                      <w:rFonts w:hint="eastAsia" w:hAnsi="宋体"/>
                      <w:color w:val="auto"/>
                      <w:sz w:val="21"/>
                      <w:szCs w:val="21"/>
                      <w:u w:val="single"/>
                    </w:rPr>
                    <w:t>粉尘执行</w:t>
                  </w:r>
                  <w:r>
                    <w:rPr>
                      <w:rFonts w:hAnsi="宋体"/>
                      <w:color w:val="auto"/>
                      <w:sz w:val="21"/>
                      <w:szCs w:val="21"/>
                      <w:u w:val="single"/>
                    </w:rPr>
                    <w:t>《大气污染物综合排放标准》(GB16297-1996)表2</w:t>
                  </w:r>
                  <w:r>
                    <w:rPr>
                      <w:rFonts w:hint="eastAsia" w:hAnsi="宋体"/>
                      <w:color w:val="auto"/>
                      <w:sz w:val="21"/>
                      <w:szCs w:val="21"/>
                      <w:u w:val="single"/>
                    </w:rPr>
                    <w:t>有组织标准和厂界无组织标准。</w:t>
                  </w:r>
                </w:p>
                <w:p>
                  <w:pPr>
                    <w:jc w:val="center"/>
                    <w:rPr>
                      <w:rFonts w:hAnsi="宋体"/>
                      <w:color w:val="auto"/>
                      <w:sz w:val="21"/>
                      <w:szCs w:val="21"/>
                      <w:u w:val="single"/>
                    </w:rPr>
                  </w:pPr>
                  <w:r>
                    <w:rPr>
                      <w:color w:val="auto"/>
                      <w:sz w:val="21"/>
                      <w:szCs w:val="21"/>
                    </w:rPr>
                    <w:fldChar w:fldCharType="begin"/>
                  </w:r>
                  <w:r>
                    <w:rPr>
                      <w:color w:val="auto"/>
                      <w:sz w:val="21"/>
                      <w:szCs w:val="21"/>
                    </w:rPr>
                    <w:instrText xml:space="preserve"> HYPERLINK "https://www.baidu.com/link?url=fqyCLL6en6lZGXqY8VyGy0pfQN88VjPnhx-yCGQwWnDsrGnTVbTZsVSutPZUEitw5wCWLfxFYMZXrkg1f9V1Z7aF5rYSxVIR8-5Y6ZmWTwi&amp;wd=&amp;eqid=ed54434d0000cb8a0000000259ef525f" \t "_blank" </w:instrText>
                  </w:r>
                  <w:r>
                    <w:rPr>
                      <w:color w:val="auto"/>
                      <w:sz w:val="21"/>
                      <w:szCs w:val="21"/>
                    </w:rPr>
                    <w:fldChar w:fldCharType="separate"/>
                  </w:r>
                  <w:r>
                    <w:rPr>
                      <w:rFonts w:hint="eastAsia" w:hAnsi="宋体"/>
                      <w:color w:val="auto"/>
                      <w:sz w:val="21"/>
                      <w:szCs w:val="21"/>
                      <w:u w:val="single"/>
                    </w:rPr>
                    <w:t>TVOC执行天津市《</w:t>
                  </w:r>
                  <w:r>
                    <w:rPr>
                      <w:rFonts w:hAnsi="宋体"/>
                      <w:color w:val="auto"/>
                      <w:sz w:val="21"/>
                      <w:szCs w:val="21"/>
                      <w:u w:val="single"/>
                    </w:rPr>
                    <w:t>工业企业挥发性有机物排放控制标准</w:t>
                  </w:r>
                  <w:r>
                    <w:rPr>
                      <w:rFonts w:hint="eastAsia" w:hAnsi="宋体"/>
                      <w:color w:val="auto"/>
                      <w:sz w:val="21"/>
                      <w:szCs w:val="21"/>
                      <w:u w:val="single"/>
                    </w:rPr>
                    <w:t>》</w:t>
                  </w:r>
                  <w:r>
                    <w:rPr>
                      <w:rFonts w:hint="eastAsia" w:hAnsi="宋体"/>
                      <w:color w:val="auto"/>
                      <w:sz w:val="21"/>
                      <w:szCs w:val="21"/>
                      <w:u w:val="single"/>
                    </w:rPr>
                    <w:fldChar w:fldCharType="end"/>
                  </w:r>
                  <w:r>
                    <w:rPr>
                      <w:rFonts w:hint="eastAsia" w:hAnsi="宋体"/>
                      <w:color w:val="auto"/>
                      <w:sz w:val="21"/>
                      <w:szCs w:val="21"/>
                      <w:u w:val="single"/>
                    </w:rPr>
                    <w:t>（</w:t>
                  </w:r>
                  <w:r>
                    <w:rPr>
                      <w:rFonts w:hAnsi="宋体"/>
                      <w:color w:val="auto"/>
                      <w:sz w:val="21"/>
                      <w:szCs w:val="21"/>
                      <w:u w:val="single"/>
                    </w:rPr>
                    <w:t>DB12/524-2014</w:t>
                  </w:r>
                  <w:r>
                    <w:rPr>
                      <w:rFonts w:hint="eastAsia" w:hAnsi="宋体"/>
                      <w:color w:val="auto"/>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637" w:type="dxa"/>
                  <w:vMerge w:val="restart"/>
                  <w:vAlign w:val="center"/>
                </w:tcPr>
                <w:p>
                  <w:pPr>
                    <w:jc w:val="center"/>
                    <w:rPr>
                      <w:color w:val="auto"/>
                      <w:sz w:val="21"/>
                      <w:szCs w:val="21"/>
                      <w:u w:val="single"/>
                    </w:rPr>
                  </w:pPr>
                  <w:r>
                    <w:rPr>
                      <w:rFonts w:hAnsi="宋体"/>
                      <w:color w:val="auto"/>
                      <w:sz w:val="21"/>
                      <w:szCs w:val="21"/>
                      <w:u w:val="single"/>
                    </w:rPr>
                    <w:t>废水</w:t>
                  </w:r>
                </w:p>
              </w:tc>
              <w:tc>
                <w:tcPr>
                  <w:tcW w:w="957" w:type="dxa"/>
                  <w:vAlign w:val="center"/>
                </w:tcPr>
                <w:p>
                  <w:pPr>
                    <w:jc w:val="center"/>
                    <w:rPr>
                      <w:color w:val="auto"/>
                      <w:sz w:val="21"/>
                      <w:szCs w:val="21"/>
                      <w:u w:val="single"/>
                    </w:rPr>
                  </w:pPr>
                  <w:r>
                    <w:rPr>
                      <w:rFonts w:hAnsi="宋体"/>
                      <w:color w:val="auto"/>
                      <w:sz w:val="21"/>
                      <w:szCs w:val="21"/>
                      <w:u w:val="single"/>
                    </w:rPr>
                    <w:t>生活污水</w:t>
                  </w:r>
                </w:p>
              </w:tc>
              <w:tc>
                <w:tcPr>
                  <w:tcW w:w="3428" w:type="dxa"/>
                  <w:vAlign w:val="center"/>
                </w:tcPr>
                <w:p>
                  <w:pPr>
                    <w:jc w:val="center"/>
                    <w:rPr>
                      <w:color w:val="auto"/>
                      <w:sz w:val="21"/>
                      <w:szCs w:val="21"/>
                      <w:u w:val="single"/>
                    </w:rPr>
                  </w:pPr>
                  <w:r>
                    <w:rPr>
                      <w:rFonts w:hAnsi="宋体"/>
                      <w:color w:val="auto"/>
                      <w:sz w:val="21"/>
                      <w:szCs w:val="21"/>
                      <w:u w:val="single"/>
                    </w:rPr>
                    <w:t>隔油隔渣</w:t>
                  </w:r>
                  <w:r>
                    <w:rPr>
                      <w:color w:val="auto"/>
                      <w:sz w:val="21"/>
                      <w:szCs w:val="21"/>
                      <w:u w:val="single"/>
                    </w:rPr>
                    <w:t>+</w:t>
                  </w:r>
                  <w:r>
                    <w:rPr>
                      <w:rFonts w:hAnsi="宋体"/>
                      <w:color w:val="auto"/>
                      <w:sz w:val="21"/>
                      <w:szCs w:val="21"/>
                      <w:u w:val="single"/>
                    </w:rPr>
                    <w:t>化粪池处理后外运作农肥</w:t>
                  </w:r>
                </w:p>
              </w:tc>
              <w:tc>
                <w:tcPr>
                  <w:tcW w:w="899" w:type="dxa"/>
                  <w:vAlign w:val="center"/>
                </w:tcPr>
                <w:p>
                  <w:pPr>
                    <w:jc w:val="center"/>
                    <w:rPr>
                      <w:color w:val="auto"/>
                      <w:sz w:val="21"/>
                      <w:szCs w:val="21"/>
                      <w:u w:val="single"/>
                    </w:rPr>
                  </w:pPr>
                  <w:r>
                    <w:rPr>
                      <w:color w:val="auto"/>
                      <w:sz w:val="21"/>
                      <w:szCs w:val="21"/>
                      <w:u w:val="single"/>
                    </w:rPr>
                    <w:t>10</w:t>
                  </w:r>
                </w:p>
              </w:tc>
              <w:tc>
                <w:tcPr>
                  <w:tcW w:w="3149" w:type="dxa"/>
                  <w:gridSpan w:val="2"/>
                  <w:vAlign w:val="center"/>
                </w:tcPr>
                <w:p>
                  <w:pPr>
                    <w:jc w:val="center"/>
                    <w:rPr>
                      <w:color w:val="auto"/>
                      <w:sz w:val="21"/>
                      <w:szCs w:val="21"/>
                      <w:u w:val="single"/>
                    </w:rPr>
                  </w:pPr>
                  <w:r>
                    <w:rPr>
                      <w:rFonts w:hint="eastAsia" w:hAnsi="宋体"/>
                      <w:color w:val="auto"/>
                      <w:sz w:val="21"/>
                      <w:szCs w:val="21"/>
                      <w:u w:val="singl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37" w:type="dxa"/>
                  <w:vMerge w:val="continue"/>
                  <w:vAlign w:val="center"/>
                </w:tcPr>
                <w:p>
                  <w:pPr>
                    <w:jc w:val="center"/>
                    <w:rPr>
                      <w:color w:val="auto"/>
                      <w:sz w:val="21"/>
                      <w:szCs w:val="21"/>
                      <w:u w:val="single"/>
                    </w:rPr>
                  </w:pPr>
                </w:p>
              </w:tc>
              <w:tc>
                <w:tcPr>
                  <w:tcW w:w="957" w:type="dxa"/>
                  <w:vAlign w:val="center"/>
                </w:tcPr>
                <w:p>
                  <w:pPr>
                    <w:jc w:val="center"/>
                    <w:rPr>
                      <w:color w:val="auto"/>
                      <w:sz w:val="21"/>
                      <w:szCs w:val="21"/>
                      <w:u w:val="single"/>
                    </w:rPr>
                  </w:pPr>
                  <w:r>
                    <w:rPr>
                      <w:rFonts w:hint="eastAsia" w:hAnsi="宋体"/>
                      <w:color w:val="auto"/>
                      <w:sz w:val="21"/>
                      <w:szCs w:val="21"/>
                      <w:u w:val="single"/>
                    </w:rPr>
                    <w:t>场地雨水、</w:t>
                  </w:r>
                  <w:r>
                    <w:rPr>
                      <w:rFonts w:hAnsi="宋体"/>
                      <w:color w:val="auto"/>
                      <w:sz w:val="21"/>
                      <w:szCs w:val="21"/>
                      <w:u w:val="single"/>
                    </w:rPr>
                    <w:t>洗车废水、基坑废水</w:t>
                  </w:r>
                </w:p>
              </w:tc>
              <w:tc>
                <w:tcPr>
                  <w:tcW w:w="3428" w:type="dxa"/>
                  <w:vAlign w:val="center"/>
                </w:tcPr>
                <w:p>
                  <w:pPr>
                    <w:jc w:val="center"/>
                    <w:rPr>
                      <w:color w:val="auto"/>
                      <w:sz w:val="21"/>
                      <w:szCs w:val="21"/>
                      <w:u w:val="single"/>
                    </w:rPr>
                  </w:pPr>
                  <w:r>
                    <w:rPr>
                      <w:rFonts w:hint="eastAsia" w:hAnsi="宋体"/>
                      <w:color w:val="auto"/>
                      <w:sz w:val="21"/>
                      <w:szCs w:val="21"/>
                      <w:u w:val="single"/>
                      <w:lang w:eastAsia="zh-CN"/>
                    </w:rPr>
                    <w:t>除部分回用泼洒抑尘外，其余经</w:t>
                  </w:r>
                  <w:r>
                    <w:rPr>
                      <w:rFonts w:hint="eastAsia" w:hAnsi="宋体"/>
                      <w:color w:val="auto"/>
                      <w:sz w:val="21"/>
                      <w:szCs w:val="21"/>
                      <w:u w:val="single"/>
                    </w:rPr>
                    <w:t>收集系统（一座</w:t>
                  </w:r>
                  <w:r>
                    <w:rPr>
                      <w:rFonts w:hint="eastAsia" w:hAnsi="宋体"/>
                      <w:color w:val="auto"/>
                      <w:sz w:val="21"/>
                      <w:szCs w:val="21"/>
                      <w:u w:val="single"/>
                      <w:lang w:eastAsia="zh-CN"/>
                    </w:rPr>
                    <w:t>1000</w:t>
                  </w:r>
                  <w:r>
                    <w:rPr>
                      <w:rFonts w:hint="eastAsia" w:hAnsi="宋体"/>
                      <w:color w:val="auto"/>
                      <w:sz w:val="21"/>
                      <w:szCs w:val="21"/>
                      <w:u w:val="single"/>
                    </w:rPr>
                    <w:t xml:space="preserve"> m</w:t>
                  </w:r>
                  <w:r>
                    <w:rPr>
                      <w:rFonts w:hint="eastAsia" w:hAnsi="宋体"/>
                      <w:color w:val="auto"/>
                      <w:sz w:val="21"/>
                      <w:szCs w:val="21"/>
                      <w:u w:val="single"/>
                      <w:vertAlign w:val="superscript"/>
                    </w:rPr>
                    <w:t>3</w:t>
                  </w:r>
                  <w:r>
                    <w:rPr>
                      <w:rFonts w:hint="eastAsia" w:hAnsi="宋体"/>
                      <w:color w:val="auto"/>
                      <w:sz w:val="21"/>
                      <w:szCs w:val="21"/>
                      <w:u w:val="single"/>
                    </w:rPr>
                    <w:t>的雨水收集池，一座20 m</w:t>
                  </w:r>
                  <w:r>
                    <w:rPr>
                      <w:rFonts w:hint="eastAsia" w:hAnsi="宋体"/>
                      <w:color w:val="auto"/>
                      <w:sz w:val="21"/>
                      <w:szCs w:val="21"/>
                      <w:u w:val="single"/>
                      <w:vertAlign w:val="superscript"/>
                    </w:rPr>
                    <w:t>3</w:t>
                  </w:r>
                  <w:r>
                    <w:rPr>
                      <w:rFonts w:hint="eastAsia" w:hAnsi="宋体"/>
                      <w:color w:val="auto"/>
                      <w:sz w:val="21"/>
                      <w:szCs w:val="21"/>
                      <w:u w:val="single"/>
                    </w:rPr>
                    <w:t>的清洗废水沉淀池）、两级沉淀（50m</w:t>
                  </w:r>
                  <w:r>
                    <w:rPr>
                      <w:rFonts w:hint="eastAsia" w:hAnsi="宋体"/>
                      <w:color w:val="auto"/>
                      <w:sz w:val="21"/>
                      <w:szCs w:val="21"/>
                      <w:u w:val="single"/>
                      <w:vertAlign w:val="superscript"/>
                    </w:rPr>
                    <w:t>3</w:t>
                  </w:r>
                  <w:r>
                    <w:rPr>
                      <w:rFonts w:hint="eastAsia" w:hAnsi="宋体"/>
                      <w:color w:val="auto"/>
                      <w:sz w:val="21"/>
                      <w:szCs w:val="21"/>
                      <w:u w:val="single"/>
                    </w:rPr>
                    <w:t>/个）后</w:t>
                  </w:r>
                  <w:r>
                    <w:rPr>
                      <w:rFonts w:hint="eastAsia" w:hAnsi="宋体"/>
                      <w:color w:val="auto"/>
                      <w:sz w:val="21"/>
                      <w:szCs w:val="21"/>
                      <w:u w:val="single"/>
                      <w:lang w:eastAsia="zh-CN"/>
                    </w:rPr>
                    <w:t>，经槽罐车运输至有处理能力的污水处理厂或企业污水处理装置处理</w:t>
                  </w:r>
                </w:p>
              </w:tc>
              <w:tc>
                <w:tcPr>
                  <w:tcW w:w="899" w:type="dxa"/>
                  <w:vAlign w:val="center"/>
                </w:tcPr>
                <w:p>
                  <w:pPr>
                    <w:jc w:val="center"/>
                    <w:rPr>
                      <w:color w:val="auto"/>
                      <w:sz w:val="21"/>
                      <w:szCs w:val="21"/>
                      <w:u w:val="single"/>
                    </w:rPr>
                  </w:pPr>
                  <w:r>
                    <w:rPr>
                      <w:rFonts w:hint="eastAsia"/>
                      <w:color w:val="auto"/>
                      <w:sz w:val="21"/>
                      <w:szCs w:val="21"/>
                      <w:u w:val="single"/>
                    </w:rPr>
                    <w:t>18</w:t>
                  </w:r>
                </w:p>
              </w:tc>
              <w:tc>
                <w:tcPr>
                  <w:tcW w:w="3149" w:type="dxa"/>
                  <w:gridSpan w:val="2"/>
                  <w:vAlign w:val="center"/>
                </w:tcPr>
                <w:p>
                  <w:pPr>
                    <w:jc w:val="center"/>
                    <w:rPr>
                      <w:color w:val="auto"/>
                      <w:sz w:val="21"/>
                      <w:szCs w:val="21"/>
                      <w:u w:val="single"/>
                    </w:rPr>
                  </w:pPr>
                  <w:r>
                    <w:rPr>
                      <w:rFonts w:hint="eastAsia" w:hAnsi="宋体"/>
                      <w:color w:val="auto"/>
                      <w:sz w:val="21"/>
                      <w:szCs w:val="21"/>
                      <w:u w:val="singl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37" w:type="dxa"/>
                  <w:vMerge w:val="continue"/>
                  <w:vAlign w:val="center"/>
                </w:tcPr>
                <w:p>
                  <w:pPr>
                    <w:jc w:val="center"/>
                    <w:rPr>
                      <w:color w:val="auto"/>
                      <w:sz w:val="21"/>
                      <w:szCs w:val="21"/>
                      <w:u w:val="single"/>
                    </w:rPr>
                  </w:pPr>
                </w:p>
              </w:tc>
              <w:tc>
                <w:tcPr>
                  <w:tcW w:w="957" w:type="dxa"/>
                  <w:vAlign w:val="center"/>
                </w:tcPr>
                <w:p>
                  <w:pPr>
                    <w:jc w:val="center"/>
                    <w:rPr>
                      <w:rFonts w:hAnsi="宋体"/>
                      <w:color w:val="auto"/>
                      <w:sz w:val="21"/>
                      <w:szCs w:val="21"/>
                      <w:u w:val="single"/>
                    </w:rPr>
                  </w:pPr>
                  <w:r>
                    <w:rPr>
                      <w:rFonts w:hint="eastAsia" w:hAnsi="宋体"/>
                      <w:color w:val="auto"/>
                      <w:sz w:val="21"/>
                      <w:szCs w:val="21"/>
                      <w:u w:val="single"/>
                    </w:rPr>
                    <w:t>地下水监测</w:t>
                  </w:r>
                </w:p>
              </w:tc>
              <w:tc>
                <w:tcPr>
                  <w:tcW w:w="3428" w:type="dxa"/>
                  <w:vAlign w:val="center"/>
                </w:tcPr>
                <w:p>
                  <w:pPr>
                    <w:jc w:val="center"/>
                    <w:rPr>
                      <w:rFonts w:hAnsi="宋体"/>
                      <w:color w:val="auto"/>
                      <w:sz w:val="21"/>
                      <w:szCs w:val="21"/>
                      <w:u w:val="single"/>
                    </w:rPr>
                  </w:pPr>
                  <w:r>
                    <w:rPr>
                      <w:rFonts w:hint="eastAsia" w:hAnsi="宋体"/>
                      <w:color w:val="auto"/>
                      <w:sz w:val="21"/>
                      <w:szCs w:val="21"/>
                      <w:u w:val="single"/>
                    </w:rPr>
                    <w:t>土壤修复后，在本项目场地地下水水文场下游设置一个地下水跟踪监测井，定期监测地下水水质情况</w:t>
                  </w:r>
                </w:p>
              </w:tc>
              <w:tc>
                <w:tcPr>
                  <w:tcW w:w="899" w:type="dxa"/>
                  <w:vAlign w:val="center"/>
                </w:tcPr>
                <w:p>
                  <w:pPr>
                    <w:jc w:val="center"/>
                    <w:rPr>
                      <w:color w:val="auto"/>
                      <w:sz w:val="21"/>
                      <w:szCs w:val="21"/>
                      <w:u w:val="single"/>
                    </w:rPr>
                  </w:pPr>
                  <w:r>
                    <w:rPr>
                      <w:rFonts w:hint="eastAsia"/>
                      <w:color w:val="auto"/>
                      <w:sz w:val="21"/>
                      <w:szCs w:val="21"/>
                      <w:u w:val="single"/>
                    </w:rPr>
                    <w:t>2</w:t>
                  </w:r>
                </w:p>
              </w:tc>
              <w:tc>
                <w:tcPr>
                  <w:tcW w:w="3149" w:type="dxa"/>
                  <w:gridSpan w:val="2"/>
                  <w:vAlign w:val="center"/>
                </w:tcPr>
                <w:p>
                  <w:pPr>
                    <w:jc w:val="center"/>
                    <w:rPr>
                      <w:rFonts w:hAnsi="宋体"/>
                      <w:color w:val="auto"/>
                      <w:sz w:val="21"/>
                      <w:szCs w:val="21"/>
                      <w:u w:val="single"/>
                    </w:rPr>
                  </w:pPr>
                  <w:r>
                    <w:rPr>
                      <w:rFonts w:hAnsi="宋体"/>
                      <w:color w:val="auto"/>
                      <w:sz w:val="21"/>
                      <w:szCs w:val="21"/>
                      <w:u w:val="single"/>
                      <w:lang w:val="zh-TW"/>
                    </w:rPr>
                    <w:t>《地下水质量标准》</w:t>
                  </w:r>
                  <w:r>
                    <w:rPr>
                      <w:rFonts w:hAnsi="宋体"/>
                      <w:color w:val="auto"/>
                      <w:sz w:val="21"/>
                      <w:szCs w:val="21"/>
                      <w:u w:val="single"/>
                    </w:rPr>
                    <w:t>(GB/T14848-93)</w:t>
                  </w:r>
                  <w:r>
                    <w:rPr>
                      <w:rFonts w:hAnsi="宋体"/>
                      <w:color w:val="auto"/>
                      <w:sz w:val="21"/>
                      <w:szCs w:val="21"/>
                      <w:u w:val="single"/>
                      <w:lang w:val="zh-TW"/>
                    </w:rPr>
                    <w:t>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637" w:type="dxa"/>
                  <w:vMerge w:val="continue"/>
                  <w:vAlign w:val="center"/>
                </w:tcPr>
                <w:p>
                  <w:pPr>
                    <w:jc w:val="center"/>
                    <w:rPr>
                      <w:color w:val="auto"/>
                      <w:sz w:val="21"/>
                      <w:szCs w:val="21"/>
                      <w:u w:val="single"/>
                    </w:rPr>
                  </w:pPr>
                </w:p>
              </w:tc>
              <w:tc>
                <w:tcPr>
                  <w:tcW w:w="957" w:type="dxa"/>
                  <w:vAlign w:val="center"/>
                </w:tcPr>
                <w:p>
                  <w:pPr>
                    <w:jc w:val="center"/>
                    <w:rPr>
                      <w:color w:val="auto"/>
                      <w:sz w:val="21"/>
                      <w:szCs w:val="21"/>
                      <w:u w:val="single"/>
                    </w:rPr>
                  </w:pPr>
                  <w:r>
                    <w:rPr>
                      <w:rFonts w:hAnsi="宋体"/>
                      <w:color w:val="auto"/>
                      <w:sz w:val="21"/>
                      <w:szCs w:val="21"/>
                      <w:u w:val="single"/>
                    </w:rPr>
                    <w:t>地下水防渗</w:t>
                  </w:r>
                </w:p>
              </w:tc>
              <w:tc>
                <w:tcPr>
                  <w:tcW w:w="3428" w:type="dxa"/>
                  <w:vAlign w:val="center"/>
                </w:tcPr>
                <w:p>
                  <w:pPr>
                    <w:jc w:val="center"/>
                    <w:rPr>
                      <w:color w:val="auto"/>
                      <w:sz w:val="21"/>
                      <w:szCs w:val="21"/>
                      <w:u w:val="single"/>
                    </w:rPr>
                  </w:pPr>
                  <w:r>
                    <w:rPr>
                      <w:rFonts w:hAnsi="宋体"/>
                      <w:color w:val="auto"/>
                      <w:sz w:val="21"/>
                      <w:szCs w:val="21"/>
                      <w:u w:val="single"/>
                    </w:rPr>
                    <w:t>水泥混凝土、碎石、防渗层</w:t>
                  </w:r>
                </w:p>
              </w:tc>
              <w:tc>
                <w:tcPr>
                  <w:tcW w:w="899" w:type="dxa"/>
                  <w:vAlign w:val="center"/>
                </w:tcPr>
                <w:p>
                  <w:pPr>
                    <w:jc w:val="center"/>
                    <w:rPr>
                      <w:color w:val="auto"/>
                      <w:sz w:val="21"/>
                      <w:szCs w:val="21"/>
                      <w:u w:val="single"/>
                    </w:rPr>
                  </w:pPr>
                  <w:r>
                    <w:rPr>
                      <w:color w:val="auto"/>
                      <w:sz w:val="21"/>
                      <w:szCs w:val="21"/>
                      <w:u w:val="single"/>
                    </w:rPr>
                    <w:t>30</w:t>
                  </w:r>
                </w:p>
              </w:tc>
              <w:tc>
                <w:tcPr>
                  <w:tcW w:w="3149" w:type="dxa"/>
                  <w:gridSpan w:val="2"/>
                  <w:vAlign w:val="center"/>
                </w:tcPr>
                <w:p>
                  <w:pPr>
                    <w:jc w:val="center"/>
                    <w:rPr>
                      <w:color w:val="auto"/>
                      <w:sz w:val="21"/>
                      <w:szCs w:val="21"/>
                      <w:u w:val="single"/>
                    </w:rPr>
                  </w:pPr>
                  <w:r>
                    <w:rPr>
                      <w:color w:val="auto"/>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94" w:type="dxa"/>
                  <w:gridSpan w:val="2"/>
                  <w:vAlign w:val="center"/>
                </w:tcPr>
                <w:p>
                  <w:pPr>
                    <w:jc w:val="center"/>
                    <w:rPr>
                      <w:color w:val="auto"/>
                      <w:sz w:val="21"/>
                      <w:szCs w:val="21"/>
                      <w:u w:val="single"/>
                    </w:rPr>
                  </w:pPr>
                  <w:r>
                    <w:rPr>
                      <w:rFonts w:hAnsi="宋体"/>
                      <w:color w:val="auto"/>
                      <w:sz w:val="21"/>
                      <w:szCs w:val="21"/>
                      <w:u w:val="single"/>
                    </w:rPr>
                    <w:t>噪声污染防治</w:t>
                  </w:r>
                </w:p>
              </w:tc>
              <w:tc>
                <w:tcPr>
                  <w:tcW w:w="3428" w:type="dxa"/>
                  <w:vAlign w:val="center"/>
                </w:tcPr>
                <w:p>
                  <w:pPr>
                    <w:jc w:val="center"/>
                    <w:rPr>
                      <w:color w:val="auto"/>
                      <w:spacing w:val="-2"/>
                      <w:sz w:val="21"/>
                      <w:szCs w:val="21"/>
                      <w:u w:val="single"/>
                    </w:rPr>
                  </w:pPr>
                  <w:r>
                    <w:rPr>
                      <w:rFonts w:hAnsi="宋体"/>
                      <w:color w:val="auto"/>
                      <w:spacing w:val="-2"/>
                      <w:sz w:val="21"/>
                      <w:szCs w:val="21"/>
                      <w:u w:val="single"/>
                    </w:rPr>
                    <w:t>合理选择施工机械、设备基础减震、临时声屏障、合理安排施工时间</w:t>
                  </w:r>
                </w:p>
              </w:tc>
              <w:tc>
                <w:tcPr>
                  <w:tcW w:w="899" w:type="dxa"/>
                  <w:vAlign w:val="center"/>
                </w:tcPr>
                <w:p>
                  <w:pPr>
                    <w:jc w:val="center"/>
                    <w:rPr>
                      <w:color w:val="auto"/>
                      <w:sz w:val="21"/>
                      <w:szCs w:val="21"/>
                      <w:u w:val="single"/>
                    </w:rPr>
                  </w:pPr>
                  <w:r>
                    <w:rPr>
                      <w:color w:val="auto"/>
                      <w:sz w:val="21"/>
                      <w:szCs w:val="21"/>
                      <w:u w:val="single"/>
                    </w:rPr>
                    <w:t>3</w:t>
                  </w:r>
                </w:p>
              </w:tc>
              <w:tc>
                <w:tcPr>
                  <w:tcW w:w="3149" w:type="dxa"/>
                  <w:gridSpan w:val="2"/>
                  <w:vAlign w:val="center"/>
                </w:tcPr>
                <w:p>
                  <w:pPr>
                    <w:jc w:val="center"/>
                    <w:rPr>
                      <w:color w:val="auto"/>
                      <w:sz w:val="21"/>
                      <w:szCs w:val="21"/>
                      <w:u w:val="single"/>
                    </w:rPr>
                  </w:pPr>
                  <w:r>
                    <w:rPr>
                      <w:rFonts w:hAnsi="宋体"/>
                      <w:color w:val="auto"/>
                      <w:kern w:val="0"/>
                      <w:sz w:val="21"/>
                      <w:szCs w:val="21"/>
                      <w:u w:val="single"/>
                    </w:rPr>
                    <w:t>《建筑施工场界环境噪声排放标准》（</w:t>
                  </w:r>
                  <w:r>
                    <w:rPr>
                      <w:color w:val="auto"/>
                      <w:kern w:val="0"/>
                      <w:sz w:val="21"/>
                      <w:szCs w:val="21"/>
                      <w:u w:val="single"/>
                    </w:rPr>
                    <w:t>GB12523-2011</w:t>
                  </w:r>
                  <w:r>
                    <w:rPr>
                      <w:rFonts w:hAnsi="宋体"/>
                      <w:color w:val="auto"/>
                      <w:kern w:val="0"/>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94" w:type="dxa"/>
                  <w:gridSpan w:val="2"/>
                  <w:vAlign w:val="center"/>
                </w:tcPr>
                <w:p>
                  <w:pPr>
                    <w:jc w:val="center"/>
                    <w:rPr>
                      <w:color w:val="auto"/>
                      <w:sz w:val="21"/>
                      <w:szCs w:val="21"/>
                      <w:u w:val="single"/>
                    </w:rPr>
                  </w:pPr>
                  <w:r>
                    <w:rPr>
                      <w:rFonts w:hAnsi="宋体"/>
                      <w:color w:val="auto"/>
                      <w:sz w:val="21"/>
                      <w:szCs w:val="21"/>
                      <w:u w:val="single"/>
                    </w:rPr>
                    <w:t>固废处理处置</w:t>
                  </w:r>
                </w:p>
              </w:tc>
              <w:tc>
                <w:tcPr>
                  <w:tcW w:w="3428" w:type="dxa"/>
                  <w:vAlign w:val="center"/>
                </w:tcPr>
                <w:p>
                  <w:pPr>
                    <w:jc w:val="center"/>
                    <w:rPr>
                      <w:color w:val="auto"/>
                      <w:sz w:val="21"/>
                      <w:szCs w:val="21"/>
                      <w:u w:val="single"/>
                    </w:rPr>
                  </w:pPr>
                  <w:r>
                    <w:rPr>
                      <w:rFonts w:hAnsi="宋体"/>
                      <w:color w:val="auto"/>
                      <w:sz w:val="21"/>
                      <w:szCs w:val="21"/>
                      <w:u w:val="single"/>
                    </w:rPr>
                    <w:t>生活垃圾收集箱；一般固废暂存间、暂存间；一般固废外运</w:t>
                  </w:r>
                  <w:r>
                    <w:rPr>
                      <w:rFonts w:hint="eastAsia" w:hAnsi="宋体"/>
                      <w:color w:val="auto"/>
                      <w:sz w:val="21"/>
                      <w:szCs w:val="21"/>
                      <w:u w:val="single"/>
                    </w:rPr>
                    <w:t>相关专业机构进行集中处理</w:t>
                  </w:r>
                  <w:r>
                    <w:rPr>
                      <w:rFonts w:hAnsi="宋体"/>
                      <w:color w:val="auto"/>
                      <w:sz w:val="21"/>
                      <w:szCs w:val="21"/>
                      <w:u w:val="single"/>
                    </w:rPr>
                    <w:t>；</w:t>
                  </w:r>
                  <w:r>
                    <w:rPr>
                      <w:rFonts w:hint="eastAsia" w:hAnsi="宋体"/>
                      <w:color w:val="auto"/>
                      <w:sz w:val="21"/>
                      <w:szCs w:val="21"/>
                      <w:u w:val="single"/>
                    </w:rPr>
                    <w:t>收集粉尘重新进行</w:t>
                  </w:r>
                  <w:r>
                    <w:rPr>
                      <w:rFonts w:hint="eastAsia" w:hAnsi="宋体"/>
                      <w:color w:val="auto"/>
                      <w:sz w:val="21"/>
                      <w:szCs w:val="21"/>
                      <w:u w:val="single"/>
                      <w:lang w:eastAsia="zh-CN"/>
                    </w:rPr>
                    <w:t>化学氧化</w:t>
                  </w:r>
                  <w:r>
                    <w:rPr>
                      <w:rFonts w:hint="eastAsia" w:hAnsi="宋体"/>
                      <w:color w:val="auto"/>
                      <w:sz w:val="21"/>
                      <w:szCs w:val="21"/>
                      <w:u w:val="single"/>
                    </w:rPr>
                    <w:t>修复；废活性炭，委托有资质单位处理。</w:t>
                  </w:r>
                </w:p>
              </w:tc>
              <w:tc>
                <w:tcPr>
                  <w:tcW w:w="899" w:type="dxa"/>
                  <w:vAlign w:val="center"/>
                </w:tcPr>
                <w:p>
                  <w:pPr>
                    <w:jc w:val="center"/>
                    <w:rPr>
                      <w:color w:val="auto"/>
                      <w:sz w:val="21"/>
                      <w:szCs w:val="21"/>
                      <w:u w:val="single"/>
                    </w:rPr>
                  </w:pPr>
                  <w:r>
                    <w:rPr>
                      <w:color w:val="auto"/>
                      <w:sz w:val="21"/>
                      <w:szCs w:val="21"/>
                      <w:u w:val="single"/>
                    </w:rPr>
                    <w:t>8</w:t>
                  </w:r>
                </w:p>
              </w:tc>
              <w:tc>
                <w:tcPr>
                  <w:tcW w:w="3149" w:type="dxa"/>
                  <w:gridSpan w:val="2"/>
                  <w:vAlign w:val="center"/>
                </w:tcPr>
                <w:p>
                  <w:pPr>
                    <w:jc w:val="center"/>
                    <w:rPr>
                      <w:color w:val="auto"/>
                      <w:sz w:val="21"/>
                      <w:szCs w:val="21"/>
                      <w:u w:val="single"/>
                    </w:rPr>
                  </w:pPr>
                  <w:r>
                    <w:rPr>
                      <w:rFonts w:hAnsi="宋体"/>
                      <w:color w:val="auto"/>
                      <w:kern w:val="0"/>
                      <w:sz w:val="21"/>
                      <w:szCs w:val="21"/>
                      <w:u w:val="single"/>
                    </w:rPr>
                    <w:t>《一般工业固体废物贮存、处置场污染控制标准》（</w:t>
                  </w:r>
                  <w:r>
                    <w:rPr>
                      <w:color w:val="auto"/>
                      <w:kern w:val="0"/>
                      <w:sz w:val="21"/>
                      <w:szCs w:val="21"/>
                      <w:u w:val="single"/>
                    </w:rPr>
                    <w:t>GB18599-2001</w:t>
                  </w:r>
                  <w:r>
                    <w:rPr>
                      <w:rFonts w:hAnsi="宋体"/>
                      <w:color w:val="auto"/>
                      <w:kern w:val="0"/>
                      <w:sz w:val="21"/>
                      <w:szCs w:val="21"/>
                      <w:u w:val="single"/>
                    </w:rPr>
                    <w:t>）、《危险废物贮存污染控制标准》</w:t>
                  </w:r>
                  <w:r>
                    <w:rPr>
                      <w:color w:val="auto"/>
                      <w:kern w:val="0"/>
                      <w:sz w:val="21"/>
                      <w:szCs w:val="21"/>
                      <w:u w:val="single"/>
                    </w:rPr>
                    <w:t>(GB18597-2001)</w:t>
                  </w:r>
                  <w:r>
                    <w:rPr>
                      <w:rFonts w:hAnsi="宋体"/>
                      <w:color w:val="auto"/>
                      <w:kern w:val="0"/>
                      <w:sz w:val="21"/>
                      <w:szCs w:val="21"/>
                      <w:u w:val="single"/>
                    </w:rPr>
                    <w:t>、《生活垃圾填埋污染控制标准》</w:t>
                  </w:r>
                  <w:r>
                    <w:rPr>
                      <w:color w:val="auto"/>
                      <w:kern w:val="0"/>
                      <w:sz w:val="21"/>
                      <w:szCs w:val="21"/>
                      <w:u w:val="single"/>
                    </w:rPr>
                    <w:t>(GB16889-2008)</w:t>
                  </w:r>
                  <w:r>
                    <w:rPr>
                      <w:rFonts w:hAnsi="宋体"/>
                      <w:color w:val="auto"/>
                      <w:kern w:val="0"/>
                      <w:sz w:val="21"/>
                      <w:szCs w:val="21"/>
                      <w:u w:val="single"/>
                    </w:rPr>
                    <w:t>及</w:t>
                  </w:r>
                  <w:r>
                    <w:rPr>
                      <w:color w:val="auto"/>
                      <w:kern w:val="0"/>
                      <w:sz w:val="21"/>
                      <w:szCs w:val="21"/>
                      <w:u w:val="single"/>
                    </w:rPr>
                    <w:t>2013</w:t>
                  </w:r>
                  <w:r>
                    <w:rPr>
                      <w:rFonts w:hAnsi="宋体"/>
                      <w:color w:val="auto"/>
                      <w:kern w:val="0"/>
                      <w:sz w:val="21"/>
                      <w:szCs w:val="21"/>
                      <w:u w:val="single"/>
                    </w:rPr>
                    <w:t>年修改单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1594" w:type="dxa"/>
                  <w:gridSpan w:val="2"/>
                  <w:vAlign w:val="center"/>
                </w:tcPr>
                <w:p>
                  <w:pPr>
                    <w:jc w:val="center"/>
                    <w:rPr>
                      <w:color w:val="auto"/>
                      <w:sz w:val="21"/>
                      <w:szCs w:val="21"/>
                      <w:u w:val="single"/>
                    </w:rPr>
                  </w:pPr>
                  <w:r>
                    <w:rPr>
                      <w:rFonts w:hAnsi="宋体"/>
                      <w:color w:val="auto"/>
                      <w:sz w:val="21"/>
                      <w:szCs w:val="21"/>
                      <w:u w:val="single"/>
                    </w:rPr>
                    <w:t>生态、水土保持</w:t>
                  </w:r>
                </w:p>
              </w:tc>
              <w:tc>
                <w:tcPr>
                  <w:tcW w:w="3428" w:type="dxa"/>
                  <w:vAlign w:val="center"/>
                </w:tcPr>
                <w:p>
                  <w:pPr>
                    <w:jc w:val="center"/>
                    <w:rPr>
                      <w:color w:val="auto"/>
                      <w:sz w:val="21"/>
                      <w:szCs w:val="21"/>
                      <w:u w:val="single"/>
                    </w:rPr>
                  </w:pPr>
                  <w:r>
                    <w:rPr>
                      <w:rFonts w:hint="eastAsia" w:hAnsi="宋体"/>
                      <w:color w:val="auto"/>
                      <w:sz w:val="21"/>
                      <w:szCs w:val="21"/>
                      <w:u w:val="single"/>
                    </w:rPr>
                    <w:t>污染土壤</w:t>
                  </w:r>
                  <w:r>
                    <w:rPr>
                      <w:rFonts w:hAnsi="宋体"/>
                      <w:color w:val="auto"/>
                      <w:sz w:val="21"/>
                      <w:szCs w:val="21"/>
                      <w:u w:val="single"/>
                    </w:rPr>
                    <w:t>开挖区、</w:t>
                  </w:r>
                  <w:r>
                    <w:rPr>
                      <w:rFonts w:hint="eastAsia" w:hAnsi="宋体"/>
                      <w:color w:val="auto"/>
                      <w:sz w:val="21"/>
                      <w:szCs w:val="21"/>
                      <w:u w:val="single"/>
                    </w:rPr>
                    <w:t>修复大棚、修复合格土壤暂存区及两场周边所有可能扰动的地面，设置截流沟、</w:t>
                  </w:r>
                  <w:r>
                    <w:rPr>
                      <w:rFonts w:hAnsi="宋体"/>
                      <w:color w:val="auto"/>
                      <w:sz w:val="21"/>
                      <w:szCs w:val="21"/>
                      <w:u w:val="single"/>
                    </w:rPr>
                    <w:t>排水沟、抽水设备</w:t>
                  </w:r>
                  <w:r>
                    <w:rPr>
                      <w:rFonts w:hint="eastAsia" w:hAnsi="宋体"/>
                      <w:color w:val="auto"/>
                      <w:sz w:val="21"/>
                      <w:szCs w:val="21"/>
                      <w:u w:val="single"/>
                    </w:rPr>
                    <w:t>等，并加强</w:t>
                  </w:r>
                  <w:r>
                    <w:rPr>
                      <w:rFonts w:hAnsi="宋体"/>
                      <w:color w:val="auto"/>
                      <w:sz w:val="21"/>
                      <w:szCs w:val="21"/>
                      <w:u w:val="single"/>
                    </w:rPr>
                    <w:t>绿化</w:t>
                  </w:r>
                  <w:r>
                    <w:rPr>
                      <w:rFonts w:hint="eastAsia" w:hAnsi="宋体"/>
                      <w:color w:val="auto"/>
                      <w:sz w:val="21"/>
                      <w:szCs w:val="21"/>
                      <w:u w:val="single"/>
                    </w:rPr>
                    <w:t>，地表种植植被</w:t>
                  </w:r>
                </w:p>
              </w:tc>
              <w:tc>
                <w:tcPr>
                  <w:tcW w:w="905" w:type="dxa"/>
                  <w:gridSpan w:val="2"/>
                  <w:vAlign w:val="center"/>
                </w:tcPr>
                <w:p>
                  <w:pPr>
                    <w:jc w:val="center"/>
                    <w:rPr>
                      <w:color w:val="auto"/>
                      <w:sz w:val="21"/>
                      <w:szCs w:val="21"/>
                      <w:u w:val="single"/>
                    </w:rPr>
                  </w:pPr>
                  <w:r>
                    <w:rPr>
                      <w:color w:val="auto"/>
                      <w:sz w:val="21"/>
                      <w:szCs w:val="21"/>
                      <w:u w:val="single"/>
                    </w:rPr>
                    <w:t>16</w:t>
                  </w:r>
                </w:p>
              </w:tc>
              <w:tc>
                <w:tcPr>
                  <w:tcW w:w="3143" w:type="dxa"/>
                  <w:vAlign w:val="center"/>
                </w:tcPr>
                <w:p>
                  <w:pPr>
                    <w:jc w:val="center"/>
                    <w:rPr>
                      <w:color w:val="auto"/>
                      <w:sz w:val="21"/>
                      <w:szCs w:val="21"/>
                      <w:u w:val="single"/>
                    </w:rPr>
                  </w:pPr>
                  <w:r>
                    <w:rPr>
                      <w:rFonts w:hint="eastAsia"/>
                      <w:color w:val="auto"/>
                      <w:sz w:val="21"/>
                      <w:szCs w:val="21"/>
                      <w:u w:val="single"/>
                      <w:lang w:val="zh-TW"/>
                    </w:rPr>
                    <w:t>湖南省地方标准《重金属污染场地土壤修复标准》（</w:t>
                  </w:r>
                  <w:r>
                    <w:rPr>
                      <w:color w:val="auto"/>
                      <w:sz w:val="21"/>
                      <w:szCs w:val="21"/>
                      <w:u w:val="single"/>
                    </w:rPr>
                    <w:t>DB/T1165-2016)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 w:hRule="atLeast"/>
                <w:jc w:val="center"/>
              </w:trPr>
              <w:tc>
                <w:tcPr>
                  <w:tcW w:w="5022" w:type="dxa"/>
                  <w:gridSpan w:val="3"/>
                  <w:vAlign w:val="center"/>
                </w:tcPr>
                <w:p>
                  <w:pPr>
                    <w:jc w:val="center"/>
                    <w:rPr>
                      <w:color w:val="auto"/>
                      <w:sz w:val="21"/>
                      <w:szCs w:val="21"/>
                      <w:u w:val="single"/>
                    </w:rPr>
                  </w:pPr>
                  <w:r>
                    <w:rPr>
                      <w:rFonts w:hAnsi="宋体"/>
                      <w:color w:val="auto"/>
                      <w:sz w:val="21"/>
                      <w:szCs w:val="21"/>
                      <w:u w:val="single"/>
                    </w:rPr>
                    <w:t>合计</w:t>
                  </w:r>
                </w:p>
              </w:tc>
              <w:tc>
                <w:tcPr>
                  <w:tcW w:w="4048" w:type="dxa"/>
                  <w:gridSpan w:val="3"/>
                  <w:vAlign w:val="center"/>
                </w:tcPr>
                <w:p>
                  <w:pPr>
                    <w:jc w:val="center"/>
                    <w:rPr>
                      <w:color w:val="auto"/>
                      <w:sz w:val="21"/>
                      <w:szCs w:val="21"/>
                      <w:u w:val="single"/>
                    </w:rPr>
                  </w:pPr>
                  <w:r>
                    <w:rPr>
                      <w:color w:val="auto"/>
                      <w:sz w:val="21"/>
                      <w:szCs w:val="21"/>
                      <w:u w:val="single"/>
                    </w:rPr>
                    <w:t>100</w:t>
                  </w:r>
                </w:p>
              </w:tc>
            </w:tr>
          </w:tbl>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p>
            <w:pPr>
              <w:spacing w:line="360" w:lineRule="auto"/>
              <w:rPr>
                <w:color w:val="auto"/>
                <w:sz w:val="24"/>
              </w:rPr>
            </w:pPr>
          </w:p>
        </w:tc>
      </w:tr>
    </w:tbl>
    <w:p>
      <w:pPr>
        <w:pStyle w:val="3"/>
        <w:spacing w:before="0" w:after="0" w:line="240" w:lineRule="auto"/>
        <w:rPr>
          <w:b w:val="0"/>
          <w:color w:val="auto"/>
          <w:sz w:val="28"/>
          <w:szCs w:val="28"/>
        </w:rPr>
      </w:pPr>
      <w:r>
        <w:rPr>
          <w:b w:val="0"/>
          <w:color w:val="auto"/>
          <w:sz w:val="28"/>
          <w:szCs w:val="28"/>
        </w:rPr>
        <w:br w:type="page"/>
      </w:r>
      <w:bookmarkStart w:id="54" w:name="_Toc485612243"/>
      <w:r>
        <w:rPr>
          <w:rFonts w:hAnsi="宋体"/>
          <w:color w:val="auto"/>
          <w:sz w:val="28"/>
          <w:szCs w:val="28"/>
        </w:rPr>
        <w:t>建设项目拟采取的防治措施及预期治理效果</w:t>
      </w:r>
      <w:bookmarkEnd w:id="54"/>
    </w:p>
    <w:tbl>
      <w:tblPr>
        <w:tblStyle w:val="30"/>
        <w:tblW w:w="9286"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6"/>
        <w:gridCol w:w="1526"/>
        <w:gridCol w:w="1526"/>
        <w:gridCol w:w="2813"/>
        <w:gridCol w:w="26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tcBorders>
              <w:top w:val="single" w:color="000000" w:sz="6" w:space="0"/>
              <w:left w:val="single" w:color="000000" w:sz="6" w:space="0"/>
              <w:bottom w:val="single" w:color="000000" w:sz="6" w:space="0"/>
              <w:right w:val="single" w:color="000000" w:sz="6" w:space="0"/>
              <w:tl2br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内容</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类型</w:t>
            </w:r>
          </w:p>
        </w:tc>
        <w:tc>
          <w:tcPr>
            <w:tcW w:w="1526"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排放源</w:t>
            </w:r>
          </w:p>
        </w:tc>
        <w:tc>
          <w:tcPr>
            <w:tcW w:w="1526" w:type="dxa"/>
            <w:tcBorders>
              <w:top w:val="single" w:color="000000" w:sz="6" w:space="0"/>
              <w:left w:val="single" w:color="000000" w:sz="6" w:space="0"/>
              <w:bottom w:val="single" w:color="auto" w:sz="4" w:space="0"/>
              <w:right w:val="single" w:color="000000" w:sz="6" w:space="0"/>
            </w:tcBorders>
            <w:vAlign w:val="center"/>
          </w:tcPr>
          <w:p>
            <w:pPr>
              <w:keepNext w:val="0"/>
              <w:keepLines w:val="0"/>
              <w:pageBreakBefore w:val="0"/>
              <w:kinsoku/>
              <w:wordWrap/>
              <w:autoSpaceDN w:val="0"/>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污染物名称</w:t>
            </w:r>
          </w:p>
        </w:tc>
        <w:tc>
          <w:tcPr>
            <w:tcW w:w="2813" w:type="dxa"/>
            <w:tcBorders>
              <w:top w:val="single" w:color="000000" w:sz="6" w:space="0"/>
              <w:left w:val="single" w:color="000000" w:sz="6"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防治措施</w:t>
            </w:r>
          </w:p>
        </w:tc>
        <w:tc>
          <w:tcPr>
            <w:tcW w:w="2655" w:type="dxa"/>
            <w:tcBorders>
              <w:top w:val="single" w:color="000000" w:sz="6" w:space="0"/>
              <w:left w:val="single" w:color="000000" w:sz="6"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预期治理效果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restart"/>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大</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气</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污</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染</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物</w:t>
            </w:r>
          </w:p>
        </w:tc>
        <w:tc>
          <w:tcPr>
            <w:tcW w:w="1526" w:type="dxa"/>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firstLine="120" w:firstLineChars="50"/>
              <w:jc w:val="center"/>
              <w:textAlignment w:val="auto"/>
              <w:outlineLvl w:val="9"/>
              <w:rPr>
                <w:color w:val="auto"/>
                <w:sz w:val="24"/>
                <w:szCs w:val="24"/>
              </w:rPr>
            </w:pPr>
            <w:r>
              <w:rPr>
                <w:rFonts w:hAnsi="宋体"/>
                <w:color w:val="auto"/>
                <w:sz w:val="24"/>
                <w:szCs w:val="24"/>
              </w:rPr>
              <w:t>土壤开挖、修复、回填</w:t>
            </w:r>
          </w:p>
        </w:tc>
        <w:tc>
          <w:tcPr>
            <w:tcW w:w="1526" w:type="dxa"/>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扬尘</w:t>
            </w:r>
          </w:p>
        </w:tc>
        <w:tc>
          <w:tcPr>
            <w:tcW w:w="2813" w:type="dxa"/>
            <w:vMerge w:val="restart"/>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施工标牌的设置；加强管理，文明施工；堆场、车辆应覆盖篷布；施工场地、施工道路的扬尘采用定期洒水和清扫措施；设置临时围挡；设置洗车平台</w:t>
            </w:r>
          </w:p>
        </w:tc>
        <w:tc>
          <w:tcPr>
            <w:tcW w:w="2655" w:type="dxa"/>
            <w:vMerge w:val="restart"/>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《大气污染物综合排放标准》</w:t>
            </w:r>
            <w:r>
              <w:rPr>
                <w:color w:val="auto"/>
                <w:sz w:val="24"/>
                <w:szCs w:val="24"/>
              </w:rPr>
              <w:t xml:space="preserve">(GB16297-1996)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p>
        </w:tc>
        <w:tc>
          <w:tcPr>
            <w:tcW w:w="1526" w:type="dxa"/>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firstLine="120" w:firstLineChars="50"/>
              <w:jc w:val="center"/>
              <w:textAlignment w:val="auto"/>
              <w:outlineLvl w:val="9"/>
              <w:rPr>
                <w:rFonts w:hAnsi="宋体"/>
                <w:color w:val="auto"/>
                <w:sz w:val="24"/>
                <w:szCs w:val="24"/>
              </w:rPr>
            </w:pPr>
            <w:r>
              <w:rPr>
                <w:rFonts w:hint="eastAsia" w:hAnsi="宋体"/>
                <w:color w:val="auto"/>
                <w:sz w:val="24"/>
                <w:szCs w:val="24"/>
              </w:rPr>
              <w:t>构筑物拆除</w:t>
            </w:r>
          </w:p>
        </w:tc>
        <w:tc>
          <w:tcPr>
            <w:tcW w:w="1526" w:type="dxa"/>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int="eastAsia" w:hAnsi="宋体"/>
                <w:color w:val="auto"/>
                <w:sz w:val="24"/>
                <w:szCs w:val="24"/>
              </w:rPr>
              <w:t>扬尘</w:t>
            </w:r>
          </w:p>
        </w:tc>
        <w:tc>
          <w:tcPr>
            <w:tcW w:w="2813" w:type="dxa"/>
            <w:vMerge w:val="continue"/>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p>
        </w:tc>
        <w:tc>
          <w:tcPr>
            <w:tcW w:w="2655" w:type="dxa"/>
            <w:vMerge w:val="continue"/>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firstLine="120" w:firstLineChars="50"/>
              <w:jc w:val="center"/>
              <w:textAlignment w:val="auto"/>
              <w:outlineLvl w:val="9"/>
              <w:rPr>
                <w:color w:val="auto"/>
                <w:sz w:val="24"/>
                <w:szCs w:val="24"/>
              </w:rPr>
            </w:pPr>
            <w:r>
              <w:rPr>
                <w:rFonts w:hAnsi="宋体"/>
                <w:color w:val="auto"/>
                <w:sz w:val="24"/>
                <w:szCs w:val="24"/>
              </w:rPr>
              <w:t>车辆运输</w:t>
            </w:r>
          </w:p>
        </w:tc>
        <w:tc>
          <w:tcPr>
            <w:tcW w:w="1526" w:type="dxa"/>
            <w:tcBorders>
              <w:top w:val="single" w:color="auto" w:sz="4" w:space="0"/>
              <w:left w:val="single" w:color="000000" w:sz="6"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扬尘</w:t>
            </w:r>
          </w:p>
        </w:tc>
        <w:tc>
          <w:tcPr>
            <w:tcW w:w="2813"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center"/>
              <w:textAlignment w:val="auto"/>
              <w:outlineLvl w:val="9"/>
              <w:rPr>
                <w:color w:val="auto"/>
                <w:sz w:val="24"/>
                <w:szCs w:val="24"/>
              </w:rPr>
            </w:pPr>
          </w:p>
        </w:tc>
        <w:tc>
          <w:tcPr>
            <w:tcW w:w="2655" w:type="dxa"/>
            <w:vMerge w:val="continue"/>
            <w:tcBorders>
              <w:left w:val="single" w:color="000000" w:sz="6" w:space="0"/>
              <w:bottom w:val="single" w:color="auto" w:sz="4"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汽车尾气</w:t>
            </w:r>
          </w:p>
        </w:tc>
        <w:tc>
          <w:tcPr>
            <w:tcW w:w="1526" w:type="dxa"/>
            <w:tcBorders>
              <w:top w:val="single" w:color="auto" w:sz="4" w:space="0"/>
              <w:left w:val="single" w:color="000000" w:sz="6"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color w:val="auto"/>
                <w:sz w:val="24"/>
                <w:szCs w:val="24"/>
              </w:rPr>
              <w:t>CO</w:t>
            </w:r>
            <w:r>
              <w:rPr>
                <w:rFonts w:hAnsi="宋体"/>
                <w:color w:val="auto"/>
                <w:sz w:val="24"/>
                <w:szCs w:val="24"/>
              </w:rPr>
              <w:t>、</w:t>
            </w:r>
            <w:r>
              <w:rPr>
                <w:color w:val="auto"/>
                <w:sz w:val="24"/>
                <w:szCs w:val="24"/>
              </w:rPr>
              <w:t>NO</w:t>
            </w:r>
            <w:r>
              <w:rPr>
                <w:color w:val="auto"/>
                <w:sz w:val="24"/>
                <w:szCs w:val="24"/>
                <w:vertAlign w:val="subscript"/>
              </w:rPr>
              <w:t>2</w:t>
            </w:r>
            <w:r>
              <w:rPr>
                <w:rFonts w:hAnsi="宋体"/>
                <w:color w:val="auto"/>
                <w:sz w:val="24"/>
                <w:szCs w:val="24"/>
              </w:rPr>
              <w:t>、</w:t>
            </w:r>
            <w:r>
              <w:rPr>
                <w:color w:val="auto"/>
                <w:sz w:val="24"/>
                <w:szCs w:val="24"/>
              </w:rPr>
              <w:t>THC</w:t>
            </w:r>
          </w:p>
        </w:tc>
        <w:tc>
          <w:tcPr>
            <w:tcW w:w="281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选用环保的机械设备，注意车辆保养，保证车辆尾气达标排放</w:t>
            </w:r>
          </w:p>
        </w:tc>
        <w:tc>
          <w:tcPr>
            <w:tcW w:w="2655"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color w:val="auto"/>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柴油发电机</w:t>
            </w: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color w:val="auto"/>
                <w:sz w:val="24"/>
                <w:szCs w:val="24"/>
              </w:rPr>
              <w:t>SO</w:t>
            </w:r>
            <w:r>
              <w:rPr>
                <w:color w:val="auto"/>
                <w:sz w:val="24"/>
                <w:szCs w:val="24"/>
                <w:vertAlign w:val="subscript"/>
              </w:rPr>
              <w:t>2</w:t>
            </w:r>
            <w:r>
              <w:rPr>
                <w:rFonts w:hAnsi="宋体"/>
                <w:color w:val="auto"/>
                <w:sz w:val="24"/>
                <w:szCs w:val="24"/>
              </w:rPr>
              <w:t>、</w:t>
            </w:r>
            <w:r>
              <w:rPr>
                <w:color w:val="auto"/>
                <w:sz w:val="24"/>
                <w:szCs w:val="24"/>
              </w:rPr>
              <w:t>NO</w:t>
            </w:r>
            <w:r>
              <w:rPr>
                <w:color w:val="auto"/>
                <w:sz w:val="24"/>
                <w:szCs w:val="24"/>
                <w:vertAlign w:val="subscript"/>
              </w:rPr>
              <w:t>X</w:t>
            </w:r>
            <w:r>
              <w:rPr>
                <w:rFonts w:hAnsi="宋体"/>
                <w:color w:val="auto"/>
                <w:sz w:val="24"/>
                <w:szCs w:val="24"/>
              </w:rPr>
              <w:t>、烟尘</w:t>
            </w:r>
          </w:p>
        </w:tc>
        <w:tc>
          <w:tcPr>
            <w:tcW w:w="2813"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加强通风</w:t>
            </w:r>
          </w:p>
        </w:tc>
        <w:tc>
          <w:tcPr>
            <w:tcW w:w="2655"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《大气污染物综合排放标准》</w:t>
            </w:r>
            <w:r>
              <w:rPr>
                <w:color w:val="auto"/>
                <w:sz w:val="24"/>
                <w:szCs w:val="24"/>
              </w:rPr>
              <w:t>(GB16297-1996)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int="eastAsia" w:hAnsi="宋体"/>
                <w:color w:val="auto"/>
                <w:sz w:val="24"/>
                <w:szCs w:val="24"/>
              </w:rPr>
              <w:t>负压处置大棚</w:t>
            </w: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int="eastAsia"/>
                <w:color w:val="auto"/>
                <w:sz w:val="24"/>
                <w:szCs w:val="24"/>
              </w:rPr>
              <w:t>粉尘、VOCs</w:t>
            </w:r>
          </w:p>
        </w:tc>
        <w:tc>
          <w:tcPr>
            <w:tcW w:w="2813"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int="eastAsia" w:hAnsi="宋体"/>
                <w:color w:val="auto"/>
                <w:sz w:val="24"/>
                <w:szCs w:val="24"/>
              </w:rPr>
              <w:t>除尘器+活性炭吸附</w:t>
            </w:r>
          </w:p>
        </w:tc>
        <w:tc>
          <w:tcPr>
            <w:tcW w:w="2655"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Ansi="宋体"/>
                <w:color w:val="auto"/>
                <w:sz w:val="24"/>
                <w:szCs w:val="24"/>
              </w:rPr>
              <w:t>《大气污染物综合排放标准》(GB16297-1996)</w:t>
            </w:r>
            <w:r>
              <w:rPr>
                <w:rFonts w:hint="eastAsia" w:hAnsi="宋体"/>
                <w:color w:val="auto"/>
                <w:sz w:val="24"/>
                <w:szCs w:val="24"/>
              </w:rPr>
              <w:t>、</w:t>
            </w:r>
            <w:r>
              <w:rPr>
                <w:color w:val="auto"/>
                <w:sz w:val="24"/>
                <w:szCs w:val="24"/>
              </w:rPr>
              <w:fldChar w:fldCharType="begin"/>
            </w:r>
            <w:r>
              <w:rPr>
                <w:color w:val="auto"/>
                <w:sz w:val="24"/>
                <w:szCs w:val="24"/>
              </w:rPr>
              <w:instrText xml:space="preserve"> HYPERLINK "https://www.baidu.com/link?url=fqyCLL6en6lZGXqY8VyGy0pfQN88VjPnhx-yCGQwWnDsrGnTVbTZsVSutPZUEitw5wCWLfxFYMZXrkg1f9V1Z7aF5rYSxVIR8-5Y6ZmWTwi&amp;wd=&amp;eqid=ed54434d0000cb8a0000000259ef525f" \t "_blank" </w:instrText>
            </w:r>
            <w:r>
              <w:rPr>
                <w:color w:val="auto"/>
                <w:sz w:val="24"/>
                <w:szCs w:val="24"/>
              </w:rPr>
              <w:fldChar w:fldCharType="separate"/>
            </w:r>
            <w:r>
              <w:rPr>
                <w:rFonts w:hint="eastAsia" w:hAnsi="宋体"/>
                <w:color w:val="auto"/>
                <w:sz w:val="24"/>
                <w:szCs w:val="24"/>
              </w:rPr>
              <w:t>TVOC执行天津市《</w:t>
            </w:r>
            <w:r>
              <w:rPr>
                <w:rFonts w:hAnsi="宋体"/>
                <w:color w:val="auto"/>
                <w:sz w:val="24"/>
                <w:szCs w:val="24"/>
              </w:rPr>
              <w:t>工业企业挥发性有机物排放控制标准</w:t>
            </w:r>
            <w:r>
              <w:rPr>
                <w:rFonts w:hint="eastAsia" w:hAnsi="宋体"/>
                <w:color w:val="auto"/>
                <w:sz w:val="24"/>
                <w:szCs w:val="24"/>
              </w:rPr>
              <w:t>》</w:t>
            </w:r>
            <w:r>
              <w:rPr>
                <w:rFonts w:hint="eastAsia" w:hAnsi="宋体"/>
                <w:color w:val="auto"/>
                <w:sz w:val="24"/>
                <w:szCs w:val="24"/>
              </w:rPr>
              <w:fldChar w:fldCharType="end"/>
            </w:r>
            <w:r>
              <w:rPr>
                <w:rFonts w:hint="eastAsia" w:hAnsi="宋体"/>
                <w:color w:val="auto"/>
                <w:sz w:val="24"/>
                <w:szCs w:val="24"/>
              </w:rPr>
              <w:t>（</w:t>
            </w:r>
            <w:r>
              <w:rPr>
                <w:rFonts w:hAnsi="宋体"/>
                <w:color w:val="auto"/>
                <w:sz w:val="24"/>
                <w:szCs w:val="24"/>
              </w:rPr>
              <w:t>DB12/524-2014</w:t>
            </w:r>
            <w:r>
              <w:rPr>
                <w:rFonts w:hint="eastAsia" w:hAnsi="宋体"/>
                <w:color w:val="auto"/>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水</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污</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染</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物</w:t>
            </w: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生活污水</w:t>
            </w:r>
          </w:p>
        </w:tc>
        <w:tc>
          <w:tcPr>
            <w:tcW w:w="1526" w:type="dxa"/>
            <w:tcBorders>
              <w:top w:val="single" w:color="auto" w:sz="4" w:space="0"/>
              <w:left w:val="single" w:color="auto" w:sz="4"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color w:val="auto"/>
                <w:sz w:val="24"/>
                <w:szCs w:val="24"/>
              </w:rPr>
              <w:t>COD</w:t>
            </w:r>
            <w:r>
              <w:rPr>
                <w:rFonts w:hAnsi="宋体"/>
                <w:color w:val="auto"/>
                <w:sz w:val="24"/>
                <w:szCs w:val="24"/>
              </w:rPr>
              <w:t>、</w:t>
            </w:r>
            <w:r>
              <w:rPr>
                <w:color w:val="auto"/>
                <w:sz w:val="24"/>
                <w:szCs w:val="24"/>
              </w:rPr>
              <w:t xml:space="preserve"> BOD</w:t>
            </w:r>
            <w:r>
              <w:rPr>
                <w:color w:val="auto"/>
                <w:sz w:val="24"/>
                <w:szCs w:val="24"/>
                <w:vertAlign w:val="subscript"/>
              </w:rPr>
              <w:t>5</w:t>
            </w:r>
            <w:r>
              <w:rPr>
                <w:rFonts w:hAnsi="宋体"/>
                <w:color w:val="auto"/>
                <w:sz w:val="24"/>
                <w:szCs w:val="24"/>
              </w:rPr>
              <w:t>、</w:t>
            </w:r>
            <w:r>
              <w:rPr>
                <w:color w:val="auto"/>
                <w:sz w:val="24"/>
                <w:szCs w:val="24"/>
              </w:rPr>
              <w:t>SS</w:t>
            </w:r>
            <w:r>
              <w:rPr>
                <w:rFonts w:hAnsi="宋体"/>
                <w:color w:val="auto"/>
                <w:sz w:val="24"/>
                <w:szCs w:val="24"/>
              </w:rPr>
              <w:t>、</w:t>
            </w:r>
            <w:r>
              <w:rPr>
                <w:color w:val="auto"/>
                <w:sz w:val="24"/>
                <w:szCs w:val="24"/>
              </w:rPr>
              <w:t>NH</w:t>
            </w:r>
            <w:r>
              <w:rPr>
                <w:color w:val="auto"/>
                <w:sz w:val="24"/>
                <w:szCs w:val="24"/>
                <w:vertAlign w:val="subscript"/>
              </w:rPr>
              <w:t>3</w:t>
            </w:r>
            <w:r>
              <w:rPr>
                <w:color w:val="auto"/>
                <w:sz w:val="24"/>
                <w:szCs w:val="24"/>
              </w:rPr>
              <w:t>-N</w:t>
            </w:r>
          </w:p>
        </w:tc>
        <w:tc>
          <w:tcPr>
            <w:tcW w:w="2813" w:type="dxa"/>
            <w:tcBorders>
              <w:top w:val="single" w:color="auto" w:sz="4" w:space="0"/>
              <w:left w:val="single" w:color="000000" w:sz="6"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bCs/>
                <w:color w:val="auto"/>
                <w:sz w:val="24"/>
                <w:szCs w:val="24"/>
              </w:rPr>
              <w:t>隔油隔渣</w:t>
            </w:r>
            <w:r>
              <w:rPr>
                <w:bCs/>
                <w:color w:val="auto"/>
                <w:sz w:val="24"/>
                <w:szCs w:val="24"/>
              </w:rPr>
              <w:t>+</w:t>
            </w:r>
            <w:r>
              <w:rPr>
                <w:rFonts w:hAnsi="宋体"/>
                <w:bCs/>
                <w:color w:val="auto"/>
                <w:sz w:val="24"/>
                <w:szCs w:val="24"/>
              </w:rPr>
              <w:t>化粪池处理后定期清掏，用作周边居民、农户耕地肥料</w:t>
            </w:r>
          </w:p>
        </w:tc>
        <w:tc>
          <w:tcPr>
            <w:tcW w:w="2655" w:type="dxa"/>
            <w:tcBorders>
              <w:top w:val="single" w:color="000000" w:sz="6" w:space="0"/>
              <w:left w:val="single" w:color="000000" w:sz="6"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int="eastAsia" w:hAnsi="宋体"/>
                <w:color w:val="auto"/>
                <w:sz w:val="24"/>
                <w:szCs w:val="24"/>
                <w:lang w:eastAsia="zh-CN"/>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kern w:val="24"/>
                <w:sz w:val="24"/>
                <w:szCs w:val="24"/>
              </w:rPr>
              <w:t>施工废水</w:t>
            </w:r>
            <w:r>
              <w:rPr>
                <w:rFonts w:hint="eastAsia" w:hAnsi="宋体"/>
                <w:color w:val="auto"/>
                <w:kern w:val="24"/>
                <w:sz w:val="24"/>
                <w:szCs w:val="24"/>
              </w:rPr>
              <w:t>（包括场地雨水、基坑废水、洗车废水等）</w:t>
            </w:r>
          </w:p>
        </w:tc>
        <w:tc>
          <w:tcPr>
            <w:tcW w:w="1526" w:type="dxa"/>
            <w:tcBorders>
              <w:top w:val="single" w:color="000000" w:sz="6" w:space="0"/>
              <w:left w:val="single" w:color="auto" w:sz="4" w:space="0"/>
              <w:bottom w:val="single" w:color="000000" w:sz="6" w:space="0"/>
              <w:right w:val="single" w:color="000000" w:sz="6" w:space="0"/>
            </w:tcBorders>
            <w:vAlign w:val="center"/>
          </w:tcPr>
          <w:p>
            <w:pPr>
              <w:keepNext w:val="0"/>
              <w:keepLines w:val="0"/>
              <w:pageBreakBefore w:val="0"/>
              <w:kinsoku/>
              <w:wordWrap/>
              <w:topLinePunct/>
              <w:autoSpaceDE w:val="0"/>
              <w:autoSpaceDN w:val="0"/>
              <w:bidi w:val="0"/>
              <w:adjustRightInd/>
              <w:snapToGrid/>
              <w:spacing w:line="240" w:lineRule="auto"/>
              <w:ind w:left="0" w:leftChars="0" w:right="0" w:rightChars="0"/>
              <w:jc w:val="center"/>
              <w:textAlignment w:val="auto"/>
              <w:outlineLvl w:val="9"/>
              <w:rPr>
                <w:color w:val="auto"/>
                <w:kern w:val="24"/>
                <w:sz w:val="24"/>
                <w:szCs w:val="24"/>
              </w:rPr>
            </w:pPr>
            <w:r>
              <w:rPr>
                <w:color w:val="auto"/>
                <w:sz w:val="24"/>
                <w:szCs w:val="24"/>
                <w:lang w:val="zh-CN"/>
              </w:rPr>
              <w:t>SS</w:t>
            </w:r>
            <w:r>
              <w:rPr>
                <w:rFonts w:hAnsi="宋体"/>
                <w:color w:val="auto"/>
                <w:sz w:val="24"/>
                <w:szCs w:val="24"/>
                <w:lang w:val="zh-CN"/>
              </w:rPr>
              <w:t>、石油类、</w:t>
            </w:r>
            <w:r>
              <w:rPr>
                <w:rFonts w:hint="eastAsia" w:hAnsi="宋体"/>
                <w:color w:val="auto"/>
                <w:sz w:val="24"/>
                <w:szCs w:val="24"/>
                <w:lang w:val="zh-CN"/>
              </w:rPr>
              <w:t>六六六、滴滴涕</w:t>
            </w:r>
          </w:p>
        </w:tc>
        <w:tc>
          <w:tcPr>
            <w:tcW w:w="281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int="eastAsia" w:hAnsi="宋体"/>
                <w:color w:val="auto"/>
                <w:sz w:val="24"/>
                <w:szCs w:val="24"/>
                <w:lang w:eastAsia="zh-CN"/>
              </w:rPr>
              <w:t>除部分回用泼洒抑尘外，其余</w:t>
            </w:r>
            <w:r>
              <w:rPr>
                <w:rFonts w:hAnsi="宋体"/>
                <w:color w:val="auto"/>
                <w:sz w:val="24"/>
                <w:szCs w:val="24"/>
                <w:lang w:val="zh-CN"/>
              </w:rPr>
              <w:t>集中收集后</w:t>
            </w:r>
            <w:r>
              <w:rPr>
                <w:rFonts w:hint="eastAsia" w:hAnsi="宋体"/>
                <w:color w:val="auto"/>
                <w:sz w:val="24"/>
                <w:szCs w:val="24"/>
                <w:lang w:val="zh-CN"/>
              </w:rPr>
              <w:t>经两级沉淀后，经槽罐车运输至有处理能力的污水处理厂或企业污水处理装置处理</w:t>
            </w:r>
          </w:p>
        </w:tc>
        <w:tc>
          <w:tcPr>
            <w:tcW w:w="2655"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int="eastAsia" w:eastAsia="宋体"/>
                <w:color w:val="auto"/>
                <w:sz w:val="24"/>
                <w:szCs w:val="24"/>
                <w:lang w:eastAsia="zh-CN"/>
              </w:rPr>
            </w:pPr>
            <w:r>
              <w:rPr>
                <w:rFonts w:hint="eastAsia" w:hAnsi="宋体"/>
                <w:color w:val="auto"/>
                <w:sz w:val="24"/>
                <w:szCs w:val="24"/>
                <w:lang w:eastAsia="zh-CN"/>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restart"/>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固</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体</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废</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物</w:t>
            </w:r>
          </w:p>
        </w:tc>
        <w:tc>
          <w:tcPr>
            <w:tcW w:w="1526" w:type="dxa"/>
            <w:vMerge w:val="restart"/>
            <w:tcBorders>
              <w:top w:val="single" w:color="000000" w:sz="6" w:space="0"/>
              <w:left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建筑物拆除</w:t>
            </w:r>
          </w:p>
        </w:tc>
        <w:tc>
          <w:tcPr>
            <w:tcW w:w="1526" w:type="dxa"/>
            <w:tcBorders>
              <w:top w:val="single" w:color="000000" w:sz="6" w:space="0"/>
              <w:left w:val="single" w:color="auto" w:sz="4" w:space="0"/>
              <w:bottom w:val="single" w:color="auto" w:sz="4"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土石方</w:t>
            </w:r>
          </w:p>
        </w:tc>
        <w:tc>
          <w:tcPr>
            <w:tcW w:w="2813" w:type="dxa"/>
            <w:vMerge w:val="restart"/>
            <w:tcBorders>
              <w:top w:val="single" w:color="000000" w:sz="6" w:space="0"/>
              <w:left w:val="single" w:color="000000" w:sz="6" w:space="0"/>
              <w:right w:val="single" w:color="000000" w:sz="6" w:space="0"/>
            </w:tcBorders>
            <w:vAlign w:val="center"/>
          </w:tcPr>
          <w:p>
            <w:pPr>
              <w:keepNext w:val="0"/>
              <w:keepLines w:val="0"/>
              <w:pageBreakBefore w:val="0"/>
              <w:kinsoku/>
              <w:wordWrap/>
              <w:overflowPunct w:val="0"/>
              <w:autoSpaceDE w:val="0"/>
              <w:autoSpaceDN w:val="0"/>
              <w:bidi w:val="0"/>
              <w:adjustRightInd/>
              <w:snapToGrid/>
              <w:spacing w:line="240" w:lineRule="auto"/>
              <w:ind w:left="0" w:leftChars="0" w:right="0" w:rightChars="0"/>
              <w:jc w:val="center"/>
              <w:textAlignment w:val="auto"/>
              <w:outlineLvl w:val="9"/>
              <w:rPr>
                <w:color w:val="auto"/>
                <w:kern w:val="0"/>
                <w:sz w:val="24"/>
                <w:szCs w:val="24"/>
                <w:lang w:val="sq-AL"/>
              </w:rPr>
            </w:pPr>
            <w:r>
              <w:rPr>
                <w:rFonts w:hAnsi="宋体"/>
                <w:color w:val="auto"/>
                <w:sz w:val="24"/>
                <w:szCs w:val="24"/>
              </w:rPr>
              <w:t>运至</w:t>
            </w:r>
            <w:r>
              <w:rPr>
                <w:rFonts w:hint="eastAsia" w:hAnsi="宋体"/>
                <w:color w:val="auto"/>
                <w:sz w:val="24"/>
                <w:szCs w:val="24"/>
              </w:rPr>
              <w:t>相关专业机构进行集中处理</w:t>
            </w:r>
          </w:p>
        </w:tc>
        <w:tc>
          <w:tcPr>
            <w:tcW w:w="2655" w:type="dxa"/>
            <w:vMerge w:val="restart"/>
            <w:tcBorders>
              <w:top w:val="single" w:color="000000" w:sz="6" w:space="0"/>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不会对项目周围环境造成明显影响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vMerge w:val="continue"/>
            <w:tcBorders>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废钢材</w:t>
            </w:r>
          </w:p>
        </w:tc>
        <w:tc>
          <w:tcPr>
            <w:tcW w:w="2813" w:type="dxa"/>
            <w:vMerge w:val="continue"/>
            <w:tcBorders>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p>
        </w:tc>
        <w:tc>
          <w:tcPr>
            <w:tcW w:w="2655"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防渗</w:t>
            </w: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废防渗材料</w:t>
            </w:r>
          </w:p>
        </w:tc>
        <w:tc>
          <w:tcPr>
            <w:tcW w:w="2813" w:type="dxa"/>
            <w:vMerge w:val="continue"/>
            <w:tcBorders>
              <w:left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p>
        </w:tc>
        <w:tc>
          <w:tcPr>
            <w:tcW w:w="2655"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筛分</w:t>
            </w: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筛分渣土</w:t>
            </w:r>
          </w:p>
        </w:tc>
        <w:tc>
          <w:tcPr>
            <w:tcW w:w="2813" w:type="dxa"/>
            <w:vMerge w:val="continue"/>
            <w:tcBorders>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p>
        </w:tc>
        <w:tc>
          <w:tcPr>
            <w:tcW w:w="2655"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int="eastAsia" w:hAnsi="宋体"/>
                <w:color w:val="auto"/>
                <w:sz w:val="24"/>
                <w:szCs w:val="24"/>
              </w:rPr>
              <w:t>修复处置</w:t>
            </w:r>
            <w:r>
              <w:rPr>
                <w:rFonts w:hAnsi="宋体"/>
                <w:color w:val="auto"/>
                <w:sz w:val="24"/>
                <w:szCs w:val="24"/>
              </w:rPr>
              <w:t>处理</w:t>
            </w: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int="eastAsia" w:hAnsi="宋体"/>
                <w:color w:val="auto"/>
                <w:sz w:val="24"/>
                <w:szCs w:val="24"/>
              </w:rPr>
              <w:t>收集粉尘</w:t>
            </w:r>
          </w:p>
        </w:tc>
        <w:tc>
          <w:tcPr>
            <w:tcW w:w="2813"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int="eastAsia" w:hAnsi="宋体"/>
                <w:color w:val="auto"/>
                <w:sz w:val="24"/>
                <w:szCs w:val="24"/>
              </w:rPr>
              <w:t>与项目污染土壤一并进行修复</w:t>
            </w:r>
          </w:p>
        </w:tc>
        <w:tc>
          <w:tcPr>
            <w:tcW w:w="2655"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int="eastAsia" w:hAnsi="宋体"/>
                <w:color w:val="auto"/>
                <w:sz w:val="24"/>
                <w:szCs w:val="24"/>
              </w:rPr>
              <w:t>废气处理装置</w:t>
            </w: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int="eastAsia" w:hAnsi="宋体"/>
                <w:color w:val="auto"/>
                <w:sz w:val="24"/>
                <w:szCs w:val="24"/>
              </w:rPr>
              <w:t>废活性炭</w:t>
            </w:r>
          </w:p>
        </w:tc>
        <w:tc>
          <w:tcPr>
            <w:tcW w:w="2813"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rFonts w:hAnsi="宋体"/>
                <w:color w:val="auto"/>
                <w:sz w:val="24"/>
                <w:szCs w:val="24"/>
              </w:rPr>
            </w:pPr>
            <w:r>
              <w:rPr>
                <w:rFonts w:hint="eastAsia" w:hAnsi="宋体"/>
                <w:color w:val="auto"/>
                <w:sz w:val="24"/>
                <w:szCs w:val="24"/>
              </w:rPr>
              <w:t>及时委托有资质单位处理</w:t>
            </w:r>
          </w:p>
        </w:tc>
        <w:tc>
          <w:tcPr>
            <w:tcW w:w="2655" w:type="dxa"/>
            <w:vMerge w:val="continue"/>
            <w:tcBorders>
              <w:left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c>
          <w:tcPr>
            <w:tcW w:w="1526" w:type="dxa"/>
            <w:tcBorders>
              <w:top w:val="single" w:color="auto" w:sz="4"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员工生活</w:t>
            </w:r>
          </w:p>
        </w:tc>
        <w:tc>
          <w:tcPr>
            <w:tcW w:w="1526" w:type="dxa"/>
            <w:tcBorders>
              <w:top w:val="single" w:color="auto" w:sz="4"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生活垃圾</w:t>
            </w:r>
          </w:p>
        </w:tc>
        <w:tc>
          <w:tcPr>
            <w:tcW w:w="2813" w:type="dxa"/>
            <w:tcBorders>
              <w:top w:val="single" w:color="auto" w:sz="4"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环卫统一处理</w:t>
            </w:r>
          </w:p>
        </w:tc>
        <w:tc>
          <w:tcPr>
            <w:tcW w:w="2655" w:type="dxa"/>
            <w:vMerge w:val="continue"/>
            <w:tcBorders>
              <w:left w:val="single" w:color="000000" w:sz="6" w:space="0"/>
              <w:bottom w:val="single" w:color="000000" w:sz="6" w:space="0"/>
              <w:right w:val="single" w:color="000000" w:sz="6" w:space="0"/>
            </w:tcBorders>
            <w:vAlign w:val="center"/>
          </w:tcPr>
          <w:p>
            <w:pPr>
              <w:keepNext w:val="0"/>
              <w:keepLines w:val="0"/>
              <w:pageBreakBefore w:val="0"/>
              <w:widowControl/>
              <w:kinsoku/>
              <w:wordWrap/>
              <w:bidi w:val="0"/>
              <w:adjustRightInd/>
              <w:snapToGrid/>
              <w:spacing w:line="240" w:lineRule="auto"/>
              <w:ind w:left="0" w:leftChars="0" w:right="0" w:rightChars="0"/>
              <w:jc w:val="left"/>
              <w:textAlignment w:val="auto"/>
              <w:outlineLvl w:val="9"/>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766" w:type="dxa"/>
            <w:tcBorders>
              <w:top w:val="single" w:color="000000" w:sz="6" w:space="0"/>
              <w:left w:val="single" w:color="000000" w:sz="6" w:space="0"/>
              <w:bottom w:val="single" w:color="000000" w:sz="6"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噪</w:t>
            </w:r>
          </w:p>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声</w:t>
            </w:r>
          </w:p>
        </w:tc>
        <w:tc>
          <w:tcPr>
            <w:tcW w:w="3052" w:type="dxa"/>
            <w:gridSpan w:val="2"/>
            <w:tcBorders>
              <w:top w:val="single" w:color="000000" w:sz="6" w:space="0"/>
              <w:left w:val="single" w:color="auto" w:sz="4" w:space="0"/>
              <w:bottom w:val="single" w:color="auto" w:sz="4"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施工机械、运输车辆</w:t>
            </w:r>
          </w:p>
        </w:tc>
        <w:tc>
          <w:tcPr>
            <w:tcW w:w="2813" w:type="dxa"/>
            <w:tcBorders>
              <w:top w:val="single" w:color="000000" w:sz="6" w:space="0"/>
              <w:left w:val="single" w:color="auto" w:sz="4" w:space="0"/>
              <w:bottom w:val="single" w:color="auto" w:sz="4" w:space="0"/>
              <w:right w:val="single" w:color="auto" w:sz="4"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合理安排施工时间，科学布置强噪声设备，选择低噪声设备等措施，设置临时围挡</w:t>
            </w:r>
          </w:p>
        </w:tc>
        <w:tc>
          <w:tcPr>
            <w:tcW w:w="2655" w:type="dxa"/>
            <w:tcBorders>
              <w:top w:val="single" w:color="000000" w:sz="6" w:space="0"/>
              <w:left w:val="single" w:color="auto" w:sz="4"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jc w:val="center"/>
              <w:textAlignment w:val="auto"/>
              <w:outlineLvl w:val="9"/>
              <w:rPr>
                <w:color w:val="auto"/>
                <w:sz w:val="24"/>
                <w:szCs w:val="24"/>
              </w:rPr>
            </w:pPr>
            <w:r>
              <w:rPr>
                <w:rFonts w:hAnsi="宋体"/>
                <w:color w:val="auto"/>
                <w:sz w:val="24"/>
                <w:szCs w:val="24"/>
              </w:rPr>
              <w:t>《建筑施工场界环境噪声排放标准》</w:t>
            </w:r>
            <w:r>
              <w:rPr>
                <w:color w:val="auto"/>
                <w:sz w:val="24"/>
                <w:szCs w:val="24"/>
              </w:rPr>
              <w:t>(GB12523-2011)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97" w:hRule="atLeast"/>
          <w:jc w:val="center"/>
        </w:trPr>
        <w:tc>
          <w:tcPr>
            <w:tcW w:w="9286" w:type="dxa"/>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kinsoku/>
              <w:wordWrap/>
              <w:bidi w:val="0"/>
              <w:adjustRightInd/>
              <w:snapToGrid/>
              <w:spacing w:line="240" w:lineRule="auto"/>
              <w:ind w:left="0" w:leftChars="0" w:right="0" w:rightChars="0"/>
              <w:textAlignment w:val="auto"/>
              <w:outlineLvl w:val="9"/>
              <w:rPr>
                <w:b/>
                <w:bCs/>
                <w:color w:val="auto"/>
                <w:sz w:val="24"/>
                <w:szCs w:val="24"/>
              </w:rPr>
            </w:pPr>
            <w:r>
              <w:rPr>
                <w:rFonts w:hAnsi="宋体"/>
                <w:b/>
                <w:bCs/>
                <w:color w:val="auto"/>
                <w:sz w:val="24"/>
                <w:szCs w:val="24"/>
              </w:rPr>
              <w:t>生态保护措施及预期效果：</w:t>
            </w: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r>
              <w:rPr>
                <w:rFonts w:hAnsi="宋体"/>
                <w:color w:val="auto"/>
                <w:sz w:val="24"/>
                <w:szCs w:val="24"/>
              </w:rPr>
              <w:t>合理选择施工工期，避免雨季开挖；施工期间对土壤开挖区、堆土场设置排水沟及抽水设备，保证厂区、基坑积水及时排出；裸露表土用篷布遮盖；加强水土保持宣传；土壤修复完成后对表层进行生态恢复，种植树木等。采取以上措施后</w:t>
            </w:r>
            <w:r>
              <w:rPr>
                <w:rFonts w:hint="eastAsia" w:hAnsi="宋体"/>
                <w:color w:val="auto"/>
                <w:sz w:val="24"/>
                <w:szCs w:val="24"/>
              </w:rPr>
              <w:t>，土壤修复效果可达到</w:t>
            </w:r>
            <w:r>
              <w:rPr>
                <w:rFonts w:hint="eastAsia"/>
                <w:color w:val="auto"/>
                <w:sz w:val="24"/>
                <w:szCs w:val="24"/>
                <w:lang w:val="zh-TW"/>
              </w:rPr>
              <w:t>湖南省地方标准《重金属污染场地土壤修复标准》（</w:t>
            </w:r>
            <w:r>
              <w:rPr>
                <w:color w:val="auto"/>
                <w:sz w:val="24"/>
                <w:szCs w:val="24"/>
              </w:rPr>
              <w:t>DB/T1165-2016</w:t>
            </w:r>
            <w:r>
              <w:rPr>
                <w:rFonts w:hint="eastAsia"/>
                <w:color w:val="auto"/>
                <w:sz w:val="24"/>
                <w:szCs w:val="24"/>
              </w:rPr>
              <w:t>）</w:t>
            </w:r>
            <w:r>
              <w:rPr>
                <w:rFonts w:hAnsi="宋体"/>
                <w:color w:val="auto"/>
                <w:sz w:val="24"/>
                <w:szCs w:val="24"/>
              </w:rPr>
              <w:t>，本项目的实施对区域生态环境影响较小，本项目为土壤修复工程，可有效改善区域土壤环境。</w:t>
            </w: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firstLine="480" w:firstLineChars="200"/>
              <w:textAlignment w:val="auto"/>
              <w:outlineLvl w:val="9"/>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pStyle w:val="2"/>
              <w:rPr>
                <w:rFonts w:hAnsi="宋体"/>
                <w:color w:val="auto"/>
                <w:sz w:val="24"/>
                <w:szCs w:val="24"/>
              </w:rPr>
            </w:pPr>
          </w:p>
          <w:p>
            <w:pPr>
              <w:keepNext w:val="0"/>
              <w:keepLines w:val="0"/>
              <w:pageBreakBefore w:val="0"/>
              <w:kinsoku/>
              <w:wordWrap/>
              <w:bidi w:val="0"/>
              <w:adjustRightInd/>
              <w:snapToGrid/>
              <w:spacing w:line="240" w:lineRule="auto"/>
              <w:ind w:left="0" w:leftChars="0" w:right="0" w:rightChars="0"/>
              <w:textAlignment w:val="auto"/>
              <w:outlineLvl w:val="9"/>
              <w:rPr>
                <w:color w:val="auto"/>
                <w:sz w:val="24"/>
                <w:szCs w:val="24"/>
              </w:rPr>
            </w:pPr>
          </w:p>
        </w:tc>
      </w:tr>
    </w:tbl>
    <w:p>
      <w:pPr>
        <w:pStyle w:val="3"/>
        <w:spacing w:before="0" w:after="0" w:line="240" w:lineRule="auto"/>
        <w:rPr>
          <w:b w:val="0"/>
          <w:color w:val="auto"/>
          <w:sz w:val="32"/>
        </w:rPr>
      </w:pPr>
      <w:r>
        <w:rPr>
          <w:b w:val="0"/>
          <w:color w:val="auto"/>
          <w:sz w:val="32"/>
        </w:rPr>
        <w:br w:type="page"/>
      </w:r>
      <w:bookmarkStart w:id="55" w:name="_Toc485612244"/>
      <w:r>
        <w:rPr>
          <w:rFonts w:hAnsi="宋体"/>
          <w:color w:val="auto"/>
          <w:sz w:val="28"/>
          <w:szCs w:val="28"/>
        </w:rPr>
        <w:t>结论与建议</w:t>
      </w:r>
      <w:bookmarkEnd w:id="55"/>
    </w:p>
    <w:tbl>
      <w:tblPr>
        <w:tblStyle w:val="30"/>
        <w:tblW w:w="92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5"/>
        <w:gridCol w:w="50"/>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3" w:hRule="atLeast"/>
          <w:jc w:val="center"/>
        </w:trPr>
        <w:tc>
          <w:tcPr>
            <w:tcW w:w="9252" w:type="dxa"/>
            <w:gridSpan w:val="3"/>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b/>
                <w:color w:val="auto"/>
                <w:sz w:val="24"/>
                <w:szCs w:val="24"/>
              </w:rPr>
            </w:pPr>
            <w:r>
              <w:rPr>
                <w:rFonts w:hAnsi="宋体"/>
                <w:b/>
                <w:color w:val="auto"/>
                <w:sz w:val="24"/>
                <w:szCs w:val="24"/>
              </w:rPr>
              <w:t>一、结论：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rPr>
            </w:pPr>
            <w:r>
              <w:rPr>
                <w:b/>
                <w:color w:val="auto"/>
                <w:sz w:val="24"/>
                <w:szCs w:val="24"/>
              </w:rPr>
              <w:t>1</w:t>
            </w:r>
            <w:r>
              <w:rPr>
                <w:rFonts w:hAnsi="宋体"/>
                <w:b/>
                <w:color w:val="auto"/>
                <w:sz w:val="24"/>
                <w:szCs w:val="24"/>
              </w:rPr>
              <w:t>、项目概况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4"/>
              </w:rPr>
            </w:pPr>
            <w:r>
              <w:rPr>
                <w:rFonts w:hint="eastAsia" w:hAnsi="宋体"/>
                <w:color w:val="auto"/>
                <w:sz w:val="24"/>
              </w:rPr>
              <w:t>平江县原三阳乡化学农药厂污染土壤治理项目</w:t>
            </w:r>
            <w:r>
              <w:rPr>
                <w:rFonts w:hAnsi="宋体"/>
                <w:color w:val="auto"/>
                <w:sz w:val="24"/>
                <w:szCs w:val="24"/>
              </w:rPr>
              <w:t>位于</w:t>
            </w:r>
            <w:r>
              <w:rPr>
                <w:rFonts w:hint="eastAsia" w:hAnsi="宋体"/>
                <w:color w:val="auto"/>
                <w:sz w:val="24"/>
              </w:rPr>
              <w:t>湖南省岳阳市平江县城关镇长冲路与106国道交汇夹角北侧</w:t>
            </w:r>
            <w:r>
              <w:rPr>
                <w:rFonts w:hAnsi="宋体"/>
                <w:color w:val="auto"/>
                <w:sz w:val="24"/>
              </w:rPr>
              <w:t>（原</w:t>
            </w:r>
            <w:r>
              <w:rPr>
                <w:rFonts w:hint="eastAsia" w:hAnsi="宋体"/>
                <w:color w:val="auto"/>
                <w:sz w:val="24"/>
              </w:rPr>
              <w:t>平江县原三阳乡化学农药厂</w:t>
            </w:r>
            <w:r>
              <w:rPr>
                <w:rFonts w:hAnsi="宋体"/>
                <w:color w:val="auto"/>
                <w:sz w:val="24"/>
              </w:rPr>
              <w:t>）</w:t>
            </w:r>
            <w:r>
              <w:rPr>
                <w:rFonts w:hAnsi="宋体"/>
                <w:color w:val="auto"/>
                <w:sz w:val="24"/>
                <w:szCs w:val="24"/>
              </w:rPr>
              <w:t>。项目</w:t>
            </w:r>
            <w:r>
              <w:rPr>
                <w:rFonts w:hAnsi="宋体"/>
                <w:color w:val="auto"/>
                <w:sz w:val="24"/>
              </w:rPr>
              <w:t>总投资为</w:t>
            </w:r>
            <w:r>
              <w:rPr>
                <w:rFonts w:hint="eastAsia"/>
                <w:color w:val="auto"/>
                <w:sz w:val="24"/>
              </w:rPr>
              <w:t>2600</w:t>
            </w:r>
            <w:r>
              <w:rPr>
                <w:rFonts w:hAnsi="宋体"/>
                <w:color w:val="auto"/>
                <w:sz w:val="24"/>
              </w:rPr>
              <w:t>万元，</w:t>
            </w:r>
            <w:r>
              <w:rPr>
                <w:rFonts w:hAnsi="宋体"/>
                <w:snapToGrid w:val="0"/>
                <w:color w:val="auto"/>
                <w:kern w:val="0"/>
                <w:sz w:val="24"/>
              </w:rPr>
              <w:t>总占地面积</w:t>
            </w:r>
            <w:r>
              <w:rPr>
                <w:rFonts w:hint="eastAsia"/>
                <w:snapToGrid w:val="0"/>
                <w:color w:val="auto"/>
                <w:kern w:val="0"/>
                <w:sz w:val="24"/>
              </w:rPr>
              <w:t>15339.777</w:t>
            </w:r>
            <w:r>
              <w:rPr>
                <w:snapToGrid w:val="0"/>
                <w:color w:val="auto"/>
                <w:kern w:val="0"/>
                <w:sz w:val="24"/>
              </w:rPr>
              <w:t>m</w:t>
            </w:r>
            <w:r>
              <w:rPr>
                <w:snapToGrid w:val="0"/>
                <w:color w:val="auto"/>
                <w:kern w:val="0"/>
                <w:sz w:val="24"/>
                <w:vertAlign w:val="superscript"/>
              </w:rPr>
              <w:t>2</w:t>
            </w:r>
            <w:r>
              <w:rPr>
                <w:rFonts w:hAnsi="宋体"/>
                <w:snapToGrid w:val="0"/>
                <w:color w:val="auto"/>
                <w:kern w:val="0"/>
                <w:sz w:val="24"/>
              </w:rPr>
              <w:t>（包括包括土壤修复区占地面积</w:t>
            </w:r>
            <w:r>
              <w:rPr>
                <w:rFonts w:hint="eastAsia"/>
                <w:color w:val="auto"/>
                <w:sz w:val="24"/>
              </w:rPr>
              <w:t>13539.777</w:t>
            </w:r>
            <w:r>
              <w:rPr>
                <w:color w:val="auto"/>
                <w:sz w:val="24"/>
              </w:rPr>
              <w:t>m</w:t>
            </w:r>
            <w:r>
              <w:rPr>
                <w:color w:val="auto"/>
                <w:sz w:val="24"/>
                <w:vertAlign w:val="superscript"/>
              </w:rPr>
              <w:t>2</w:t>
            </w:r>
            <w:r>
              <w:rPr>
                <w:rFonts w:hAnsi="宋体"/>
                <w:color w:val="auto"/>
                <w:sz w:val="24"/>
              </w:rPr>
              <w:t>和临时</w:t>
            </w:r>
            <w:r>
              <w:rPr>
                <w:rFonts w:hint="eastAsia" w:hAnsi="宋体"/>
                <w:color w:val="auto"/>
                <w:sz w:val="24"/>
              </w:rPr>
              <w:t>负压大棚</w:t>
            </w:r>
            <w:r>
              <w:rPr>
                <w:rFonts w:hAnsi="宋体"/>
                <w:color w:val="auto"/>
                <w:sz w:val="24"/>
              </w:rPr>
              <w:t>占地面积</w:t>
            </w:r>
            <w:r>
              <w:rPr>
                <w:rFonts w:hint="eastAsia" w:hAnsi="宋体"/>
                <w:color w:val="auto"/>
                <w:sz w:val="24"/>
              </w:rPr>
              <w:t>1</w:t>
            </w:r>
            <w:r>
              <w:rPr>
                <w:color w:val="auto"/>
                <w:sz w:val="24"/>
              </w:rPr>
              <w:t>800m</w:t>
            </w:r>
            <w:r>
              <w:rPr>
                <w:color w:val="auto"/>
                <w:sz w:val="24"/>
                <w:vertAlign w:val="superscript"/>
              </w:rPr>
              <w:t>2</w:t>
            </w:r>
            <w:r>
              <w:rPr>
                <w:rFonts w:hAnsi="宋体"/>
                <w:snapToGrid w:val="0"/>
                <w:color w:val="auto"/>
                <w:kern w:val="0"/>
                <w:sz w:val="24"/>
              </w:rPr>
              <w:t>），总建筑面积</w:t>
            </w:r>
            <w:r>
              <w:rPr>
                <w:rFonts w:hint="eastAsia" w:hAnsi="宋体"/>
                <w:snapToGrid w:val="0"/>
                <w:color w:val="auto"/>
                <w:kern w:val="0"/>
                <w:sz w:val="24"/>
              </w:rPr>
              <w:t>1</w:t>
            </w:r>
            <w:r>
              <w:rPr>
                <w:snapToGrid w:val="0"/>
                <w:color w:val="auto"/>
                <w:kern w:val="0"/>
                <w:sz w:val="24"/>
              </w:rPr>
              <w:t>800m</w:t>
            </w:r>
            <w:r>
              <w:rPr>
                <w:snapToGrid w:val="0"/>
                <w:color w:val="auto"/>
                <w:kern w:val="0"/>
                <w:sz w:val="24"/>
                <w:vertAlign w:val="superscript"/>
              </w:rPr>
              <w:t>2</w:t>
            </w:r>
            <w:r>
              <w:rPr>
                <w:rFonts w:hAnsi="宋体"/>
                <w:snapToGrid w:val="0"/>
                <w:color w:val="auto"/>
                <w:kern w:val="0"/>
                <w:sz w:val="24"/>
              </w:rPr>
              <w:t>。</w:t>
            </w:r>
            <w:r>
              <w:rPr>
                <w:rFonts w:hAnsi="宋体"/>
                <w:color w:val="auto"/>
                <w:sz w:val="24"/>
              </w:rPr>
              <w:t>建设内容包括①场地内建筑垃圾转运：对场地内建构筑物进行拆除，建筑垃圾转运至</w:t>
            </w:r>
            <w:r>
              <w:rPr>
                <w:rFonts w:hint="eastAsia" w:hAnsi="宋体"/>
                <w:color w:val="auto"/>
                <w:sz w:val="24"/>
              </w:rPr>
              <w:t>相关专业机构进行集中处理</w:t>
            </w:r>
            <w:r>
              <w:rPr>
                <w:rFonts w:hAnsi="宋体"/>
                <w:color w:val="auto"/>
                <w:sz w:val="24"/>
              </w:rPr>
              <w:t>；②污染土壤清理：对场地</w:t>
            </w:r>
            <w:r>
              <w:rPr>
                <w:rFonts w:hint="eastAsia"/>
                <w:snapToGrid w:val="0"/>
                <w:color w:val="auto"/>
                <w:kern w:val="0"/>
                <w:sz w:val="24"/>
              </w:rPr>
              <w:t>15339.777</w:t>
            </w:r>
            <w:r>
              <w:rPr>
                <w:color w:val="auto"/>
                <w:sz w:val="24"/>
              </w:rPr>
              <w:t>m</w:t>
            </w:r>
            <w:r>
              <w:rPr>
                <w:color w:val="auto"/>
                <w:sz w:val="24"/>
                <w:vertAlign w:val="superscript"/>
              </w:rPr>
              <w:t>2</w:t>
            </w:r>
            <w:r>
              <w:rPr>
                <w:rFonts w:hAnsi="宋体"/>
                <w:color w:val="auto"/>
                <w:sz w:val="24"/>
              </w:rPr>
              <w:t>污染范围进行原位异地</w:t>
            </w:r>
            <w:r>
              <w:rPr>
                <w:rFonts w:hint="eastAsia" w:hAnsi="宋体"/>
                <w:color w:val="auto"/>
                <w:sz w:val="24"/>
                <w:lang w:eastAsia="zh-CN"/>
              </w:rPr>
              <w:t>化学氧化</w:t>
            </w:r>
            <w:r>
              <w:rPr>
                <w:rFonts w:hAnsi="宋体"/>
                <w:color w:val="auto"/>
                <w:sz w:val="24"/>
              </w:rPr>
              <w:t>处理，</w:t>
            </w:r>
            <w:r>
              <w:rPr>
                <w:rFonts w:hint="eastAsia" w:hAnsi="宋体"/>
                <w:color w:val="auto"/>
                <w:sz w:val="24"/>
              </w:rPr>
              <w:t>修复</w:t>
            </w:r>
            <w:r>
              <w:rPr>
                <w:rFonts w:hAnsi="宋体"/>
                <w:color w:val="auto"/>
                <w:sz w:val="24"/>
              </w:rPr>
              <w:t>处理后土壤</w:t>
            </w:r>
            <w:r>
              <w:rPr>
                <w:rFonts w:hint="eastAsia" w:hAnsi="宋体"/>
                <w:color w:val="auto"/>
                <w:sz w:val="24"/>
              </w:rPr>
              <w:t>在临时储存区暂存后</w:t>
            </w:r>
            <w:r>
              <w:rPr>
                <w:rFonts w:hAnsi="宋体"/>
                <w:color w:val="auto"/>
                <w:sz w:val="24"/>
              </w:rPr>
              <w:t>回填至原开挖区，并对回填区进行生态恢复。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rPr>
            </w:pPr>
            <w:r>
              <w:rPr>
                <w:b/>
                <w:color w:val="auto"/>
                <w:sz w:val="24"/>
                <w:szCs w:val="24"/>
              </w:rPr>
              <w:t>2</w:t>
            </w:r>
            <w:r>
              <w:rPr>
                <w:rFonts w:hAnsi="宋体"/>
                <w:b/>
                <w:color w:val="auto"/>
                <w:sz w:val="24"/>
                <w:szCs w:val="24"/>
              </w:rPr>
              <w:t>、产业政策、规划符合性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4"/>
              </w:rPr>
            </w:pPr>
            <w:r>
              <w:rPr>
                <w:rFonts w:hAnsi="宋体"/>
                <w:color w:val="auto"/>
                <w:sz w:val="24"/>
                <w:szCs w:val="24"/>
              </w:rPr>
              <w:t>本项目为</w:t>
            </w:r>
            <w:r>
              <w:rPr>
                <w:rFonts w:hint="eastAsia" w:hAnsi="宋体"/>
                <w:color w:val="auto"/>
                <w:sz w:val="24"/>
                <w:szCs w:val="24"/>
              </w:rPr>
              <w:t>有机物</w:t>
            </w:r>
            <w:r>
              <w:rPr>
                <w:rFonts w:hAnsi="宋体"/>
                <w:color w:val="auto"/>
                <w:sz w:val="24"/>
                <w:szCs w:val="24"/>
              </w:rPr>
              <w:t>污染土壤治理修复工程，属于《产业结构调整目录（</w:t>
            </w:r>
            <w:r>
              <w:rPr>
                <w:color w:val="auto"/>
                <w:sz w:val="24"/>
                <w:szCs w:val="24"/>
              </w:rPr>
              <w:t>2011</w:t>
            </w:r>
            <w:r>
              <w:rPr>
                <w:rFonts w:hAnsi="宋体"/>
                <w:color w:val="auto"/>
                <w:sz w:val="24"/>
                <w:szCs w:val="24"/>
              </w:rPr>
              <w:t>年本）》（</w:t>
            </w:r>
            <w:r>
              <w:rPr>
                <w:color w:val="auto"/>
                <w:sz w:val="24"/>
                <w:szCs w:val="24"/>
              </w:rPr>
              <w:t>2013</w:t>
            </w:r>
            <w:r>
              <w:rPr>
                <w:rFonts w:hAnsi="宋体"/>
                <w:color w:val="auto"/>
                <w:sz w:val="24"/>
                <w:szCs w:val="24"/>
              </w:rPr>
              <w:t>年修正）中规定的</w:t>
            </w:r>
            <w:r>
              <w:rPr>
                <w:color w:val="auto"/>
                <w:sz w:val="24"/>
                <w:szCs w:val="24"/>
              </w:rPr>
              <w:t>“</w:t>
            </w:r>
            <w:r>
              <w:rPr>
                <w:rFonts w:hAnsi="宋体"/>
                <w:color w:val="auto"/>
                <w:sz w:val="24"/>
                <w:szCs w:val="24"/>
              </w:rPr>
              <w:t>鼓励类</w:t>
            </w:r>
            <w:r>
              <w:rPr>
                <w:color w:val="auto"/>
                <w:sz w:val="24"/>
                <w:szCs w:val="24"/>
              </w:rPr>
              <w:t>”</w:t>
            </w:r>
            <w:r>
              <w:rPr>
                <w:rFonts w:hAnsi="宋体"/>
                <w:color w:val="auto"/>
                <w:sz w:val="24"/>
                <w:szCs w:val="24"/>
              </w:rPr>
              <w:t>第</w:t>
            </w:r>
            <w:r>
              <w:rPr>
                <w:color w:val="auto"/>
                <w:sz w:val="24"/>
                <w:szCs w:val="24"/>
              </w:rPr>
              <w:t>“</w:t>
            </w:r>
            <w:r>
              <w:rPr>
                <w:rFonts w:hAnsi="宋体"/>
                <w:color w:val="auto"/>
                <w:sz w:val="24"/>
                <w:szCs w:val="24"/>
              </w:rPr>
              <w:t>三十八、环境保护与资源节约综合利用</w:t>
            </w:r>
            <w:r>
              <w:rPr>
                <w:color w:val="auto"/>
                <w:sz w:val="24"/>
                <w:szCs w:val="24"/>
              </w:rPr>
              <w:t>”</w:t>
            </w:r>
            <w:r>
              <w:rPr>
                <w:rFonts w:hAnsi="宋体"/>
                <w:color w:val="auto"/>
                <w:sz w:val="24"/>
                <w:szCs w:val="24"/>
              </w:rPr>
              <w:t>中的</w:t>
            </w:r>
            <w:r>
              <w:rPr>
                <w:color w:val="auto"/>
                <w:sz w:val="24"/>
                <w:szCs w:val="24"/>
              </w:rPr>
              <w:t>“16</w:t>
            </w:r>
            <w:r>
              <w:rPr>
                <w:rFonts w:hAnsi="宋体"/>
                <w:color w:val="auto"/>
                <w:sz w:val="24"/>
                <w:szCs w:val="24"/>
              </w:rPr>
              <w:t>、三废综合利用及治理工程</w:t>
            </w:r>
            <w:r>
              <w:rPr>
                <w:color w:val="auto"/>
                <w:sz w:val="24"/>
                <w:szCs w:val="24"/>
              </w:rPr>
              <w:t>”</w:t>
            </w:r>
            <w:r>
              <w:rPr>
                <w:rFonts w:hAnsi="宋体"/>
                <w:color w:val="auto"/>
                <w:sz w:val="24"/>
                <w:szCs w:val="24"/>
              </w:rPr>
              <w:t>，因此，项目建设符合国家产业政策的要求。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textAlignment w:val="auto"/>
              <w:outlineLvl w:val="9"/>
              <w:rPr>
                <w:color w:val="auto"/>
                <w:sz w:val="24"/>
                <w:szCs w:val="28"/>
              </w:rPr>
            </w:pPr>
            <w:r>
              <w:rPr>
                <w:rFonts w:hAnsi="宋体"/>
                <w:color w:val="auto"/>
                <w:sz w:val="24"/>
                <w:szCs w:val="28"/>
              </w:rPr>
              <w:t>本项目通过对该片区土壤进行全面整治，改善</w:t>
            </w:r>
            <w:r>
              <w:rPr>
                <w:rFonts w:hint="eastAsia" w:hAnsi="宋体"/>
                <w:color w:val="auto"/>
                <w:sz w:val="24"/>
              </w:rPr>
              <w:t>江县原三阳乡化学农药厂</w:t>
            </w:r>
            <w:r>
              <w:rPr>
                <w:rFonts w:hAnsi="宋体"/>
                <w:color w:val="auto"/>
                <w:sz w:val="24"/>
                <w:szCs w:val="28"/>
              </w:rPr>
              <w:t>数年沉积的污染，消除历史欠账，使该地区回归自然生态，可有效改善</w:t>
            </w:r>
            <w:r>
              <w:rPr>
                <w:rFonts w:hint="eastAsia" w:hAnsi="宋体"/>
                <w:color w:val="auto"/>
                <w:sz w:val="24"/>
                <w:szCs w:val="28"/>
              </w:rPr>
              <w:t>区域</w:t>
            </w:r>
            <w:r>
              <w:rPr>
                <w:rFonts w:hAnsi="宋体"/>
                <w:color w:val="auto"/>
                <w:sz w:val="24"/>
                <w:szCs w:val="28"/>
              </w:rPr>
              <w:t>生态环境质量，提髙</w:t>
            </w:r>
            <w:r>
              <w:rPr>
                <w:rFonts w:hAnsi="宋体"/>
                <w:color w:val="auto"/>
                <w:sz w:val="24"/>
              </w:rPr>
              <w:t>平江县城</w:t>
            </w:r>
            <w:r>
              <w:rPr>
                <w:rFonts w:hAnsi="宋体"/>
                <w:color w:val="auto"/>
                <w:sz w:val="24"/>
                <w:szCs w:val="28"/>
              </w:rPr>
              <w:t>的建设和居民生活质量，对构建和谐社会和可持续发展经济社会具有重要的意义。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60" w:firstLineChars="150"/>
              <w:textAlignment w:val="auto"/>
              <w:outlineLvl w:val="9"/>
              <w:rPr>
                <w:color w:val="auto"/>
                <w:sz w:val="24"/>
                <w:szCs w:val="28"/>
              </w:rPr>
            </w:pPr>
            <w:r>
              <w:rPr>
                <w:rFonts w:hAnsi="宋体"/>
                <w:color w:val="auto"/>
                <w:sz w:val="24"/>
                <w:szCs w:val="28"/>
              </w:rPr>
              <w:t>因此，本项目的实施与</w:t>
            </w:r>
            <w:r>
              <w:rPr>
                <w:rFonts w:hAnsi="宋体"/>
                <w:color w:val="auto"/>
                <w:sz w:val="24"/>
              </w:rPr>
              <w:t>平江县城关镇规划</w:t>
            </w:r>
            <w:r>
              <w:rPr>
                <w:rFonts w:hAnsi="宋体"/>
                <w:color w:val="auto"/>
                <w:sz w:val="24"/>
                <w:szCs w:val="28"/>
              </w:rPr>
              <w:t>相符。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rPr>
            </w:pPr>
            <w:r>
              <w:rPr>
                <w:b/>
                <w:color w:val="auto"/>
                <w:sz w:val="24"/>
                <w:szCs w:val="24"/>
              </w:rPr>
              <w:t>3</w:t>
            </w:r>
            <w:r>
              <w:rPr>
                <w:rFonts w:hAnsi="宋体"/>
                <w:b/>
                <w:color w:val="auto"/>
                <w:sz w:val="24"/>
                <w:szCs w:val="24"/>
              </w:rPr>
              <w:t>、环境质量现状评价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color w:val="auto"/>
                <w:sz w:val="24"/>
              </w:rPr>
            </w:pPr>
            <w:r>
              <w:rPr>
                <w:rFonts w:hAnsi="宋体"/>
                <w:color w:val="auto"/>
                <w:sz w:val="24"/>
                <w:szCs w:val="24"/>
              </w:rPr>
              <w:t>大气环境：根据监测数据，项目所在区域</w:t>
            </w:r>
            <w:r>
              <w:rPr>
                <w:snapToGrid w:val="0"/>
                <w:color w:val="auto"/>
                <w:kern w:val="0"/>
                <w:sz w:val="24"/>
                <w:szCs w:val="24"/>
              </w:rPr>
              <w:t>TSP</w:t>
            </w:r>
            <w:r>
              <w:rPr>
                <w:rFonts w:hAnsi="宋体"/>
                <w:snapToGrid w:val="0"/>
                <w:color w:val="auto"/>
                <w:kern w:val="0"/>
                <w:sz w:val="24"/>
                <w:szCs w:val="24"/>
              </w:rPr>
              <w:t>、</w:t>
            </w:r>
            <w:r>
              <w:rPr>
                <w:snapToGrid w:val="0"/>
                <w:color w:val="auto"/>
                <w:kern w:val="0"/>
                <w:sz w:val="24"/>
                <w:szCs w:val="24"/>
              </w:rPr>
              <w:t>PM</w:t>
            </w:r>
            <w:r>
              <w:rPr>
                <w:snapToGrid w:val="0"/>
                <w:color w:val="auto"/>
                <w:kern w:val="0"/>
                <w:sz w:val="24"/>
                <w:szCs w:val="24"/>
                <w:vertAlign w:val="subscript"/>
              </w:rPr>
              <w:t>10</w:t>
            </w:r>
            <w:r>
              <w:rPr>
                <w:rFonts w:hAnsi="宋体"/>
                <w:snapToGrid w:val="0"/>
                <w:color w:val="auto"/>
                <w:kern w:val="0"/>
                <w:sz w:val="24"/>
                <w:szCs w:val="24"/>
              </w:rPr>
              <w:t>、</w:t>
            </w:r>
            <w:r>
              <w:rPr>
                <w:snapToGrid w:val="0"/>
                <w:color w:val="auto"/>
                <w:kern w:val="0"/>
                <w:sz w:val="24"/>
                <w:szCs w:val="24"/>
              </w:rPr>
              <w:t>SO</w:t>
            </w:r>
            <w:r>
              <w:rPr>
                <w:snapToGrid w:val="0"/>
                <w:color w:val="auto"/>
                <w:kern w:val="0"/>
                <w:sz w:val="24"/>
                <w:szCs w:val="24"/>
                <w:vertAlign w:val="subscript"/>
              </w:rPr>
              <w:t>2</w:t>
            </w:r>
            <w:r>
              <w:rPr>
                <w:rFonts w:hAnsi="宋体"/>
                <w:snapToGrid w:val="0"/>
                <w:color w:val="auto"/>
                <w:kern w:val="0"/>
                <w:sz w:val="24"/>
                <w:szCs w:val="24"/>
              </w:rPr>
              <w:t>、</w:t>
            </w:r>
            <w:r>
              <w:rPr>
                <w:snapToGrid w:val="0"/>
                <w:color w:val="auto"/>
                <w:kern w:val="0"/>
                <w:sz w:val="24"/>
                <w:szCs w:val="24"/>
              </w:rPr>
              <w:t>NO</w:t>
            </w:r>
            <w:r>
              <w:rPr>
                <w:snapToGrid w:val="0"/>
                <w:color w:val="auto"/>
                <w:kern w:val="0"/>
                <w:sz w:val="24"/>
                <w:szCs w:val="24"/>
                <w:vertAlign w:val="subscript"/>
              </w:rPr>
              <w:t>2</w:t>
            </w:r>
            <w:r>
              <w:rPr>
                <w:rFonts w:hAnsi="宋体"/>
                <w:color w:val="auto"/>
                <w:sz w:val="24"/>
                <w:szCs w:val="24"/>
              </w:rPr>
              <w:t>均能达到《环境空气质量标准》（</w:t>
            </w:r>
            <w:r>
              <w:rPr>
                <w:color w:val="auto"/>
                <w:sz w:val="24"/>
                <w:szCs w:val="24"/>
              </w:rPr>
              <w:t>GB3095-2012</w:t>
            </w:r>
            <w:r>
              <w:rPr>
                <w:rFonts w:hAnsi="宋体"/>
                <w:color w:val="auto"/>
                <w:sz w:val="24"/>
                <w:szCs w:val="24"/>
              </w:rPr>
              <w:t>）二级标准要求；</w:t>
            </w:r>
            <w:r>
              <w:rPr>
                <w:rFonts w:hint="eastAsia" w:hAnsi="宋体"/>
                <w:snapToGrid w:val="0"/>
                <w:color w:val="auto"/>
                <w:kern w:val="0"/>
                <w:sz w:val="24"/>
              </w:rPr>
              <w:t>TVOC</w:t>
            </w:r>
            <w:r>
              <w:rPr>
                <w:rFonts w:hAnsi="宋体"/>
                <w:snapToGrid w:val="0"/>
                <w:color w:val="auto"/>
                <w:kern w:val="0"/>
                <w:sz w:val="24"/>
              </w:rPr>
              <w:t>能达到</w:t>
            </w:r>
            <w:r>
              <w:rPr>
                <w:rFonts w:hint="eastAsia" w:hAnsi="宋体"/>
                <w:color w:val="auto"/>
                <w:sz w:val="24"/>
              </w:rPr>
              <w:t>《室内空气质量标准》（GB/T18883-2002）</w:t>
            </w:r>
            <w:r>
              <w:rPr>
                <w:rFonts w:hAnsi="宋体"/>
                <w:color w:val="auto"/>
                <w:sz w:val="24"/>
              </w:rPr>
              <w:t>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Ansi="宋体"/>
                <w:color w:val="auto"/>
                <w:sz w:val="24"/>
              </w:rPr>
            </w:pPr>
            <w:r>
              <w:rPr>
                <w:rFonts w:hAnsi="宋体"/>
                <w:bCs/>
                <w:color w:val="auto"/>
                <w:sz w:val="24"/>
                <w:szCs w:val="24"/>
              </w:rPr>
              <w:t>地表</w:t>
            </w:r>
            <w:r>
              <w:rPr>
                <w:rFonts w:hAnsi="宋体"/>
                <w:color w:val="auto"/>
                <w:sz w:val="24"/>
                <w:szCs w:val="24"/>
              </w:rPr>
              <w:t>水环境：根据监测结果，</w:t>
            </w:r>
            <w:r>
              <w:rPr>
                <w:rFonts w:hAnsi="宋体"/>
                <w:color w:val="auto"/>
                <w:sz w:val="24"/>
              </w:rPr>
              <w:t>本项目周边水体为</w:t>
            </w:r>
            <w:r>
              <w:rPr>
                <w:rFonts w:hint="eastAsia" w:hAnsi="宋体"/>
                <w:color w:val="auto"/>
                <w:sz w:val="24"/>
              </w:rPr>
              <w:t>农干渠</w:t>
            </w:r>
            <w:r>
              <w:rPr>
                <w:rFonts w:hAnsi="宋体"/>
                <w:color w:val="auto"/>
                <w:sz w:val="24"/>
              </w:rPr>
              <w:t>，其水质应执行《地表水环境质量标准》（GB3838-2002）</w:t>
            </w:r>
            <w:r>
              <w:rPr>
                <w:rFonts w:hint="eastAsia" w:hAnsi="宋体"/>
                <w:color w:val="auto"/>
                <w:sz w:val="24"/>
              </w:rPr>
              <w:t>Ⅳ</w:t>
            </w:r>
            <w:r>
              <w:rPr>
                <w:rFonts w:hAnsi="宋体"/>
                <w:color w:val="auto"/>
                <w:sz w:val="24"/>
              </w:rPr>
              <w:t>类标准。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outlineLvl w:val="9"/>
              <w:rPr>
                <w:b/>
                <w:color w:val="auto"/>
                <w:sz w:val="24"/>
                <w:szCs w:val="24"/>
              </w:rPr>
            </w:pPr>
            <w:r>
              <w:rPr>
                <w:rFonts w:hAnsi="宋体"/>
                <w:color w:val="auto"/>
                <w:sz w:val="24"/>
                <w:szCs w:val="24"/>
              </w:rPr>
              <w:t>地下水环境：根据监测结果，均达到</w:t>
            </w:r>
            <w:r>
              <w:rPr>
                <w:rFonts w:hAnsi="宋体"/>
                <w:color w:val="auto"/>
                <w:sz w:val="24"/>
                <w:szCs w:val="24"/>
                <w:lang w:val="zh-TW"/>
              </w:rPr>
              <w:t>《地下水质量标准》</w:t>
            </w:r>
            <w:r>
              <w:rPr>
                <w:color w:val="auto"/>
                <w:sz w:val="24"/>
                <w:szCs w:val="24"/>
              </w:rPr>
              <w:t>(GB/T14848-93)</w:t>
            </w:r>
            <w:r>
              <w:rPr>
                <w:rFonts w:hAnsi="宋体"/>
                <w:color w:val="auto"/>
                <w:sz w:val="24"/>
                <w:szCs w:val="24"/>
                <w:lang w:val="zh-TW"/>
              </w:rPr>
              <w:t>中</w:t>
            </w:r>
            <w:r>
              <w:rPr>
                <w:rStyle w:val="117"/>
                <w:rFonts w:ascii="宋体" w:hAnsi="宋体" w:eastAsia="宋体" w:cs="Times New Roman"/>
                <w:color w:val="auto"/>
                <w:sz w:val="24"/>
                <w:szCs w:val="24"/>
              </w:rPr>
              <w:t>Ⅲ</w:t>
            </w:r>
            <w:r>
              <w:rPr>
                <w:rStyle w:val="117"/>
                <w:rFonts w:ascii="Times New Roman" w:hAnsi="宋体" w:eastAsia="宋体" w:cs="Times New Roman"/>
                <w:color w:val="auto"/>
                <w:sz w:val="24"/>
                <w:szCs w:val="24"/>
                <w:lang w:eastAsia="zh-CN"/>
              </w:rPr>
              <w:t>类标准要求</w:t>
            </w:r>
            <w:r>
              <w:rPr>
                <w:rFonts w:hint="eastAsia" w:hAnsi="宋体"/>
                <w:color w:val="auto"/>
                <w:sz w:val="24"/>
                <w:szCs w:val="24"/>
              </w:rPr>
              <w:t>，</w:t>
            </w:r>
            <w:r>
              <w:rPr>
                <w:rFonts w:hAnsi="宋体"/>
                <w:color w:val="auto"/>
                <w:sz w:val="24"/>
                <w:szCs w:val="24"/>
              </w:rPr>
              <w:t>区域地下水质量较好</w:t>
            </w:r>
            <w:r>
              <w:rPr>
                <w:rFonts w:hint="eastAsia"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kern w:val="0"/>
                <w:sz w:val="24"/>
                <w:szCs w:val="24"/>
              </w:rPr>
            </w:pPr>
            <w:r>
              <w:rPr>
                <w:rFonts w:hAnsi="宋体"/>
                <w:color w:val="auto"/>
                <w:kern w:val="0"/>
                <w:sz w:val="24"/>
                <w:szCs w:val="24"/>
              </w:rPr>
              <w:t>声环境：根据监测结果，</w:t>
            </w:r>
            <w:r>
              <w:rPr>
                <w:rFonts w:hAnsi="宋体"/>
                <w:color w:val="auto"/>
                <w:sz w:val="24"/>
                <w:szCs w:val="24"/>
              </w:rPr>
              <w:t>项目厂界东、西、南、北四侧及</w:t>
            </w:r>
            <w:r>
              <w:rPr>
                <w:rFonts w:hint="eastAsia" w:hAnsi="宋体"/>
                <w:color w:val="auto"/>
                <w:sz w:val="24"/>
                <w:szCs w:val="24"/>
              </w:rPr>
              <w:t>南边</w:t>
            </w:r>
            <w:r>
              <w:rPr>
                <w:rFonts w:hAnsi="宋体"/>
                <w:color w:val="auto"/>
                <w:sz w:val="24"/>
                <w:szCs w:val="24"/>
              </w:rPr>
              <w:t>居民点声环境质量满足《声环境质量标准》（</w:t>
            </w:r>
            <w:r>
              <w:rPr>
                <w:color w:val="auto"/>
                <w:sz w:val="24"/>
                <w:szCs w:val="24"/>
              </w:rPr>
              <w:t>GB3096-2008</w:t>
            </w:r>
            <w:r>
              <w:rPr>
                <w:rFonts w:hAnsi="宋体"/>
                <w:color w:val="auto"/>
                <w:sz w:val="24"/>
                <w:szCs w:val="24"/>
              </w:rPr>
              <w:t>）</w:t>
            </w:r>
            <w:r>
              <w:rPr>
                <w:color w:val="auto"/>
                <w:sz w:val="24"/>
                <w:szCs w:val="24"/>
              </w:rPr>
              <w:t>2</w:t>
            </w:r>
            <w:r>
              <w:rPr>
                <w:rFonts w:hAnsi="宋体"/>
                <w:color w:val="auto"/>
                <w:sz w:val="24"/>
                <w:szCs w:val="24"/>
              </w:rPr>
              <w:t>类标准要求。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b/>
                <w:color w:val="auto"/>
                <w:sz w:val="24"/>
                <w:szCs w:val="24"/>
              </w:rPr>
            </w:pPr>
            <w:r>
              <w:rPr>
                <w:b/>
                <w:color w:val="auto"/>
                <w:sz w:val="24"/>
                <w:szCs w:val="24"/>
              </w:rPr>
              <w:t>4</w:t>
            </w:r>
            <w:r>
              <w:rPr>
                <w:rFonts w:hAnsi="宋体"/>
                <w:b/>
                <w:color w:val="auto"/>
                <w:sz w:val="24"/>
                <w:szCs w:val="24"/>
              </w:rPr>
              <w:t>、环境影响分析结论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color w:val="auto"/>
                <w:sz w:val="24"/>
              </w:rPr>
              <w:t>1</w:t>
            </w:r>
            <w:r>
              <w:rPr>
                <w:rFonts w:hAnsi="宋体"/>
                <w:color w:val="auto"/>
                <w:sz w:val="24"/>
              </w:rPr>
              <w:t>）大气环境影响分析结论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Ansi="宋体"/>
                <w:color w:val="auto"/>
                <w:sz w:val="24"/>
              </w:rPr>
            </w:pPr>
            <w:r>
              <w:rPr>
                <w:rFonts w:hAnsi="宋体"/>
                <w:color w:val="auto"/>
                <w:sz w:val="24"/>
              </w:rPr>
              <w:t>项目施工期应</w:t>
            </w:r>
            <w:r>
              <w:rPr>
                <w:rFonts w:hAnsi="宋体"/>
                <w:color w:val="auto"/>
                <w:sz w:val="24"/>
                <w:szCs w:val="24"/>
              </w:rPr>
              <w:t>设置施工标牌；加强管理，文明施工；堆场、车辆应覆盖篷布；施工场地、施工道路的扬尘采用定期洒水和清扫措施；设置临时围挡</w:t>
            </w:r>
            <w:r>
              <w:rPr>
                <w:rFonts w:hint="eastAsia" w:hAnsi="宋体"/>
                <w:color w:val="0000FF"/>
                <w:sz w:val="24"/>
                <w:szCs w:val="24"/>
                <w:u w:val="single"/>
                <w:lang w:eastAsia="zh-CN"/>
              </w:rPr>
              <w:t>、防尘网</w:t>
            </w:r>
            <w:r>
              <w:rPr>
                <w:rFonts w:hAnsi="宋体"/>
                <w:color w:val="auto"/>
                <w:sz w:val="24"/>
                <w:szCs w:val="24"/>
              </w:rPr>
              <w:t>；设置洗车平台等，从而降低施工扬尘的影响。选用环保的机械设备，注意车辆保养，保证车辆尾气达标排放。</w:t>
            </w:r>
            <w:r>
              <w:rPr>
                <w:rFonts w:hAnsi="宋体"/>
                <w:color w:val="auto"/>
                <w:sz w:val="24"/>
              </w:rPr>
              <w:t>采取措施后扬尘、车辆尾气的影响较小。</w:t>
            </w:r>
            <w:r>
              <w:rPr>
                <w:rFonts w:hint="eastAsia" w:hAnsi="宋体"/>
                <w:color w:val="0000FF"/>
                <w:sz w:val="24"/>
                <w:u w:val="single"/>
                <w:lang w:eastAsia="zh-CN"/>
              </w:rPr>
              <w:t>项目所准备的备用柴油发电机采用</w:t>
            </w:r>
            <w:r>
              <w:rPr>
                <w:rFonts w:hint="eastAsia" w:hAnsi="宋体"/>
                <w:color w:val="0000FF"/>
                <w:sz w:val="24"/>
                <w:u w:val="single"/>
                <w:lang w:val="en-US" w:eastAsia="zh-CN"/>
              </w:rPr>
              <w:t>0#柴油作为燃料，其污染排放可达到</w:t>
            </w:r>
            <w:r>
              <w:rPr>
                <w:rFonts w:hAnsi="宋体"/>
                <w:color w:val="0000FF"/>
                <w:sz w:val="24"/>
                <w:u w:val="single"/>
              </w:rPr>
              <w:t>《大气污染物综合排放标准》</w:t>
            </w:r>
            <w:r>
              <w:rPr>
                <w:color w:val="0000FF"/>
                <w:sz w:val="24"/>
                <w:u w:val="single"/>
              </w:rPr>
              <w:t>(GB16297-1996)</w:t>
            </w:r>
            <w:r>
              <w:rPr>
                <w:rFonts w:hAnsi="宋体"/>
                <w:color w:val="0000FF"/>
                <w:sz w:val="24"/>
                <w:u w:val="single"/>
              </w:rPr>
              <w:t>中新污染源大气污染物排放限值</w:t>
            </w:r>
            <w:r>
              <w:rPr>
                <w:rFonts w:hint="eastAsia" w:hAnsi="宋体"/>
                <w:color w:val="0000FF"/>
                <w:sz w:val="24"/>
                <w:u w:val="single"/>
                <w:lang w:eastAsia="zh-CN"/>
              </w:rPr>
              <w:t>；负压大棚内废气经</w:t>
            </w:r>
            <w:r>
              <w:rPr>
                <w:rFonts w:hint="eastAsia" w:hAnsi="宋体"/>
                <w:color w:val="0000FF"/>
                <w:sz w:val="24"/>
                <w:u w:val="single"/>
                <w:lang w:val="en-US" w:eastAsia="zh-CN"/>
              </w:rPr>
              <w:t>AC-645气味抑制剂、负压大棚内尾气处理系统处理后，负压大棚废气均可达到相关排放标准要求；项目场地内开挖过程中产生的异味经喷洒AC-645气味抑制剂，厂界可满足</w:t>
            </w:r>
            <w:r>
              <w:rPr>
                <w:rFonts w:hint="default" w:ascii="Times New Roman" w:hAnsi="Times New Roman" w:eastAsia="宋体" w:cs="Times New Roman"/>
                <w:b w:val="0"/>
                <w:i w:val="0"/>
                <w:color w:val="0000FF"/>
                <w:kern w:val="2"/>
                <w:sz w:val="24"/>
                <w:szCs w:val="24"/>
                <w:u w:val="single"/>
                <w:lang w:val="en-US" w:eastAsia="zh-CN" w:bidi="ar-SA"/>
              </w:rPr>
              <w:t>《恶臭污染物排放标准》（GB14554-93）厂界标准限值</w:t>
            </w:r>
            <w:r>
              <w:rPr>
                <w:rFonts w:hint="eastAsia" w:cs="Times New Roman"/>
                <w:b w:val="0"/>
                <w:i w:val="0"/>
                <w:color w:val="0000FF"/>
                <w:kern w:val="2"/>
                <w:sz w:val="24"/>
                <w:szCs w:val="24"/>
                <w:u w:val="single"/>
                <w:lang w:val="en-US" w:eastAsia="zh-CN" w:bidi="ar-SA"/>
              </w:rPr>
              <w:t>。本项目属于环境治理项目，随着施工期结束，施工期间产生污染源将会结束。综上所述，本项目废气对区域大气环境影响不大，不会改变当前大气环境质量级别。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color w:val="auto"/>
                <w:sz w:val="24"/>
              </w:rPr>
              <w:t>2</w:t>
            </w:r>
            <w:r>
              <w:rPr>
                <w:rFonts w:hAnsi="宋体"/>
                <w:color w:val="auto"/>
                <w:sz w:val="24"/>
              </w:rPr>
              <w:t>）水环境影响分析结论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rFonts w:hAnsi="宋体"/>
                <w:color w:val="auto"/>
                <w:sz w:val="24"/>
                <w:szCs w:val="24"/>
              </w:rPr>
              <w:t>生活污水经</w:t>
            </w:r>
            <w:r>
              <w:rPr>
                <w:rFonts w:hAnsi="宋体"/>
                <w:bCs/>
                <w:color w:val="auto"/>
                <w:sz w:val="24"/>
                <w:szCs w:val="24"/>
              </w:rPr>
              <w:t>隔油隔渣</w:t>
            </w:r>
            <w:r>
              <w:rPr>
                <w:bCs/>
                <w:color w:val="auto"/>
                <w:sz w:val="24"/>
                <w:szCs w:val="24"/>
              </w:rPr>
              <w:t>+</w:t>
            </w:r>
            <w:r>
              <w:rPr>
                <w:rFonts w:hAnsi="宋体"/>
                <w:bCs/>
                <w:color w:val="auto"/>
                <w:sz w:val="24"/>
                <w:szCs w:val="24"/>
              </w:rPr>
              <w:t>化粪池处理后定期清掏，用作周边居民、农户耕地肥料，不外排；</w:t>
            </w:r>
            <w:r>
              <w:rPr>
                <w:rFonts w:hAnsi="宋体"/>
                <w:color w:val="auto"/>
                <w:kern w:val="24"/>
                <w:sz w:val="24"/>
                <w:szCs w:val="24"/>
              </w:rPr>
              <w:t>施工废水</w:t>
            </w:r>
            <w:r>
              <w:rPr>
                <w:rFonts w:hint="eastAsia" w:hAnsi="宋体"/>
                <w:color w:val="auto"/>
                <w:kern w:val="24"/>
                <w:sz w:val="24"/>
                <w:szCs w:val="24"/>
              </w:rPr>
              <w:t>（包括场地雨水、基坑废水、洗车废水等）</w:t>
            </w:r>
            <w:r>
              <w:rPr>
                <w:rFonts w:hAnsi="宋体"/>
                <w:color w:val="auto"/>
                <w:sz w:val="24"/>
                <w:szCs w:val="24"/>
                <w:lang w:val="zh-CN"/>
              </w:rPr>
              <w:t>集中收集后排至废水处理</w:t>
            </w:r>
            <w:r>
              <w:rPr>
                <w:rFonts w:hint="eastAsia" w:hAnsi="宋体"/>
                <w:color w:val="auto"/>
                <w:sz w:val="24"/>
                <w:szCs w:val="24"/>
                <w:lang w:val="zh-CN"/>
              </w:rPr>
              <w:t>成套设备</w:t>
            </w:r>
            <w:r>
              <w:rPr>
                <w:rFonts w:hAnsi="宋体"/>
                <w:color w:val="auto"/>
                <w:sz w:val="24"/>
                <w:szCs w:val="24"/>
                <w:lang w:val="zh-CN"/>
              </w:rPr>
              <w:t>中处理</w:t>
            </w:r>
            <w:r>
              <w:rPr>
                <w:rFonts w:hAnsi="宋体"/>
                <w:color w:val="auto"/>
                <w:sz w:val="24"/>
                <w:szCs w:val="24"/>
              </w:rPr>
              <w:t>后</w:t>
            </w:r>
            <w:r>
              <w:rPr>
                <w:rFonts w:hint="eastAsia" w:hAnsi="宋体"/>
                <w:color w:val="auto"/>
                <w:sz w:val="24"/>
                <w:szCs w:val="24"/>
                <w:lang w:eastAsia="zh-CN"/>
              </w:rPr>
              <w:t>，除部分回用泼洒抑尘外，其余</w:t>
            </w:r>
            <w:r>
              <w:rPr>
                <w:rFonts w:hint="eastAsia" w:hAnsi="宋体"/>
                <w:color w:val="auto"/>
                <w:sz w:val="24"/>
                <w:szCs w:val="24"/>
              </w:rPr>
              <w:t>经槽罐车运输至有处理能力的污水处理厂或企业污水处理装置处理</w:t>
            </w:r>
            <w:r>
              <w:rPr>
                <w:rFonts w:hint="eastAsia" w:hAnsi="宋体"/>
                <w:color w:val="auto"/>
                <w:sz w:val="24"/>
                <w:szCs w:val="24"/>
                <w:lang w:eastAsia="zh-CN"/>
              </w:rPr>
              <w:t>。</w:t>
            </w:r>
            <w:r>
              <w:rPr>
                <w:rFonts w:hint="eastAsia" w:hAnsi="宋体"/>
                <w:color w:val="auto"/>
                <w:sz w:val="24"/>
                <w:szCs w:val="24"/>
              </w:rPr>
              <w:t>做好场地雨水池、回用水池、废水收集系统及沉淀系统的建设。</w:t>
            </w:r>
            <w:r>
              <w:rPr>
                <w:rFonts w:hAnsi="宋体"/>
                <w:color w:val="auto"/>
                <w:sz w:val="24"/>
              </w:rPr>
              <w:t>因而不会对周围水体产生不良影响。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color w:val="auto"/>
                <w:sz w:val="24"/>
              </w:rPr>
              <w:t>3</w:t>
            </w:r>
            <w:r>
              <w:rPr>
                <w:rFonts w:hAnsi="宋体"/>
                <w:color w:val="auto"/>
                <w:sz w:val="24"/>
              </w:rPr>
              <w:t>）噪声环境影响分析结论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rFonts w:hAnsi="宋体"/>
                <w:color w:val="auto"/>
                <w:sz w:val="24"/>
              </w:rPr>
              <w:t>本项目实施期间噪声主要为机械噪声、施工作业噪声和施工车辆噪声。通过</w:t>
            </w:r>
            <w:r>
              <w:rPr>
                <w:rFonts w:hAnsi="宋体"/>
                <w:color w:val="auto"/>
                <w:sz w:val="24"/>
                <w:szCs w:val="24"/>
              </w:rPr>
              <w:t>选用低噪声机械设备、合理安排施工时间、施工设备合理布局、施工场地边界处设置围墙或移动声屏障、改善施工机械、施工工艺和操作方法等措施降噪后，场界噪声可达到《建筑施工场界环境噪声排放标准》（</w:t>
            </w:r>
            <w:r>
              <w:rPr>
                <w:color w:val="auto"/>
                <w:sz w:val="24"/>
                <w:szCs w:val="24"/>
              </w:rPr>
              <w:t>GB12523-2011</w:t>
            </w:r>
            <w:r>
              <w:rPr>
                <w:rFonts w:hAnsi="宋体"/>
                <w:color w:val="auto"/>
                <w:sz w:val="24"/>
                <w:szCs w:val="24"/>
              </w:rPr>
              <w:t>）中的要求，影响不大。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color w:val="auto"/>
                <w:sz w:val="24"/>
              </w:rPr>
              <w:t>4</w:t>
            </w:r>
            <w:r>
              <w:rPr>
                <w:rFonts w:hAnsi="宋体"/>
                <w:color w:val="auto"/>
                <w:sz w:val="24"/>
              </w:rPr>
              <w:t>）固废环境影响分析结论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outlineLvl w:val="9"/>
              <w:rPr>
                <w:color w:val="auto"/>
                <w:sz w:val="24"/>
              </w:rPr>
            </w:pPr>
            <w:r>
              <w:rPr>
                <w:rFonts w:hAnsi="宋体"/>
                <w:color w:val="auto"/>
                <w:kern w:val="0"/>
                <w:sz w:val="24"/>
                <w:szCs w:val="22"/>
              </w:rPr>
              <w:t>拆除的建筑垃圾、废防渗材料、土壤筛分渣块</w:t>
            </w:r>
            <w:r>
              <w:rPr>
                <w:rFonts w:hAnsi="宋体"/>
                <w:color w:val="auto"/>
                <w:sz w:val="24"/>
              </w:rPr>
              <w:t>，均为一般固废，运至</w:t>
            </w:r>
            <w:r>
              <w:rPr>
                <w:rFonts w:hint="eastAsia" w:hAnsi="宋体"/>
                <w:color w:val="auto"/>
                <w:sz w:val="24"/>
              </w:rPr>
              <w:t>相关专业机构进行集中处理</w:t>
            </w:r>
            <w:r>
              <w:rPr>
                <w:rFonts w:hAnsi="宋体"/>
                <w:bCs/>
                <w:color w:val="auto"/>
                <w:kern w:val="0"/>
                <w:sz w:val="24"/>
                <w:szCs w:val="22"/>
              </w:rPr>
              <w:t>；</w:t>
            </w:r>
            <w:r>
              <w:rPr>
                <w:rFonts w:hAnsi="宋体"/>
                <w:color w:val="auto"/>
                <w:kern w:val="0"/>
                <w:sz w:val="24"/>
                <w:szCs w:val="22"/>
              </w:rPr>
              <w:t>员工生活垃圾</w:t>
            </w:r>
            <w:r>
              <w:rPr>
                <w:rFonts w:hAnsi="宋体"/>
                <w:color w:val="auto"/>
                <w:sz w:val="24"/>
                <w:szCs w:val="24"/>
                <w:lang w:val="zh-CN"/>
              </w:rPr>
              <w:t>统一集中收集，并定期交由环卫部门清运处理。</w:t>
            </w:r>
            <w:r>
              <w:rPr>
                <w:rFonts w:hint="eastAsia" w:hAnsi="宋体"/>
                <w:color w:val="auto"/>
                <w:sz w:val="24"/>
                <w:szCs w:val="24"/>
                <w:lang w:val="zh-CN"/>
              </w:rPr>
              <w:t>废活性炭委托有资质单位处理，除尘器收集粉尘，回用于化学氧化工序；</w:t>
            </w:r>
            <w:r>
              <w:rPr>
                <w:rFonts w:hAnsi="宋体"/>
                <w:color w:val="auto"/>
                <w:sz w:val="24"/>
              </w:rPr>
              <w:t>本项目产生的固体废物按照上述处置措施和管理的要求妥善处置，不会对周围环境产生不良的影响。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outlineLvl w:val="9"/>
              <w:rPr>
                <w:color w:val="auto"/>
                <w:sz w:val="24"/>
                <w:u w:val="single"/>
              </w:rPr>
            </w:pPr>
            <w:r>
              <w:rPr>
                <w:color w:val="auto"/>
                <w:sz w:val="24"/>
                <w:u w:val="single"/>
              </w:rPr>
              <w:t>5</w:t>
            </w:r>
            <w:r>
              <w:rPr>
                <w:rFonts w:hAnsi="宋体"/>
                <w:color w:val="auto"/>
                <w:sz w:val="24"/>
                <w:u w:val="single"/>
              </w:rPr>
              <w:t>）生态恢复、水土保持分析结论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outlineLvl w:val="9"/>
              <w:rPr>
                <w:color w:val="auto"/>
                <w:sz w:val="24"/>
                <w:u w:val="single"/>
              </w:rPr>
            </w:pPr>
            <w:r>
              <w:rPr>
                <w:rFonts w:hAnsi="宋体"/>
                <w:color w:val="auto"/>
                <w:sz w:val="24"/>
                <w:szCs w:val="24"/>
                <w:u w:val="single"/>
              </w:rPr>
              <w:t>合理选择施工工期，避免雨季开挖；</w:t>
            </w:r>
            <w:r>
              <w:rPr>
                <w:rFonts w:hint="eastAsia" w:hAnsi="宋体"/>
                <w:color w:val="auto"/>
                <w:sz w:val="24"/>
                <w:u w:val="single"/>
              </w:rPr>
              <w:t>污染土壤开挖场地、运输道路、回填场地及临时储存区四周设置截流沟，截流的场地雨水引入废水收集池，设置场地雨水切换装置，后期清净雨水切换至排水沟直排；</w:t>
            </w:r>
            <w:r>
              <w:rPr>
                <w:rFonts w:hAnsi="宋体"/>
                <w:color w:val="auto"/>
                <w:sz w:val="24"/>
                <w:szCs w:val="24"/>
                <w:u w:val="single"/>
              </w:rPr>
              <w:t>施工期间对土壤开挖区、堆土场设置排水沟及抽水设备，保证厂区、基坑积水及时排出；裸露表土用篷布遮盖；加强水土保持宣传；</w:t>
            </w:r>
            <w:r>
              <w:rPr>
                <w:rFonts w:hint="eastAsia" w:hAnsi="宋体"/>
                <w:color w:val="auto"/>
                <w:sz w:val="24"/>
                <w:szCs w:val="24"/>
                <w:u w:val="single"/>
              </w:rPr>
              <w:t>回填场地平整压实后</w:t>
            </w:r>
            <w:r>
              <w:rPr>
                <w:rFonts w:hAnsi="宋体"/>
                <w:color w:val="auto"/>
                <w:sz w:val="24"/>
                <w:szCs w:val="24"/>
                <w:u w:val="single"/>
              </w:rPr>
              <w:t>对表层进行生态恢复，种植树木等</w:t>
            </w:r>
            <w:r>
              <w:rPr>
                <w:rFonts w:hint="eastAsia" w:hAnsi="宋体"/>
                <w:color w:val="auto"/>
                <w:sz w:val="24"/>
                <w:szCs w:val="24"/>
                <w:u w:val="single"/>
              </w:rPr>
              <w:t>，种植的植被选择适应性强，区域常见种</w:t>
            </w:r>
            <w:r>
              <w:rPr>
                <w:rFonts w:hAnsi="宋体"/>
                <w:color w:val="auto"/>
                <w:sz w:val="24"/>
                <w:szCs w:val="24"/>
                <w:u w:val="single"/>
              </w:rPr>
              <w:t>。采取以上措施后，本项目的实施对区域生态环境影响较小，本项目为土壤修复工程，可有效改善区域土壤环境。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outlineLvl w:val="9"/>
              <w:rPr>
                <w:b/>
                <w:color w:val="auto"/>
                <w:sz w:val="24"/>
                <w:szCs w:val="24"/>
              </w:rPr>
            </w:pPr>
            <w:r>
              <w:rPr>
                <w:rFonts w:hAnsi="宋体"/>
                <w:b/>
                <w:color w:val="auto"/>
                <w:sz w:val="24"/>
                <w:szCs w:val="24"/>
              </w:rPr>
              <w:t>综合评价结论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lang w:val="zh-TW"/>
              </w:rPr>
            </w:pPr>
            <w:r>
              <w:rPr>
                <w:rFonts w:hint="eastAsia" w:hAnsi="宋体"/>
                <w:color w:val="auto"/>
                <w:sz w:val="24"/>
              </w:rPr>
              <w:t>平江县原三阳乡化学农药厂污染土壤治理项</w:t>
            </w:r>
            <w:r>
              <w:rPr>
                <w:rFonts w:hAnsi="宋体"/>
                <w:color w:val="auto"/>
                <w:sz w:val="24"/>
              </w:rPr>
              <w:t>的实施，</w:t>
            </w:r>
            <w:r>
              <w:rPr>
                <w:rFonts w:hAnsi="宋体"/>
                <w:color w:val="auto"/>
                <w:sz w:val="24"/>
                <w:lang w:val="zh-TW"/>
              </w:rPr>
              <w:t>有效改善该片区土壤环境，恢复该区域内的生态环境，确保原厂片区不再对区域及周边居民造成健康危害。是构建和谐社会，促进岳阳社会经济可持续发展的迫切需要，具有显著的环境效益和社会效益。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56" w:firstLineChars="200"/>
              <w:textAlignment w:val="auto"/>
              <w:outlineLvl w:val="9"/>
              <w:rPr>
                <w:color w:val="auto"/>
                <w:spacing w:val="-6"/>
                <w:sz w:val="24"/>
              </w:rPr>
            </w:pPr>
            <w:r>
              <w:rPr>
                <w:rFonts w:hAnsi="宋体"/>
                <w:color w:val="auto"/>
                <w:spacing w:val="-6"/>
                <w:sz w:val="24"/>
              </w:rPr>
              <w:t>综上所述，本项目符合国家产业政策及相关规划，在建设单位认真落实本环评提出的各项污染防治措施，加强环境管理，切实做到</w:t>
            </w:r>
            <w:r>
              <w:rPr>
                <w:color w:val="auto"/>
                <w:spacing w:val="-6"/>
                <w:sz w:val="24"/>
              </w:rPr>
              <w:t>“</w:t>
            </w:r>
            <w:r>
              <w:rPr>
                <w:rFonts w:hAnsi="宋体"/>
                <w:color w:val="auto"/>
                <w:spacing w:val="-6"/>
                <w:sz w:val="24"/>
              </w:rPr>
              <w:t>三同时</w:t>
            </w:r>
            <w:r>
              <w:rPr>
                <w:color w:val="auto"/>
                <w:spacing w:val="-6"/>
                <w:sz w:val="24"/>
              </w:rPr>
              <w:t>”</w:t>
            </w:r>
            <w:r>
              <w:rPr>
                <w:rFonts w:hAnsi="宋体"/>
                <w:color w:val="auto"/>
                <w:spacing w:val="-6"/>
                <w:sz w:val="24"/>
              </w:rPr>
              <w:t>的前提下，可将项目建设对区域环境的不良影响降至最低，从环境保护角度考虑本项目的建设是可行的。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b/>
                <w:color w:val="auto"/>
                <w:sz w:val="24"/>
                <w:szCs w:val="24"/>
              </w:rPr>
            </w:pPr>
            <w:r>
              <w:rPr>
                <w:rFonts w:hAnsi="宋体"/>
                <w:b/>
                <w:color w:val="auto"/>
                <w:sz w:val="24"/>
                <w:szCs w:val="24"/>
              </w:rPr>
              <w:t>二、建议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rPr>
            </w:pPr>
            <w:r>
              <w:rPr>
                <w:rFonts w:hAnsi="宋体"/>
                <w:color w:val="auto"/>
                <w:sz w:val="24"/>
              </w:rPr>
              <w:t>（</w:t>
            </w:r>
            <w:r>
              <w:rPr>
                <w:color w:val="auto"/>
                <w:sz w:val="24"/>
              </w:rPr>
              <w:t>1</w:t>
            </w:r>
            <w:r>
              <w:rPr>
                <w:rFonts w:hAnsi="宋体"/>
                <w:color w:val="auto"/>
                <w:sz w:val="24"/>
              </w:rPr>
              <w:t>）施工期应按计划严格执行，拒绝拖延工期，减少环境污染。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Ansi="宋体"/>
                <w:color w:val="auto"/>
                <w:sz w:val="24"/>
              </w:rPr>
            </w:pPr>
            <w:r>
              <w:rPr>
                <w:rFonts w:hAnsi="宋体"/>
                <w:color w:val="auto"/>
                <w:sz w:val="24"/>
              </w:rPr>
              <w:t>（</w:t>
            </w:r>
            <w:r>
              <w:rPr>
                <w:color w:val="auto"/>
                <w:sz w:val="24"/>
              </w:rPr>
              <w:t>2</w:t>
            </w:r>
            <w:r>
              <w:rPr>
                <w:rFonts w:hAnsi="宋体"/>
                <w:color w:val="auto"/>
                <w:sz w:val="24"/>
              </w:rPr>
              <w:t>）施工期加强施工人员环保知识培训，落实各项污染防治措施，对施工期进行监管，避免项目实施过程中产生</w:t>
            </w:r>
            <w:r>
              <w:rPr>
                <w:color w:val="auto"/>
                <w:sz w:val="24"/>
              </w:rPr>
              <w:t>“</w:t>
            </w:r>
            <w:r>
              <w:rPr>
                <w:rFonts w:hAnsi="宋体"/>
                <w:color w:val="auto"/>
                <w:sz w:val="24"/>
              </w:rPr>
              <w:t>二次污染</w:t>
            </w:r>
            <w:r>
              <w:rPr>
                <w:color w:val="auto"/>
                <w:sz w:val="24"/>
              </w:rPr>
              <w:t>”</w:t>
            </w:r>
            <w:r>
              <w:rPr>
                <w:rFonts w:hAnsi="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eastAsia="宋体"/>
                <w:u w:val="single"/>
                <w:lang w:eastAsia="zh-CN"/>
              </w:rPr>
            </w:pPr>
            <w:r>
              <w:rPr>
                <w:rFonts w:hint="eastAsia" w:hAnsi="宋体"/>
                <w:color w:val="auto"/>
                <w:sz w:val="24"/>
                <w:u w:val="single"/>
                <w:lang w:eastAsia="zh-CN"/>
              </w:rPr>
              <w:t>（</w:t>
            </w:r>
            <w:r>
              <w:rPr>
                <w:rFonts w:hint="eastAsia" w:hAnsi="宋体"/>
                <w:color w:val="auto"/>
                <w:sz w:val="24"/>
                <w:u w:val="single"/>
                <w:lang w:val="en-US" w:eastAsia="zh-CN"/>
              </w:rPr>
              <w:t>3</w:t>
            </w:r>
            <w:r>
              <w:rPr>
                <w:rFonts w:hint="eastAsia" w:hAnsi="宋体"/>
                <w:color w:val="auto"/>
                <w:sz w:val="24"/>
                <w:u w:val="single"/>
                <w:lang w:eastAsia="zh-CN"/>
              </w:rPr>
              <w:t>）</w:t>
            </w:r>
            <w:r>
              <w:rPr>
                <w:rFonts w:hint="eastAsia" w:cs="Times New Roman"/>
                <w:color w:val="auto"/>
                <w:sz w:val="24"/>
                <w:szCs w:val="24"/>
                <w:u w:val="single"/>
                <w:lang w:val="en-US" w:eastAsia="zh-CN"/>
              </w:rPr>
              <w:t>本环评从减排原则出发，建议采用光催化等无二次废物产生的VOCs废气处理装置</w:t>
            </w:r>
          </w:p>
          <w:p>
            <w:pPr>
              <w:spacing w:line="360" w:lineRule="auto"/>
              <w:ind w:firstLine="480" w:firstLineChars="200"/>
              <w:jc w:val="left"/>
              <w:rPr>
                <w:rFonts w:hint="eastAsia" w:eastAsia="宋体"/>
                <w:color w:val="auto"/>
                <w:sz w:val="24"/>
                <w:szCs w:val="24"/>
                <w:u w:val="single"/>
                <w:lang w:eastAsia="zh-CN"/>
              </w:rPr>
            </w:pPr>
            <w:r>
              <w:rPr>
                <w:rFonts w:hint="eastAsia"/>
                <w:color w:val="auto"/>
                <w:sz w:val="24"/>
                <w:szCs w:val="24"/>
                <w:u w:val="single"/>
                <w:lang w:eastAsia="zh-CN"/>
              </w:rPr>
              <w:t>（</w:t>
            </w:r>
            <w:r>
              <w:rPr>
                <w:rFonts w:hint="eastAsia"/>
                <w:color w:val="auto"/>
                <w:sz w:val="24"/>
                <w:szCs w:val="24"/>
                <w:u w:val="single"/>
                <w:lang w:val="en-US" w:eastAsia="zh-CN"/>
              </w:rPr>
              <w:t>4</w:t>
            </w:r>
            <w:r>
              <w:rPr>
                <w:rFonts w:hint="eastAsia"/>
                <w:color w:val="auto"/>
                <w:sz w:val="24"/>
                <w:szCs w:val="24"/>
                <w:u w:val="single"/>
                <w:lang w:eastAsia="zh-CN"/>
              </w:rPr>
              <w:t>）为避免因各处理车间及场内物料转运过程导致有机废气溢散，建议在各处理车间及场内物料转运过程中应全密闭。</w:t>
            </w:r>
          </w:p>
          <w:p>
            <w:pPr>
              <w:spacing w:line="360" w:lineRule="auto"/>
              <w:ind w:firstLine="480" w:firstLineChars="200"/>
              <w:jc w:val="left"/>
              <w:rPr>
                <w:color w:val="auto"/>
                <w:sz w:val="24"/>
                <w:szCs w:val="24"/>
              </w:rPr>
            </w:pPr>
          </w:p>
          <w:p>
            <w:pPr>
              <w:spacing w:line="360" w:lineRule="auto"/>
              <w:ind w:firstLine="480" w:firstLineChars="200"/>
              <w:jc w:val="left"/>
              <w:rPr>
                <w:color w:val="auto"/>
                <w:sz w:val="24"/>
                <w:szCs w:val="24"/>
              </w:rPr>
            </w:pPr>
          </w:p>
          <w:p>
            <w:pPr>
              <w:pStyle w:val="2"/>
            </w:pPr>
          </w:p>
          <w:p>
            <w:pPr>
              <w:spacing w:line="360" w:lineRule="auto"/>
              <w:ind w:firstLine="480" w:firstLineChars="200"/>
              <w:jc w:val="left"/>
              <w:rPr>
                <w:color w:val="auto"/>
                <w:sz w:val="24"/>
                <w:szCs w:val="24"/>
              </w:rPr>
            </w:pPr>
          </w:p>
          <w:p>
            <w:pPr>
              <w:pStyle w:val="2"/>
              <w:rPr>
                <w:color w:val="auto"/>
                <w:sz w:val="24"/>
                <w:szCs w:val="24"/>
              </w:rPr>
            </w:pPr>
          </w:p>
          <w:p>
            <w:pPr>
              <w:pStyle w:val="2"/>
              <w:rPr>
                <w:color w:val="auto"/>
                <w:sz w:val="24"/>
                <w:szCs w:val="24"/>
              </w:rPr>
            </w:pPr>
          </w:p>
          <w:p>
            <w:pPr>
              <w:pStyle w:val="21"/>
              <w:tabs>
                <w:tab w:val="right" w:leader="dot" w:pos="8732"/>
              </w:tabs>
              <w:spacing w:line="480" w:lineRule="exact"/>
              <w:jc w:val="center"/>
              <w:rPr>
                <w:rFonts w:ascii="Times New Roman" w:hAnsi="Times New Roman"/>
                <w:b/>
                <w:bCs/>
                <w:color w:val="auto"/>
                <w:sz w:val="28"/>
                <w:szCs w:val="28"/>
                <w:lang w:val="zh-CN"/>
              </w:rPr>
            </w:pPr>
            <w:bookmarkStart w:id="56" w:name="_Toc28329"/>
            <w:bookmarkStart w:id="57" w:name="_Toc23358"/>
            <w:r>
              <w:rPr>
                <w:rFonts w:ascii="Times New Roman" w:hAnsi="宋体"/>
                <w:b/>
                <w:bCs/>
                <w:color w:val="auto"/>
                <w:sz w:val="28"/>
                <w:szCs w:val="28"/>
                <w:lang w:val="zh-CN"/>
              </w:rPr>
              <w:t>附录</w:t>
            </w:r>
          </w:p>
          <w:p>
            <w:pPr>
              <w:pStyle w:val="21"/>
              <w:keepNext w:val="0"/>
              <w:keepLines w:val="0"/>
              <w:pageBreakBefore w:val="0"/>
              <w:tabs>
                <w:tab w:val="right" w:leader="dot" w:pos="8732"/>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ascii="Times New Roman" w:hAnsi="Times New Roman"/>
                <w:b/>
                <w:bCs/>
                <w:color w:val="auto"/>
                <w:sz w:val="28"/>
                <w:szCs w:val="28"/>
                <w:lang w:val="zh-CN"/>
              </w:rPr>
            </w:pPr>
            <w:r>
              <w:rPr>
                <w:rFonts w:ascii="Times New Roman" w:hAnsi="宋体"/>
                <w:b/>
                <w:bCs/>
                <w:color w:val="auto"/>
                <w:sz w:val="28"/>
                <w:szCs w:val="28"/>
                <w:lang w:val="zh-CN"/>
              </w:rPr>
              <w:t>附件</w:t>
            </w:r>
            <w:bookmarkEnd w:id="56"/>
            <w:bookmarkEnd w:id="57"/>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rPr>
            </w:pPr>
            <w:bookmarkStart w:id="58" w:name="_Toc30828"/>
            <w:bookmarkStart w:id="59" w:name="_Toc10170"/>
            <w:r>
              <w:rPr>
                <w:rFonts w:hAnsi="宋体"/>
                <w:color w:val="auto"/>
                <w:sz w:val="24"/>
              </w:rPr>
              <w:t>附件</w:t>
            </w:r>
            <w:r>
              <w:rPr>
                <w:color w:val="auto"/>
                <w:sz w:val="24"/>
              </w:rPr>
              <w:t xml:space="preserve">1  </w:t>
            </w:r>
            <w:bookmarkEnd w:id="58"/>
            <w:bookmarkEnd w:id="59"/>
            <w:bookmarkStart w:id="60" w:name="_Toc15979"/>
            <w:bookmarkStart w:id="61" w:name="_Toc26219"/>
            <w:r>
              <w:rPr>
                <w:rFonts w:hAnsi="宋体"/>
                <w:color w:val="auto"/>
                <w:sz w:val="24"/>
              </w:rPr>
              <w:t>项目委托书</w:t>
            </w:r>
          </w:p>
          <w:bookmarkEnd w:id="60"/>
          <w:bookmarkEnd w:id="61"/>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rPr>
            </w:pPr>
            <w:bookmarkStart w:id="62" w:name="_Toc30506"/>
            <w:bookmarkStart w:id="63" w:name="_Toc15517"/>
            <w:r>
              <w:rPr>
                <w:rFonts w:hAnsi="宋体"/>
                <w:color w:val="auto"/>
                <w:sz w:val="24"/>
              </w:rPr>
              <w:t>附件</w:t>
            </w:r>
            <w:r>
              <w:rPr>
                <w:rFonts w:hint="eastAsia"/>
                <w:color w:val="auto"/>
                <w:sz w:val="24"/>
              </w:rPr>
              <w:t>2</w:t>
            </w:r>
            <w:bookmarkEnd w:id="62"/>
            <w:bookmarkEnd w:id="63"/>
            <w:bookmarkStart w:id="64" w:name="_Toc17163"/>
            <w:bookmarkStart w:id="65" w:name="_Toc19658"/>
            <w:r>
              <w:rPr>
                <w:rFonts w:hint="eastAsia"/>
                <w:color w:val="auto"/>
                <w:sz w:val="24"/>
                <w:lang w:val="en-US" w:eastAsia="zh-CN"/>
              </w:rPr>
              <w:t xml:space="preserve">  </w:t>
            </w:r>
            <w:r>
              <w:rPr>
                <w:rFonts w:hAnsi="宋体"/>
                <w:color w:val="auto"/>
                <w:sz w:val="24"/>
              </w:rPr>
              <w:t>用地</w:t>
            </w:r>
            <w:r>
              <w:rPr>
                <w:rFonts w:hint="eastAsia" w:hAnsi="宋体"/>
                <w:color w:val="auto"/>
                <w:sz w:val="24"/>
              </w:rPr>
              <w:t>材料、</w:t>
            </w:r>
            <w:r>
              <w:rPr>
                <w:rFonts w:hAnsi="宋体"/>
                <w:color w:val="auto"/>
                <w:sz w:val="24"/>
              </w:rPr>
              <w:t>规划</w:t>
            </w:r>
            <w:r>
              <w:rPr>
                <w:rFonts w:hint="eastAsia" w:hAnsi="宋体"/>
                <w:color w:val="auto"/>
                <w:sz w:val="24"/>
              </w:rPr>
              <w:t>、调查报告及实施方案审查意见</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rPr>
            </w:pPr>
            <w:r>
              <w:rPr>
                <w:rFonts w:hAnsi="宋体"/>
                <w:color w:val="auto"/>
                <w:sz w:val="24"/>
              </w:rPr>
              <w:t>附件</w:t>
            </w:r>
            <w:r>
              <w:rPr>
                <w:rFonts w:hint="eastAsia"/>
                <w:color w:val="auto"/>
                <w:sz w:val="24"/>
              </w:rPr>
              <w:t>3</w:t>
            </w:r>
            <w:r>
              <w:rPr>
                <w:rFonts w:hint="eastAsia"/>
                <w:color w:val="auto"/>
                <w:sz w:val="24"/>
                <w:lang w:val="en-US" w:eastAsia="zh-CN"/>
              </w:rPr>
              <w:t xml:space="preserve">  </w:t>
            </w:r>
            <w:r>
              <w:rPr>
                <w:rFonts w:hint="eastAsia" w:hAnsi="宋体"/>
                <w:color w:val="auto"/>
                <w:sz w:val="24"/>
              </w:rPr>
              <w:t>环境</w:t>
            </w:r>
            <w:r>
              <w:rPr>
                <w:rFonts w:hAnsi="宋体"/>
                <w:color w:val="auto"/>
                <w:sz w:val="24"/>
              </w:rPr>
              <w:t>质量监测报告</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b/>
                <w:bCs/>
                <w:color w:val="auto"/>
                <w:sz w:val="28"/>
                <w:szCs w:val="28"/>
                <w:lang w:val="zh-CN"/>
              </w:rPr>
            </w:pPr>
            <w:r>
              <w:rPr>
                <w:rFonts w:hAnsi="宋体"/>
                <w:b/>
                <w:bCs/>
                <w:color w:val="auto"/>
                <w:sz w:val="28"/>
                <w:szCs w:val="28"/>
                <w:lang w:val="zh-CN"/>
              </w:rPr>
              <w:t>附图</w:t>
            </w:r>
            <w:bookmarkEnd w:id="64"/>
            <w:bookmarkEnd w:id="65"/>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szCs w:val="24"/>
              </w:rPr>
            </w:pPr>
            <w:bookmarkStart w:id="66" w:name="_Toc27139"/>
            <w:bookmarkStart w:id="67" w:name="_Toc12643"/>
            <w:r>
              <w:rPr>
                <w:rFonts w:hAnsi="宋体"/>
                <w:color w:val="auto"/>
                <w:sz w:val="24"/>
                <w:szCs w:val="24"/>
              </w:rPr>
              <w:t>附图</w:t>
            </w:r>
            <w:r>
              <w:rPr>
                <w:color w:val="auto"/>
                <w:sz w:val="24"/>
                <w:szCs w:val="24"/>
              </w:rPr>
              <w:t xml:space="preserve">1  </w:t>
            </w:r>
            <w:bookmarkEnd w:id="66"/>
            <w:bookmarkEnd w:id="67"/>
            <w:bookmarkStart w:id="68" w:name="_Toc7603"/>
            <w:bookmarkStart w:id="69" w:name="_Toc24614"/>
            <w:r>
              <w:rPr>
                <w:rFonts w:hAnsi="宋体"/>
                <w:color w:val="auto"/>
                <w:sz w:val="24"/>
                <w:szCs w:val="24"/>
              </w:rPr>
              <w:t>项目地理位置图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Ansi="宋体"/>
                <w:color w:val="auto"/>
                <w:sz w:val="24"/>
                <w:szCs w:val="24"/>
              </w:rPr>
            </w:pPr>
            <w:r>
              <w:rPr>
                <w:rFonts w:hAnsi="宋体"/>
                <w:color w:val="auto"/>
                <w:sz w:val="24"/>
                <w:szCs w:val="24"/>
              </w:rPr>
              <w:t>附图</w:t>
            </w:r>
            <w:r>
              <w:rPr>
                <w:color w:val="auto"/>
                <w:sz w:val="24"/>
                <w:szCs w:val="24"/>
              </w:rPr>
              <w:t xml:space="preserve">2  </w:t>
            </w:r>
            <w:bookmarkEnd w:id="68"/>
            <w:bookmarkEnd w:id="69"/>
            <w:bookmarkStart w:id="70" w:name="_Toc30247"/>
            <w:bookmarkStart w:id="71" w:name="_Toc6792"/>
            <w:r>
              <w:rPr>
                <w:rFonts w:hint="eastAsia"/>
                <w:color w:val="auto"/>
                <w:sz w:val="24"/>
                <w:szCs w:val="24"/>
              </w:rPr>
              <w:t>调查范围示意图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szCs w:val="24"/>
              </w:rPr>
            </w:pPr>
            <w:r>
              <w:rPr>
                <w:rFonts w:hAnsi="宋体"/>
                <w:color w:val="auto"/>
                <w:sz w:val="24"/>
                <w:szCs w:val="24"/>
              </w:rPr>
              <w:t>附图</w:t>
            </w:r>
            <w:r>
              <w:rPr>
                <w:color w:val="auto"/>
                <w:sz w:val="24"/>
                <w:szCs w:val="24"/>
              </w:rPr>
              <w:t xml:space="preserve">3 </w:t>
            </w:r>
            <w:bookmarkEnd w:id="70"/>
            <w:bookmarkEnd w:id="71"/>
            <w:r>
              <w:rPr>
                <w:rFonts w:hint="eastAsia"/>
                <w:color w:val="auto"/>
                <w:sz w:val="24"/>
                <w:szCs w:val="24"/>
                <w:lang w:val="en-US" w:eastAsia="zh-CN"/>
              </w:rPr>
              <w:t xml:space="preserve"> </w:t>
            </w:r>
            <w:r>
              <w:rPr>
                <w:rFonts w:hint="eastAsia"/>
                <w:color w:val="auto"/>
                <w:sz w:val="24"/>
                <w:szCs w:val="24"/>
              </w:rPr>
              <w:t>土壤调查检测布点图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szCs w:val="24"/>
              </w:rPr>
            </w:pPr>
            <w:r>
              <w:rPr>
                <w:rFonts w:hAnsi="宋体"/>
                <w:color w:val="auto"/>
                <w:sz w:val="24"/>
                <w:szCs w:val="24"/>
              </w:rPr>
              <w:t>附图</w:t>
            </w:r>
            <w:r>
              <w:rPr>
                <w:rFonts w:hint="eastAsia"/>
                <w:color w:val="auto"/>
                <w:sz w:val="24"/>
                <w:szCs w:val="24"/>
              </w:rPr>
              <w:t>4</w:t>
            </w:r>
            <w:r>
              <w:rPr>
                <w:rFonts w:hint="eastAsia"/>
                <w:color w:val="auto"/>
                <w:sz w:val="24"/>
                <w:szCs w:val="24"/>
                <w:lang w:val="en-US" w:eastAsia="zh-CN"/>
              </w:rPr>
              <w:t xml:space="preserve">  </w:t>
            </w:r>
            <w:r>
              <w:rPr>
                <w:rFonts w:hint="eastAsia"/>
                <w:color w:val="auto"/>
                <w:sz w:val="24"/>
                <w:szCs w:val="24"/>
              </w:rPr>
              <w:t>修复场地施工示意图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szCs w:val="24"/>
              </w:rPr>
            </w:pPr>
            <w:r>
              <w:rPr>
                <w:rFonts w:hAnsi="宋体"/>
                <w:color w:val="auto"/>
                <w:sz w:val="24"/>
                <w:szCs w:val="24"/>
              </w:rPr>
              <w:t>附图</w:t>
            </w:r>
            <w:r>
              <w:rPr>
                <w:rFonts w:hint="eastAsia"/>
                <w:color w:val="auto"/>
                <w:sz w:val="24"/>
                <w:szCs w:val="24"/>
              </w:rPr>
              <w:t>5</w:t>
            </w:r>
            <w:r>
              <w:rPr>
                <w:rFonts w:hint="eastAsia"/>
                <w:color w:val="auto"/>
                <w:sz w:val="24"/>
                <w:szCs w:val="24"/>
                <w:lang w:val="en-US" w:eastAsia="zh-CN"/>
              </w:rPr>
              <w:t xml:space="preserve">  </w:t>
            </w:r>
            <w:r>
              <w:rPr>
                <w:rFonts w:hAnsi="宋体"/>
                <w:color w:val="auto"/>
                <w:sz w:val="24"/>
                <w:szCs w:val="24"/>
              </w:rPr>
              <w:t>项目</w:t>
            </w:r>
            <w:r>
              <w:rPr>
                <w:rFonts w:hint="eastAsia" w:hAnsi="宋体"/>
                <w:color w:val="auto"/>
                <w:sz w:val="24"/>
                <w:szCs w:val="24"/>
              </w:rPr>
              <w:t>及周边土地规划</w:t>
            </w:r>
            <w:r>
              <w:rPr>
                <w:rFonts w:hAnsi="宋体"/>
                <w:color w:val="auto"/>
                <w:sz w:val="24"/>
                <w:szCs w:val="24"/>
              </w:rPr>
              <w:t>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szCs w:val="24"/>
              </w:rPr>
            </w:pPr>
            <w:r>
              <w:rPr>
                <w:rFonts w:hAnsi="宋体"/>
                <w:color w:val="auto"/>
                <w:sz w:val="24"/>
                <w:szCs w:val="24"/>
              </w:rPr>
              <w:t>附图</w:t>
            </w:r>
            <w:r>
              <w:rPr>
                <w:rFonts w:hint="eastAsia"/>
                <w:color w:val="auto"/>
                <w:sz w:val="24"/>
                <w:szCs w:val="24"/>
              </w:rPr>
              <w:t>6</w:t>
            </w:r>
            <w:r>
              <w:rPr>
                <w:rFonts w:hint="eastAsia"/>
                <w:color w:val="auto"/>
                <w:sz w:val="24"/>
                <w:szCs w:val="24"/>
                <w:lang w:val="en-US" w:eastAsia="zh-CN"/>
              </w:rPr>
              <w:t xml:space="preserve">  </w:t>
            </w:r>
            <w:r>
              <w:rPr>
                <w:rFonts w:hAnsi="宋体"/>
                <w:color w:val="auto"/>
                <w:sz w:val="24"/>
                <w:szCs w:val="24"/>
              </w:rPr>
              <w:t>项目</w:t>
            </w:r>
            <w:r>
              <w:rPr>
                <w:rFonts w:hint="eastAsia" w:hAnsi="宋体"/>
                <w:color w:val="auto"/>
                <w:sz w:val="24"/>
                <w:szCs w:val="24"/>
              </w:rPr>
              <w:t>环境现状检测布点</w:t>
            </w:r>
            <w:r>
              <w:rPr>
                <w:rFonts w:hAnsi="宋体"/>
                <w:color w:val="auto"/>
                <w:sz w:val="24"/>
                <w:szCs w:val="24"/>
              </w:rPr>
              <w:t>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szCs w:val="24"/>
              </w:rPr>
            </w:pPr>
            <w:r>
              <w:rPr>
                <w:rFonts w:hAnsi="宋体"/>
                <w:color w:val="auto"/>
                <w:sz w:val="24"/>
                <w:szCs w:val="24"/>
              </w:rPr>
              <w:t>附图</w:t>
            </w:r>
            <w:r>
              <w:rPr>
                <w:rFonts w:hint="eastAsia"/>
                <w:color w:val="auto"/>
                <w:sz w:val="24"/>
                <w:szCs w:val="24"/>
              </w:rPr>
              <w:t xml:space="preserve">7  </w:t>
            </w:r>
            <w:r>
              <w:rPr>
                <w:rFonts w:hint="eastAsia" w:hAnsi="宋体"/>
                <w:color w:val="auto"/>
                <w:sz w:val="24"/>
                <w:szCs w:val="24"/>
              </w:rPr>
              <w:t>周边关系示意图</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b/>
                <w:bCs/>
                <w:color w:val="auto"/>
                <w:sz w:val="28"/>
                <w:szCs w:val="28"/>
                <w:lang w:val="zh-CN"/>
              </w:rPr>
            </w:pPr>
            <w:r>
              <w:rPr>
                <w:rFonts w:hAnsi="宋体"/>
                <w:b/>
                <w:bCs/>
                <w:color w:val="auto"/>
                <w:sz w:val="28"/>
                <w:szCs w:val="28"/>
                <w:lang w:val="zh-CN"/>
              </w:rPr>
              <w:t>附表</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color w:val="auto"/>
                <w:sz w:val="24"/>
              </w:rPr>
            </w:pPr>
            <w:r>
              <w:rPr>
                <w:rFonts w:hAnsi="宋体"/>
                <w:color w:val="auto"/>
                <w:sz w:val="24"/>
              </w:rPr>
              <w:t>附表</w:t>
            </w:r>
            <w:r>
              <w:rPr>
                <w:color w:val="auto"/>
                <w:sz w:val="24"/>
              </w:rPr>
              <w:t xml:space="preserve">1  </w:t>
            </w:r>
            <w:r>
              <w:rPr>
                <w:rFonts w:hAnsi="宋体"/>
                <w:color w:val="auto"/>
                <w:sz w:val="24"/>
              </w:rPr>
              <w:t>建设项目环评审批基础信息表</w:t>
            </w:r>
          </w:p>
          <w:p>
            <w:pPr>
              <w:spacing w:line="276" w:lineRule="auto"/>
              <w:rPr>
                <w:color w:val="auto"/>
                <w:sz w:val="24"/>
              </w:rPr>
            </w:pPr>
          </w:p>
          <w:p>
            <w:pPr>
              <w:spacing w:line="276" w:lineRule="auto"/>
              <w:rPr>
                <w:color w:val="auto"/>
                <w:sz w:val="24"/>
              </w:rPr>
            </w:pPr>
          </w:p>
          <w:p>
            <w:pPr>
              <w:spacing w:line="360" w:lineRule="auto"/>
              <w:ind w:firstLine="480" w:firstLineChars="200"/>
              <w:jc w:val="left"/>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gridAfter w:val="1"/>
          <w:wAfter w:w="747" w:type="dxa"/>
          <w:trHeight w:val="6534" w:hRule="atLeast"/>
          <w:jc w:val="center"/>
        </w:trPr>
        <w:tc>
          <w:tcPr>
            <w:tcW w:w="8505" w:type="dxa"/>
            <w:gridSpan w:val="2"/>
            <w:tcBorders>
              <w:top w:val="single" w:color="auto" w:sz="6" w:space="0"/>
              <w:left w:val="single" w:color="auto" w:sz="6" w:space="0"/>
              <w:bottom w:val="single" w:color="auto" w:sz="6" w:space="0"/>
              <w:right w:val="single" w:color="auto" w:sz="6" w:space="0"/>
            </w:tcBorders>
            <w:vAlign w:val="top"/>
          </w:tcPr>
          <w:p>
            <w:pPr>
              <w:spacing w:line="360" w:lineRule="auto"/>
              <w:rPr>
                <w:color w:val="auto"/>
                <w:spacing w:val="6"/>
                <w:sz w:val="28"/>
                <w:u w:val="none"/>
              </w:rPr>
            </w:pPr>
            <w:r>
              <w:rPr>
                <w:color w:val="auto"/>
                <w:spacing w:val="6"/>
                <w:sz w:val="28"/>
                <w:u w:val="none"/>
              </w:rPr>
              <w:t>预审意见：</w:t>
            </w: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r>
              <w:rPr>
                <w:color w:val="auto"/>
                <w:spacing w:val="6"/>
                <w:sz w:val="28"/>
                <w:u w:val="none"/>
              </w:rPr>
              <w:t xml:space="preserve">                                          公    章</w:t>
            </w:r>
          </w:p>
          <w:p>
            <w:pPr>
              <w:spacing w:line="360" w:lineRule="auto"/>
              <w:rPr>
                <w:color w:val="auto"/>
                <w:spacing w:val="6"/>
                <w:sz w:val="28"/>
                <w:u w:val="none"/>
              </w:rPr>
            </w:pPr>
          </w:p>
          <w:p>
            <w:pPr>
              <w:spacing w:line="360" w:lineRule="auto"/>
              <w:rPr>
                <w:color w:val="auto"/>
                <w:spacing w:val="6"/>
                <w:sz w:val="28"/>
                <w:u w:val="none"/>
              </w:rPr>
            </w:pPr>
            <w:r>
              <w:rPr>
                <w:color w:val="auto"/>
                <w:spacing w:val="6"/>
                <w:sz w:val="28"/>
                <w:u w:val="none"/>
              </w:rPr>
              <w:t>经办人：                                 年   月   日</w:t>
            </w:r>
          </w:p>
          <w:p>
            <w:pPr>
              <w:spacing w:line="360" w:lineRule="auto"/>
              <w:rPr>
                <w:color w:val="auto"/>
                <w:sz w:val="20"/>
                <w:u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gridAfter w:val="1"/>
          <w:wAfter w:w="747" w:type="dxa"/>
          <w:trHeight w:val="6534" w:hRule="atLeast"/>
          <w:jc w:val="center"/>
        </w:trPr>
        <w:tc>
          <w:tcPr>
            <w:tcW w:w="8505" w:type="dxa"/>
            <w:gridSpan w:val="2"/>
            <w:tcBorders>
              <w:top w:val="single" w:color="auto" w:sz="6" w:space="0"/>
              <w:left w:val="single" w:color="auto" w:sz="6" w:space="0"/>
              <w:bottom w:val="single" w:color="auto" w:sz="6" w:space="0"/>
              <w:right w:val="single" w:color="auto" w:sz="6" w:space="0"/>
            </w:tcBorders>
            <w:vAlign w:val="top"/>
          </w:tcPr>
          <w:p>
            <w:pPr>
              <w:spacing w:line="360" w:lineRule="auto"/>
              <w:rPr>
                <w:color w:val="auto"/>
                <w:spacing w:val="6"/>
                <w:sz w:val="28"/>
                <w:u w:val="none"/>
              </w:rPr>
            </w:pPr>
            <w:r>
              <w:rPr>
                <w:color w:val="auto"/>
                <w:spacing w:val="6"/>
                <w:sz w:val="28"/>
                <w:u w:val="none"/>
              </w:rPr>
              <w:t>下一级环境保护行政主管部门审查意见：</w:t>
            </w: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p>
          <w:p>
            <w:pPr>
              <w:spacing w:line="360" w:lineRule="auto"/>
              <w:rPr>
                <w:color w:val="auto"/>
                <w:spacing w:val="6"/>
                <w:sz w:val="28"/>
                <w:u w:val="none"/>
              </w:rPr>
            </w:pPr>
            <w:r>
              <w:rPr>
                <w:color w:val="auto"/>
                <w:spacing w:val="6"/>
                <w:sz w:val="28"/>
                <w:u w:val="none"/>
              </w:rPr>
              <w:t xml:space="preserve">                                           公    章</w:t>
            </w:r>
          </w:p>
          <w:p>
            <w:pPr>
              <w:spacing w:line="360" w:lineRule="auto"/>
              <w:rPr>
                <w:color w:val="auto"/>
                <w:spacing w:val="6"/>
                <w:sz w:val="28"/>
                <w:u w:val="none"/>
              </w:rPr>
            </w:pPr>
          </w:p>
          <w:p>
            <w:pPr>
              <w:spacing w:line="360" w:lineRule="auto"/>
              <w:rPr>
                <w:color w:val="auto"/>
                <w:sz w:val="20"/>
                <w:u w:val="none"/>
              </w:rPr>
            </w:pPr>
            <w:r>
              <w:rPr>
                <w:color w:val="auto"/>
                <w:spacing w:val="6"/>
                <w:sz w:val="28"/>
                <w:u w:val="none"/>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gridAfter w:val="2"/>
          <w:wAfter w:w="797" w:type="dxa"/>
          <w:trHeight w:val="13416" w:hRule="atLeast"/>
          <w:jc w:val="center"/>
        </w:trPr>
        <w:tc>
          <w:tcPr>
            <w:tcW w:w="8455" w:type="dxa"/>
            <w:tcBorders>
              <w:top w:val="single" w:color="auto" w:sz="6" w:space="0"/>
              <w:left w:val="single" w:color="auto" w:sz="6" w:space="0"/>
              <w:bottom w:val="single" w:color="auto" w:sz="6" w:space="0"/>
              <w:right w:val="single" w:color="auto" w:sz="6" w:space="0"/>
            </w:tcBorders>
            <w:vAlign w:val="top"/>
          </w:tcPr>
          <w:p>
            <w:pPr>
              <w:rPr>
                <w:color w:val="auto"/>
                <w:sz w:val="28"/>
                <w:u w:val="none"/>
              </w:rPr>
            </w:pPr>
            <w:r>
              <w:rPr>
                <w:color w:val="auto"/>
                <w:sz w:val="28"/>
                <w:u w:val="none"/>
              </w:rPr>
              <w:t>审批意见：</w:t>
            </w:r>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bookmarkStart w:id="73" w:name="_GoBack"/>
            <w:bookmarkEnd w:id="73"/>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p>
          <w:p>
            <w:pPr>
              <w:rPr>
                <w:color w:val="auto"/>
                <w:sz w:val="28"/>
                <w:u w:val="none"/>
              </w:rPr>
            </w:pPr>
          </w:p>
          <w:p>
            <w:pPr>
              <w:ind w:firstLine="5250" w:firstLineChars="1875"/>
              <w:rPr>
                <w:color w:val="auto"/>
                <w:sz w:val="28"/>
                <w:u w:val="none"/>
              </w:rPr>
            </w:pPr>
            <w:r>
              <w:rPr>
                <w:color w:val="auto"/>
                <w:sz w:val="28"/>
                <w:u w:val="none"/>
              </w:rPr>
              <w:t xml:space="preserve">公    章 </w:t>
            </w:r>
          </w:p>
          <w:p>
            <w:pPr>
              <w:ind w:firstLine="5250" w:firstLineChars="1875"/>
              <w:rPr>
                <w:color w:val="auto"/>
                <w:sz w:val="28"/>
                <w:u w:val="none"/>
              </w:rPr>
            </w:pPr>
          </w:p>
          <w:p>
            <w:pPr>
              <w:rPr>
                <w:color w:val="auto"/>
                <w:sz w:val="28"/>
                <w:u w:val="none"/>
              </w:rPr>
            </w:pPr>
            <w:r>
              <w:rPr>
                <w:color w:val="auto"/>
                <w:sz w:val="28"/>
                <w:u w:val="none"/>
              </w:rPr>
              <w:t xml:space="preserve">       经办人：                            </w:t>
            </w:r>
          </w:p>
          <w:p>
            <w:pPr>
              <w:rPr>
                <w:color w:val="auto"/>
                <w:sz w:val="28"/>
                <w:u w:val="none"/>
              </w:rPr>
            </w:pPr>
            <w:r>
              <w:rPr>
                <w:color w:val="auto"/>
                <w:sz w:val="28"/>
                <w:u w:val="none"/>
              </w:rPr>
              <w:t xml:space="preserve">                                          年   月   日</w:t>
            </w:r>
          </w:p>
        </w:tc>
      </w:tr>
    </w:tbl>
    <w:p>
      <w:pPr>
        <w:rPr>
          <w:color w:val="auto"/>
        </w:rPr>
      </w:pPr>
    </w:p>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昆仑仿宋">
    <w:altName w:val="黑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61007A87" w:usb1="80000000" w:usb2="00000008" w:usb3="00000000" w:csb0="200101FF" w:csb1="20280000"/>
  </w:font>
  <w:font w:name="Sim Sun+ 2">
    <w:altName w:val="宋体"/>
    <w:panose1 w:val="00000000000000000000"/>
    <w:charset w:val="86"/>
    <w:family w:val="swiss"/>
    <w:pitch w:val="default"/>
    <w:sig w:usb0="00000000" w:usb1="0000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MingLiU">
    <w:panose1 w:val="02020309000000000000"/>
    <w:charset w:val="88"/>
    <w:family w:val="modern"/>
    <w:pitch w:val="default"/>
    <w:sig w:usb0="00000003" w:usb1="082E0000" w:usb2="00000016" w:usb3="00000000" w:csb0="00100001" w:csb1="00000000"/>
  </w:font>
  <w:font w:name="Batang">
    <w:panose1 w:val="02030600000101010101"/>
    <w:charset w:val="81"/>
    <w:family w:val="auto"/>
    <w:pitch w:val="default"/>
    <w:sig w:usb0="B00002AF" w:usb1="69D77CFB" w:usb2="00000030" w:usb3="00000000" w:csb0="4008009F" w:csb1="DFD70000"/>
  </w:font>
  <w:font w:name="MS Mincho">
    <w:panose1 w:val="02020609040205080304"/>
    <w:charset w:val="80"/>
    <w:family w:val="roman"/>
    <w:pitch w:val="default"/>
    <w:sig w:usb0="A00002BF" w:usb1="68C7FCFB" w:usb2="00000010" w:usb3="00000000" w:csb0="4002009F" w:csb1="DFD70000"/>
  </w:font>
  <w:font w:name="Georgia">
    <w:panose1 w:val="02040502050405020303"/>
    <w:charset w:val="00"/>
    <w:family w:val="roman"/>
    <w:pitch w:val="default"/>
    <w:sig w:usb0="00000287" w:usb1="00000000" w:usb2="00000000" w:usb3="00000000" w:csb0="2000009F" w:csb1="00000000"/>
  </w:font>
  <w:font w:name="AngsanaUPC">
    <w:altName w:val="Times New Roman"/>
    <w:panose1 w:val="02020603050405020304"/>
    <w:charset w:val="00"/>
    <w:family w:val="roman"/>
    <w:pitch w:val="default"/>
    <w:sig w:usb0="00000000" w:usb1="00000000" w:usb2="00000000" w:usb3="00000000" w:csb0="00010001" w:csb1="0000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Impact">
    <w:panose1 w:val="020B0806030902050204"/>
    <w:charset w:val="00"/>
    <w:family w:val="swiss"/>
    <w:pitch w:val="default"/>
    <w:sig w:usb0="00000287" w:usb1="00000000" w:usb2="00000000" w:usb3="00000000" w:csb0="2000009F" w:csb1="DFD70000"/>
  </w:font>
  <w:font w:name="Verdana">
    <w:panose1 w:val="020B0604030504040204"/>
    <w:charset w:val="00"/>
    <w:family w:val="swiss"/>
    <w:pitch w:val="default"/>
    <w:sig w:usb0="00000287" w:usb1="00000000" w:usb2="00000000" w:usb3="00000000" w:csb0="2000019F" w:csb1="00000000"/>
  </w:font>
  <w:font w:name="Angsana New">
    <w:altName w:val="Microsoft Sans Serif"/>
    <w:panose1 w:val="02020603050405020304"/>
    <w:charset w:val="DE"/>
    <w:family w:val="roman"/>
    <w:pitch w:val="default"/>
    <w:sig w:usb0="00000000" w:usb1="00000000" w:usb2="00000000" w:usb3="00000000" w:csb0="00010001" w:csb1="00000000"/>
  </w:font>
  <w:font w:name="微软雅黑">
    <w:altName w:val="黑体"/>
    <w:panose1 w:val="020B0503020204020204"/>
    <w:charset w:val="86"/>
    <w:family w:val="auto"/>
    <w:pitch w:val="default"/>
    <w:sig w:usb0="00000000" w:usb1="00000000" w:usb2="00000016" w:usb3="00000000" w:csb0="0004001F" w:csb1="00000000"/>
  </w:font>
  <w:font w:name="楷体">
    <w:altName w:val="楷体_GB2312"/>
    <w:panose1 w:val="02010609060101010101"/>
    <w:charset w:val="86"/>
    <w:family w:val="auto"/>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细黑">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080E0000" w:usb2="00000000" w:usb3="00000000" w:csb0="00040001" w:csb1="00000000"/>
  </w:font>
  <w:font w:name="仿宋">
    <w:altName w:val="宋体"/>
    <w:panose1 w:val="02010609060101010101"/>
    <w:charset w:val="86"/>
    <w:family w:val="auto"/>
    <w:pitch w:val="default"/>
    <w:sig w:usb0="00000000" w:usb1="00000000" w:usb2="00000016" w:usb3="00000000" w:csb0="00040001" w:csb1="00000000"/>
  </w:font>
  <w:font w:name="方正姚体">
    <w:altName w:val="宋体"/>
    <w:panose1 w:val="02010601030101010101"/>
    <w:charset w:val="86"/>
    <w:family w:val="auto"/>
    <w:pitch w:val="default"/>
    <w:sig w:usb0="00000000" w:usb1="00000000" w:usb2="00000000" w:usb3="00000000" w:csb0="00040000" w:csb1="00000000"/>
  </w:font>
  <w:font w:name="隶书">
    <w:altName w:val="宋体"/>
    <w:panose1 w:val="02010509060101010101"/>
    <w:charset w:val="86"/>
    <w:family w:val="modern"/>
    <w:pitch w:val="default"/>
    <w:sig w:usb0="00000000" w:usb1="00000000" w:usb2="0000000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roman"/>
    <w:pitch w:val="default"/>
    <w:sig w:usb0="00000000" w:usb1="00000000" w:usb2="0000003F" w:usb3="00000000" w:csb0="603F01FF" w:csb1="FFFF0000"/>
  </w:font>
  <w:font w:name="方正书宋简体">
    <w:altName w:val="宋体"/>
    <w:panose1 w:val="02010601030101010101"/>
    <w:charset w:val="86"/>
    <w:family w:val="auto"/>
    <w:pitch w:val="default"/>
    <w:sig w:usb0="00000000" w:usb1="00000000" w:usb2="00000010" w:usb3="00000000" w:csb0="00040000" w:csb1="00000000"/>
  </w:font>
  <w:font w:name="华文仿宋">
    <w:altName w:val="仿宋_GB2312"/>
    <w:panose1 w:val="02010600040101010101"/>
    <w:charset w:val="86"/>
    <w:family w:val="auto"/>
    <w:pitch w:val="default"/>
    <w:sig w:usb0="00000000" w:usb1="00000000" w:usb2="00000000" w:usb3="00000000" w:csb0="0004009F" w:csb1="DFD70000"/>
  </w:font>
  <w:font w:name="monospace">
    <w:altName w:val="宋体"/>
    <w:panose1 w:val="00000000000000000000"/>
    <w:charset w:val="00"/>
    <w:family w:val="auto"/>
    <w:pitch w:val="default"/>
    <w:sig w:usb0="00000000" w:usb1="00000000" w:usb2="00000000" w:usb3="00000000" w:csb0="00040001" w:csb1="00000000"/>
  </w:font>
  <w:font w:name="Arial">
    <w:panose1 w:val="020B0604020202020204"/>
    <w:charset w:val="86"/>
    <w:family w:val="auto"/>
    <w:pitch w:val="default"/>
    <w:sig w:usb0="00007A87" w:usb1="80000000" w:usb2="00000008" w:usb3="00000000" w:csb0="400001FF" w:csb1="FFFF0000"/>
  </w:font>
  <w:font w:name="Microsoft Sans Serif">
    <w:panose1 w:val="020B0604020202020204"/>
    <w:charset w:val="00"/>
    <w:family w:val="auto"/>
    <w:pitch w:val="default"/>
    <w:sig w:usb0="61007BDF"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A+5&#10;MR62AQAAVQMAAA4AAAAAAAAAAQAgAAAAHgEAAGRycy9lMm9Eb2MueG1sUEsFBgAAAAAGAAYAWQEA&#10;AEYFAAAAAA==&#10;">
              <v:fill on="f" focussize="0,0"/>
              <v:stroke on="f"/>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72693"/>
    <w:multiLevelType w:val="multilevel"/>
    <w:tmpl w:val="2CB72693"/>
    <w:lvl w:ilvl="0" w:tentative="0">
      <w:start w:val="1"/>
      <w:numFmt w:val="decimal"/>
      <w:lvlText w:val="%1、"/>
      <w:lvlJc w:val="left"/>
      <w:pPr>
        <w:ind w:left="360" w:hanging="360"/>
      </w:pPr>
      <w:rPr>
        <w:rFonts w:hint="default" w:hAnsi="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B1788C"/>
    <w:multiLevelType w:val="multilevel"/>
    <w:tmpl w:val="32B1788C"/>
    <w:lvl w:ilvl="0" w:tentative="0">
      <w:start w:val="1"/>
      <w:numFmt w:val="decimalEnclosedCircle"/>
      <w:lvlText w:val="%1"/>
      <w:lvlJc w:val="left"/>
      <w:pPr>
        <w:ind w:left="928"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ADD5E08"/>
    <w:multiLevelType w:val="multilevel"/>
    <w:tmpl w:val="3ADD5E08"/>
    <w:lvl w:ilvl="0" w:tentative="0">
      <w:start w:val="1"/>
      <w:numFmt w:val="decimal"/>
      <w:lvlText w:val="%1、"/>
      <w:lvlJc w:val="left"/>
      <w:pPr>
        <w:tabs>
          <w:tab w:val="left" w:pos="832"/>
        </w:tabs>
        <w:ind w:left="832" w:hanging="360"/>
      </w:pPr>
      <w:rPr>
        <w:rFonts w:hint="default"/>
      </w:rPr>
    </w:lvl>
    <w:lvl w:ilvl="1" w:tentative="0">
      <w:start w:val="1"/>
      <w:numFmt w:val="lowerLetter"/>
      <w:lvlText w:val="%2)"/>
      <w:lvlJc w:val="left"/>
      <w:pPr>
        <w:tabs>
          <w:tab w:val="left" w:pos="1312"/>
        </w:tabs>
        <w:ind w:left="1312" w:hanging="420"/>
      </w:pPr>
    </w:lvl>
    <w:lvl w:ilvl="2" w:tentative="0">
      <w:start w:val="1"/>
      <w:numFmt w:val="lowerRoman"/>
      <w:lvlText w:val="%3."/>
      <w:lvlJc w:val="right"/>
      <w:pPr>
        <w:tabs>
          <w:tab w:val="left" w:pos="1732"/>
        </w:tabs>
        <w:ind w:left="1732" w:hanging="420"/>
      </w:pPr>
    </w:lvl>
    <w:lvl w:ilvl="3" w:tentative="0">
      <w:start w:val="1"/>
      <w:numFmt w:val="decimal"/>
      <w:lvlText w:val="%4."/>
      <w:lvlJc w:val="left"/>
      <w:pPr>
        <w:tabs>
          <w:tab w:val="left" w:pos="2152"/>
        </w:tabs>
        <w:ind w:left="2152" w:hanging="420"/>
      </w:pPr>
    </w:lvl>
    <w:lvl w:ilvl="4" w:tentative="0">
      <w:start w:val="1"/>
      <w:numFmt w:val="lowerLetter"/>
      <w:lvlText w:val="%5)"/>
      <w:lvlJc w:val="left"/>
      <w:pPr>
        <w:tabs>
          <w:tab w:val="left" w:pos="2572"/>
        </w:tabs>
        <w:ind w:left="2572" w:hanging="420"/>
      </w:pPr>
    </w:lvl>
    <w:lvl w:ilvl="5" w:tentative="0">
      <w:start w:val="1"/>
      <w:numFmt w:val="lowerRoman"/>
      <w:lvlText w:val="%6."/>
      <w:lvlJc w:val="right"/>
      <w:pPr>
        <w:tabs>
          <w:tab w:val="left" w:pos="2992"/>
        </w:tabs>
        <w:ind w:left="2992" w:hanging="420"/>
      </w:pPr>
    </w:lvl>
    <w:lvl w:ilvl="6" w:tentative="0">
      <w:start w:val="1"/>
      <w:numFmt w:val="decimal"/>
      <w:lvlText w:val="%7."/>
      <w:lvlJc w:val="left"/>
      <w:pPr>
        <w:tabs>
          <w:tab w:val="left" w:pos="3412"/>
        </w:tabs>
        <w:ind w:left="3412" w:hanging="420"/>
      </w:pPr>
    </w:lvl>
    <w:lvl w:ilvl="7" w:tentative="0">
      <w:start w:val="1"/>
      <w:numFmt w:val="lowerLetter"/>
      <w:lvlText w:val="%8)"/>
      <w:lvlJc w:val="left"/>
      <w:pPr>
        <w:tabs>
          <w:tab w:val="left" w:pos="3832"/>
        </w:tabs>
        <w:ind w:left="3832" w:hanging="420"/>
      </w:pPr>
    </w:lvl>
    <w:lvl w:ilvl="8" w:tentative="0">
      <w:start w:val="1"/>
      <w:numFmt w:val="lowerRoman"/>
      <w:lvlText w:val="%9."/>
      <w:lvlJc w:val="right"/>
      <w:pPr>
        <w:tabs>
          <w:tab w:val="left" w:pos="4252"/>
        </w:tabs>
        <w:ind w:left="4252" w:hanging="420"/>
      </w:pPr>
    </w:lvl>
  </w:abstractNum>
  <w:abstractNum w:abstractNumId="3">
    <w:nsid w:val="57D6740A"/>
    <w:multiLevelType w:val="multilevel"/>
    <w:tmpl w:val="57D6740A"/>
    <w:lvl w:ilvl="0" w:tentative="0">
      <w:start w:val="1"/>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79659F"/>
    <w:multiLevelType w:val="singleLevel"/>
    <w:tmpl w:val="5979659F"/>
    <w:lvl w:ilvl="0" w:tentative="0">
      <w:start w:val="3"/>
      <w:numFmt w:val="decimal"/>
      <w:suff w:val="nothing"/>
      <w:lvlText w:val="（%1）"/>
      <w:lvlJc w:val="left"/>
    </w:lvl>
  </w:abstractNum>
  <w:abstractNum w:abstractNumId="5">
    <w:nsid w:val="5A1127F5"/>
    <w:multiLevelType w:val="singleLevel"/>
    <w:tmpl w:val="5A1127F5"/>
    <w:lvl w:ilvl="0" w:tentative="0">
      <w:start w:val="4"/>
      <w:numFmt w:val="decimal"/>
      <w:suff w:val="nothing"/>
      <w:lvlText w:val="（%1）"/>
      <w:lvlJc w:val="left"/>
    </w:lvl>
  </w:abstractNum>
  <w:abstractNum w:abstractNumId="6">
    <w:nsid w:val="5A112DDB"/>
    <w:multiLevelType w:val="singleLevel"/>
    <w:tmpl w:val="5A112DDB"/>
    <w:lvl w:ilvl="0" w:tentative="0">
      <w:start w:val="4"/>
      <w:numFmt w:val="decimal"/>
      <w:suff w:val="nothing"/>
      <w:lvlText w:val="（%1）"/>
      <w:lvlJc w:val="left"/>
    </w:lvl>
  </w:abstractNum>
  <w:abstractNum w:abstractNumId="7">
    <w:nsid w:val="5A113AA6"/>
    <w:multiLevelType w:val="singleLevel"/>
    <w:tmpl w:val="5A113AA6"/>
    <w:lvl w:ilvl="0" w:tentative="0">
      <w:start w:val="1"/>
      <w:numFmt w:val="decimal"/>
      <w:suff w:val="nothing"/>
      <w:lvlText w:val="%1、"/>
      <w:lvlJc w:val="left"/>
    </w:lvl>
  </w:abstractNum>
  <w:abstractNum w:abstractNumId="8">
    <w:nsid w:val="5A113F00"/>
    <w:multiLevelType w:val="singleLevel"/>
    <w:tmpl w:val="5A113F00"/>
    <w:lvl w:ilvl="0" w:tentative="0">
      <w:start w:val="1"/>
      <w:numFmt w:val="bullet"/>
      <w:lvlText w:val=""/>
      <w:lvlJc w:val="left"/>
      <w:pPr>
        <w:ind w:left="420" w:hanging="420"/>
      </w:pPr>
      <w:rPr>
        <w:rFonts w:hint="default" w:ascii="Wingdings" w:hAnsi="Wingdings"/>
      </w:rPr>
    </w:lvl>
  </w:abstractNum>
  <w:abstractNum w:abstractNumId="9">
    <w:nsid w:val="5A1142F1"/>
    <w:multiLevelType w:val="singleLevel"/>
    <w:tmpl w:val="5A1142F1"/>
    <w:lvl w:ilvl="0" w:tentative="0">
      <w:start w:val="3"/>
      <w:numFmt w:val="decimal"/>
      <w:lvlText w:val="(%1)"/>
      <w:lvlJc w:val="left"/>
      <w:pPr>
        <w:tabs>
          <w:tab w:val="left" w:pos="312"/>
        </w:tabs>
      </w:pPr>
    </w:lvl>
  </w:abstractNum>
  <w:abstractNum w:abstractNumId="10">
    <w:nsid w:val="5A11508D"/>
    <w:multiLevelType w:val="singleLevel"/>
    <w:tmpl w:val="5A11508D"/>
    <w:lvl w:ilvl="0" w:tentative="0">
      <w:start w:val="1"/>
      <w:numFmt w:val="decimal"/>
      <w:suff w:val="nothing"/>
      <w:lvlText w:val="（%1）"/>
      <w:lvlJc w:val="left"/>
    </w:lvl>
  </w:abstractNum>
  <w:abstractNum w:abstractNumId="11">
    <w:nsid w:val="5A1182E7"/>
    <w:multiLevelType w:val="singleLevel"/>
    <w:tmpl w:val="5A1182E7"/>
    <w:lvl w:ilvl="0" w:tentative="0">
      <w:start w:val="4"/>
      <w:numFmt w:val="decimal"/>
      <w:suff w:val="nothing"/>
      <w:lvlText w:val="（%1）"/>
      <w:lvlJc w:val="left"/>
    </w:lvl>
  </w:abstractNum>
  <w:abstractNum w:abstractNumId="12">
    <w:nsid w:val="5A11B83D"/>
    <w:multiLevelType w:val="singleLevel"/>
    <w:tmpl w:val="5A11B83D"/>
    <w:lvl w:ilvl="0" w:tentative="0">
      <w:start w:val="4"/>
      <w:numFmt w:val="decimal"/>
      <w:suff w:val="nothing"/>
      <w:lvlText w:val="（%1）"/>
      <w:lvlJc w:val="left"/>
    </w:lvl>
  </w:abstractNum>
  <w:abstractNum w:abstractNumId="13">
    <w:nsid w:val="617D56D6"/>
    <w:multiLevelType w:val="multilevel"/>
    <w:tmpl w:val="617D56D6"/>
    <w:lvl w:ilvl="0" w:tentative="0">
      <w:start w:val="6"/>
      <w:numFmt w:val="decimalEnclosedCircle"/>
      <w:lvlText w:val="%1"/>
      <w:lvlJc w:val="left"/>
      <w:pPr>
        <w:ind w:left="928" w:hanging="360"/>
      </w:pPr>
      <w:rPr>
        <w:rFonts w:hint="default" w:hAnsi="宋体"/>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num w:numId="1">
    <w:abstractNumId w:val="5"/>
  </w:num>
  <w:num w:numId="2">
    <w:abstractNumId w:val="6"/>
  </w:num>
  <w:num w:numId="3">
    <w:abstractNumId w:val="2"/>
  </w:num>
  <w:num w:numId="4">
    <w:abstractNumId w:val="0"/>
  </w:num>
  <w:num w:numId="5">
    <w:abstractNumId w:val="7"/>
  </w:num>
  <w:num w:numId="6">
    <w:abstractNumId w:val="3"/>
  </w:num>
  <w:num w:numId="7">
    <w:abstractNumId w:val="4"/>
  </w:num>
  <w:num w:numId="8">
    <w:abstractNumId w:val="10"/>
  </w:num>
  <w:num w:numId="9">
    <w:abstractNumId w:val="11"/>
  </w:num>
  <w:num w:numId="10">
    <w:abstractNumId w:val="13"/>
  </w:num>
  <w:num w:numId="11">
    <w:abstractNumId w:val="8"/>
  </w:num>
  <w:num w:numId="12">
    <w:abstractNumId w:val="12"/>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68"/>
    <w:rsid w:val="00001872"/>
    <w:rsid w:val="00002B03"/>
    <w:rsid w:val="00003756"/>
    <w:rsid w:val="0000429E"/>
    <w:rsid w:val="00005977"/>
    <w:rsid w:val="00005AB4"/>
    <w:rsid w:val="00005F0B"/>
    <w:rsid w:val="00006517"/>
    <w:rsid w:val="00006747"/>
    <w:rsid w:val="000068FF"/>
    <w:rsid w:val="00007407"/>
    <w:rsid w:val="0000779E"/>
    <w:rsid w:val="0000794A"/>
    <w:rsid w:val="00007979"/>
    <w:rsid w:val="00010064"/>
    <w:rsid w:val="00010D80"/>
    <w:rsid w:val="0001104C"/>
    <w:rsid w:val="00011C19"/>
    <w:rsid w:val="00011C88"/>
    <w:rsid w:val="00011E98"/>
    <w:rsid w:val="0001205C"/>
    <w:rsid w:val="00012398"/>
    <w:rsid w:val="00012A0F"/>
    <w:rsid w:val="00012E19"/>
    <w:rsid w:val="00012FAA"/>
    <w:rsid w:val="00013116"/>
    <w:rsid w:val="00013528"/>
    <w:rsid w:val="0001377B"/>
    <w:rsid w:val="000138E9"/>
    <w:rsid w:val="00013BC7"/>
    <w:rsid w:val="00014A02"/>
    <w:rsid w:val="00014E37"/>
    <w:rsid w:val="00015B76"/>
    <w:rsid w:val="000166D5"/>
    <w:rsid w:val="00017676"/>
    <w:rsid w:val="00017741"/>
    <w:rsid w:val="00020980"/>
    <w:rsid w:val="00020AA8"/>
    <w:rsid w:val="00020D06"/>
    <w:rsid w:val="000210D6"/>
    <w:rsid w:val="00021212"/>
    <w:rsid w:val="0002183C"/>
    <w:rsid w:val="000228B3"/>
    <w:rsid w:val="0002375A"/>
    <w:rsid w:val="00023ABE"/>
    <w:rsid w:val="00023CEF"/>
    <w:rsid w:val="0002437E"/>
    <w:rsid w:val="000243C4"/>
    <w:rsid w:val="0002447B"/>
    <w:rsid w:val="00024C25"/>
    <w:rsid w:val="00024D9B"/>
    <w:rsid w:val="00025241"/>
    <w:rsid w:val="0002530E"/>
    <w:rsid w:val="00026B4C"/>
    <w:rsid w:val="00026F93"/>
    <w:rsid w:val="00027824"/>
    <w:rsid w:val="00027E52"/>
    <w:rsid w:val="00030169"/>
    <w:rsid w:val="0003099B"/>
    <w:rsid w:val="00031627"/>
    <w:rsid w:val="00031949"/>
    <w:rsid w:val="00031D38"/>
    <w:rsid w:val="00032299"/>
    <w:rsid w:val="00033DAC"/>
    <w:rsid w:val="000348EF"/>
    <w:rsid w:val="00034DB9"/>
    <w:rsid w:val="0003522D"/>
    <w:rsid w:val="000353E4"/>
    <w:rsid w:val="00035994"/>
    <w:rsid w:val="00035D4F"/>
    <w:rsid w:val="00036436"/>
    <w:rsid w:val="00037940"/>
    <w:rsid w:val="000402A6"/>
    <w:rsid w:val="000409B1"/>
    <w:rsid w:val="000409D0"/>
    <w:rsid w:val="0004147D"/>
    <w:rsid w:val="00041581"/>
    <w:rsid w:val="00041972"/>
    <w:rsid w:val="00041F04"/>
    <w:rsid w:val="000425C2"/>
    <w:rsid w:val="000426FC"/>
    <w:rsid w:val="00044151"/>
    <w:rsid w:val="000443F4"/>
    <w:rsid w:val="00044C0A"/>
    <w:rsid w:val="00044FC4"/>
    <w:rsid w:val="00045CE5"/>
    <w:rsid w:val="000464FB"/>
    <w:rsid w:val="00047428"/>
    <w:rsid w:val="0004772A"/>
    <w:rsid w:val="000478AF"/>
    <w:rsid w:val="0004796E"/>
    <w:rsid w:val="00050812"/>
    <w:rsid w:val="00050A8A"/>
    <w:rsid w:val="00050AF7"/>
    <w:rsid w:val="00051765"/>
    <w:rsid w:val="00051AB4"/>
    <w:rsid w:val="00051CD5"/>
    <w:rsid w:val="00051EA8"/>
    <w:rsid w:val="00052038"/>
    <w:rsid w:val="0005286E"/>
    <w:rsid w:val="000528BA"/>
    <w:rsid w:val="00053567"/>
    <w:rsid w:val="00053DD5"/>
    <w:rsid w:val="000540C1"/>
    <w:rsid w:val="000545DB"/>
    <w:rsid w:val="000551A2"/>
    <w:rsid w:val="000551E6"/>
    <w:rsid w:val="00056648"/>
    <w:rsid w:val="000567E5"/>
    <w:rsid w:val="00056A33"/>
    <w:rsid w:val="00056AD9"/>
    <w:rsid w:val="00056CDA"/>
    <w:rsid w:val="00056D21"/>
    <w:rsid w:val="00056D4C"/>
    <w:rsid w:val="000577CA"/>
    <w:rsid w:val="00057B81"/>
    <w:rsid w:val="00060616"/>
    <w:rsid w:val="00060671"/>
    <w:rsid w:val="00060F74"/>
    <w:rsid w:val="00061B87"/>
    <w:rsid w:val="00061E6E"/>
    <w:rsid w:val="0006256E"/>
    <w:rsid w:val="0006288A"/>
    <w:rsid w:val="00062B78"/>
    <w:rsid w:val="00062D3D"/>
    <w:rsid w:val="00063306"/>
    <w:rsid w:val="00063492"/>
    <w:rsid w:val="000637B2"/>
    <w:rsid w:val="00064575"/>
    <w:rsid w:val="00066846"/>
    <w:rsid w:val="000700D7"/>
    <w:rsid w:val="00070392"/>
    <w:rsid w:val="000703AA"/>
    <w:rsid w:val="0007089D"/>
    <w:rsid w:val="00070A72"/>
    <w:rsid w:val="00071644"/>
    <w:rsid w:val="000717EC"/>
    <w:rsid w:val="00071A48"/>
    <w:rsid w:val="00071CC5"/>
    <w:rsid w:val="00071EC1"/>
    <w:rsid w:val="00072E7E"/>
    <w:rsid w:val="00072F53"/>
    <w:rsid w:val="000730D5"/>
    <w:rsid w:val="00073304"/>
    <w:rsid w:val="00073346"/>
    <w:rsid w:val="00073821"/>
    <w:rsid w:val="00073889"/>
    <w:rsid w:val="00073A79"/>
    <w:rsid w:val="00073E5D"/>
    <w:rsid w:val="00074A09"/>
    <w:rsid w:val="00074EBA"/>
    <w:rsid w:val="00075019"/>
    <w:rsid w:val="0007576B"/>
    <w:rsid w:val="00075789"/>
    <w:rsid w:val="00076C16"/>
    <w:rsid w:val="00076C48"/>
    <w:rsid w:val="00076FC6"/>
    <w:rsid w:val="0008035E"/>
    <w:rsid w:val="0008044B"/>
    <w:rsid w:val="000804C6"/>
    <w:rsid w:val="00081B4D"/>
    <w:rsid w:val="00081C7C"/>
    <w:rsid w:val="00081C97"/>
    <w:rsid w:val="00083249"/>
    <w:rsid w:val="000834AE"/>
    <w:rsid w:val="00083572"/>
    <w:rsid w:val="00083A5F"/>
    <w:rsid w:val="00083E8B"/>
    <w:rsid w:val="00083F95"/>
    <w:rsid w:val="00084A0B"/>
    <w:rsid w:val="00084B5B"/>
    <w:rsid w:val="00085195"/>
    <w:rsid w:val="00085524"/>
    <w:rsid w:val="00085F3B"/>
    <w:rsid w:val="00086026"/>
    <w:rsid w:val="000864B2"/>
    <w:rsid w:val="00086668"/>
    <w:rsid w:val="00090EE3"/>
    <w:rsid w:val="00090F81"/>
    <w:rsid w:val="000911D8"/>
    <w:rsid w:val="00091349"/>
    <w:rsid w:val="00092DAF"/>
    <w:rsid w:val="00093D58"/>
    <w:rsid w:val="00094096"/>
    <w:rsid w:val="000942CE"/>
    <w:rsid w:val="000943D1"/>
    <w:rsid w:val="00095399"/>
    <w:rsid w:val="00095602"/>
    <w:rsid w:val="0009596A"/>
    <w:rsid w:val="00095B07"/>
    <w:rsid w:val="000966EE"/>
    <w:rsid w:val="00096AB1"/>
    <w:rsid w:val="000971A9"/>
    <w:rsid w:val="00097409"/>
    <w:rsid w:val="00097A69"/>
    <w:rsid w:val="000A0023"/>
    <w:rsid w:val="000A020B"/>
    <w:rsid w:val="000A03EE"/>
    <w:rsid w:val="000A110A"/>
    <w:rsid w:val="000A1363"/>
    <w:rsid w:val="000A1609"/>
    <w:rsid w:val="000A1ABE"/>
    <w:rsid w:val="000A26C9"/>
    <w:rsid w:val="000A28ED"/>
    <w:rsid w:val="000A33C9"/>
    <w:rsid w:val="000A3A46"/>
    <w:rsid w:val="000A400B"/>
    <w:rsid w:val="000A4931"/>
    <w:rsid w:val="000A6050"/>
    <w:rsid w:val="000A61D9"/>
    <w:rsid w:val="000A682E"/>
    <w:rsid w:val="000B00C5"/>
    <w:rsid w:val="000B065D"/>
    <w:rsid w:val="000B073D"/>
    <w:rsid w:val="000B176B"/>
    <w:rsid w:val="000B1C0C"/>
    <w:rsid w:val="000B1D26"/>
    <w:rsid w:val="000B1F7B"/>
    <w:rsid w:val="000B2905"/>
    <w:rsid w:val="000B2F4F"/>
    <w:rsid w:val="000B4AE3"/>
    <w:rsid w:val="000B5526"/>
    <w:rsid w:val="000B677F"/>
    <w:rsid w:val="000B71A9"/>
    <w:rsid w:val="000B728C"/>
    <w:rsid w:val="000C0158"/>
    <w:rsid w:val="000C035E"/>
    <w:rsid w:val="000C0F39"/>
    <w:rsid w:val="000C13E6"/>
    <w:rsid w:val="000C19F7"/>
    <w:rsid w:val="000C1E13"/>
    <w:rsid w:val="000C276A"/>
    <w:rsid w:val="000C3398"/>
    <w:rsid w:val="000C3F87"/>
    <w:rsid w:val="000C421C"/>
    <w:rsid w:val="000C43B2"/>
    <w:rsid w:val="000C4671"/>
    <w:rsid w:val="000C4745"/>
    <w:rsid w:val="000C5A66"/>
    <w:rsid w:val="000C5BC7"/>
    <w:rsid w:val="000C5F14"/>
    <w:rsid w:val="000C64B4"/>
    <w:rsid w:val="000C6B7A"/>
    <w:rsid w:val="000C6DBE"/>
    <w:rsid w:val="000C7294"/>
    <w:rsid w:val="000C7B46"/>
    <w:rsid w:val="000C7E07"/>
    <w:rsid w:val="000D0151"/>
    <w:rsid w:val="000D034E"/>
    <w:rsid w:val="000D03DE"/>
    <w:rsid w:val="000D06AD"/>
    <w:rsid w:val="000D0701"/>
    <w:rsid w:val="000D1D05"/>
    <w:rsid w:val="000D2D0F"/>
    <w:rsid w:val="000D31DC"/>
    <w:rsid w:val="000D37DE"/>
    <w:rsid w:val="000D405A"/>
    <w:rsid w:val="000D43AD"/>
    <w:rsid w:val="000D4477"/>
    <w:rsid w:val="000D4980"/>
    <w:rsid w:val="000D539C"/>
    <w:rsid w:val="000D5B07"/>
    <w:rsid w:val="000D5CC3"/>
    <w:rsid w:val="000D73B4"/>
    <w:rsid w:val="000D743F"/>
    <w:rsid w:val="000D756B"/>
    <w:rsid w:val="000D77EA"/>
    <w:rsid w:val="000E0B05"/>
    <w:rsid w:val="000E1D00"/>
    <w:rsid w:val="000E1D0B"/>
    <w:rsid w:val="000E217D"/>
    <w:rsid w:val="000E25BE"/>
    <w:rsid w:val="000E292D"/>
    <w:rsid w:val="000E2EC6"/>
    <w:rsid w:val="000E3493"/>
    <w:rsid w:val="000E37F9"/>
    <w:rsid w:val="000E3BCE"/>
    <w:rsid w:val="000E41A0"/>
    <w:rsid w:val="000E4710"/>
    <w:rsid w:val="000E4A48"/>
    <w:rsid w:val="000E4B14"/>
    <w:rsid w:val="000E51BC"/>
    <w:rsid w:val="000E52FB"/>
    <w:rsid w:val="000E56CF"/>
    <w:rsid w:val="000E5777"/>
    <w:rsid w:val="000E58DE"/>
    <w:rsid w:val="000E61EA"/>
    <w:rsid w:val="000E654B"/>
    <w:rsid w:val="000E6B23"/>
    <w:rsid w:val="000E7447"/>
    <w:rsid w:val="000E7B29"/>
    <w:rsid w:val="000E7F55"/>
    <w:rsid w:val="000F0120"/>
    <w:rsid w:val="000F0934"/>
    <w:rsid w:val="000F3086"/>
    <w:rsid w:val="000F3ECC"/>
    <w:rsid w:val="000F454E"/>
    <w:rsid w:val="000F48CF"/>
    <w:rsid w:val="000F5326"/>
    <w:rsid w:val="000F5409"/>
    <w:rsid w:val="000F5B77"/>
    <w:rsid w:val="000F5D19"/>
    <w:rsid w:val="000F628D"/>
    <w:rsid w:val="000F66EC"/>
    <w:rsid w:val="000F6C26"/>
    <w:rsid w:val="000F72C6"/>
    <w:rsid w:val="000F75D4"/>
    <w:rsid w:val="001000B0"/>
    <w:rsid w:val="00100B6F"/>
    <w:rsid w:val="00100EE7"/>
    <w:rsid w:val="00100F41"/>
    <w:rsid w:val="0010123D"/>
    <w:rsid w:val="001012A0"/>
    <w:rsid w:val="00101A67"/>
    <w:rsid w:val="00102B39"/>
    <w:rsid w:val="001031A1"/>
    <w:rsid w:val="00103937"/>
    <w:rsid w:val="00104BC8"/>
    <w:rsid w:val="001057C9"/>
    <w:rsid w:val="001065E6"/>
    <w:rsid w:val="00106717"/>
    <w:rsid w:val="001067D0"/>
    <w:rsid w:val="00106BB6"/>
    <w:rsid w:val="00106E7C"/>
    <w:rsid w:val="00107121"/>
    <w:rsid w:val="0010742C"/>
    <w:rsid w:val="001076CC"/>
    <w:rsid w:val="00107C98"/>
    <w:rsid w:val="001100B6"/>
    <w:rsid w:val="00110279"/>
    <w:rsid w:val="0011079F"/>
    <w:rsid w:val="00110BB0"/>
    <w:rsid w:val="00110CDA"/>
    <w:rsid w:val="00111867"/>
    <w:rsid w:val="00111C5D"/>
    <w:rsid w:val="001122AC"/>
    <w:rsid w:val="00112361"/>
    <w:rsid w:val="0011283C"/>
    <w:rsid w:val="001132F5"/>
    <w:rsid w:val="001137D0"/>
    <w:rsid w:val="0011411D"/>
    <w:rsid w:val="001141E7"/>
    <w:rsid w:val="00114765"/>
    <w:rsid w:val="00116519"/>
    <w:rsid w:val="00116915"/>
    <w:rsid w:val="00117F5F"/>
    <w:rsid w:val="001207FF"/>
    <w:rsid w:val="00120E4C"/>
    <w:rsid w:val="001210E8"/>
    <w:rsid w:val="00121426"/>
    <w:rsid w:val="0012169A"/>
    <w:rsid w:val="001221FF"/>
    <w:rsid w:val="00123B5A"/>
    <w:rsid w:val="00125172"/>
    <w:rsid w:val="001252F5"/>
    <w:rsid w:val="001253E0"/>
    <w:rsid w:val="00125871"/>
    <w:rsid w:val="00125A39"/>
    <w:rsid w:val="00126CD1"/>
    <w:rsid w:val="001272FE"/>
    <w:rsid w:val="00127652"/>
    <w:rsid w:val="001279FD"/>
    <w:rsid w:val="00130390"/>
    <w:rsid w:val="001303A2"/>
    <w:rsid w:val="00130B21"/>
    <w:rsid w:val="00130C53"/>
    <w:rsid w:val="00130E58"/>
    <w:rsid w:val="00130F07"/>
    <w:rsid w:val="0013159E"/>
    <w:rsid w:val="001318BC"/>
    <w:rsid w:val="001318FB"/>
    <w:rsid w:val="00131A57"/>
    <w:rsid w:val="0013318C"/>
    <w:rsid w:val="001339A1"/>
    <w:rsid w:val="001344D5"/>
    <w:rsid w:val="001345D0"/>
    <w:rsid w:val="00134A66"/>
    <w:rsid w:val="00134F96"/>
    <w:rsid w:val="001352EF"/>
    <w:rsid w:val="0013564E"/>
    <w:rsid w:val="00135ADC"/>
    <w:rsid w:val="00135B38"/>
    <w:rsid w:val="0013664F"/>
    <w:rsid w:val="00136EC7"/>
    <w:rsid w:val="001371D5"/>
    <w:rsid w:val="00137461"/>
    <w:rsid w:val="00137BB7"/>
    <w:rsid w:val="001402D2"/>
    <w:rsid w:val="001407AC"/>
    <w:rsid w:val="00140BCA"/>
    <w:rsid w:val="00140FB3"/>
    <w:rsid w:val="00141921"/>
    <w:rsid w:val="0014234D"/>
    <w:rsid w:val="001431F7"/>
    <w:rsid w:val="00143484"/>
    <w:rsid w:val="00143E1B"/>
    <w:rsid w:val="00144335"/>
    <w:rsid w:val="00145098"/>
    <w:rsid w:val="0014530B"/>
    <w:rsid w:val="00145CF4"/>
    <w:rsid w:val="00146261"/>
    <w:rsid w:val="0014630C"/>
    <w:rsid w:val="0014657D"/>
    <w:rsid w:val="00146693"/>
    <w:rsid w:val="00146F82"/>
    <w:rsid w:val="00147965"/>
    <w:rsid w:val="00150D03"/>
    <w:rsid w:val="001513F1"/>
    <w:rsid w:val="001518F2"/>
    <w:rsid w:val="001525F9"/>
    <w:rsid w:val="00152B0C"/>
    <w:rsid w:val="001553AF"/>
    <w:rsid w:val="001566CE"/>
    <w:rsid w:val="00156B97"/>
    <w:rsid w:val="00156BB4"/>
    <w:rsid w:val="00156DC3"/>
    <w:rsid w:val="00156E1D"/>
    <w:rsid w:val="00157134"/>
    <w:rsid w:val="00157AA1"/>
    <w:rsid w:val="00157B62"/>
    <w:rsid w:val="0016099C"/>
    <w:rsid w:val="00161EFC"/>
    <w:rsid w:val="0016254F"/>
    <w:rsid w:val="0016259C"/>
    <w:rsid w:val="00162D37"/>
    <w:rsid w:val="00162F09"/>
    <w:rsid w:val="001633F1"/>
    <w:rsid w:val="00163C91"/>
    <w:rsid w:val="00164BC6"/>
    <w:rsid w:val="00165760"/>
    <w:rsid w:val="00165DE7"/>
    <w:rsid w:val="001663C1"/>
    <w:rsid w:val="001666D2"/>
    <w:rsid w:val="00167185"/>
    <w:rsid w:val="00167307"/>
    <w:rsid w:val="001673E9"/>
    <w:rsid w:val="00167B47"/>
    <w:rsid w:val="00170457"/>
    <w:rsid w:val="00170925"/>
    <w:rsid w:val="00171A46"/>
    <w:rsid w:val="00171F62"/>
    <w:rsid w:val="001720A2"/>
    <w:rsid w:val="00172A27"/>
    <w:rsid w:val="00172C57"/>
    <w:rsid w:val="00173AB7"/>
    <w:rsid w:val="00174195"/>
    <w:rsid w:val="00174381"/>
    <w:rsid w:val="001744E8"/>
    <w:rsid w:val="00175305"/>
    <w:rsid w:val="0017536A"/>
    <w:rsid w:val="0017559F"/>
    <w:rsid w:val="001763A4"/>
    <w:rsid w:val="001764AA"/>
    <w:rsid w:val="001768AE"/>
    <w:rsid w:val="001771E0"/>
    <w:rsid w:val="00177A6A"/>
    <w:rsid w:val="00177FB4"/>
    <w:rsid w:val="00180C42"/>
    <w:rsid w:val="00180E83"/>
    <w:rsid w:val="00180F36"/>
    <w:rsid w:val="00181196"/>
    <w:rsid w:val="0018142B"/>
    <w:rsid w:val="001816AA"/>
    <w:rsid w:val="00182BAB"/>
    <w:rsid w:val="00182D8A"/>
    <w:rsid w:val="0018325B"/>
    <w:rsid w:val="0018448F"/>
    <w:rsid w:val="001845F0"/>
    <w:rsid w:val="001847D6"/>
    <w:rsid w:val="00184B12"/>
    <w:rsid w:val="00185BC8"/>
    <w:rsid w:val="00186161"/>
    <w:rsid w:val="00186838"/>
    <w:rsid w:val="00191CE3"/>
    <w:rsid w:val="00193900"/>
    <w:rsid w:val="00193B0D"/>
    <w:rsid w:val="00193B25"/>
    <w:rsid w:val="00194F81"/>
    <w:rsid w:val="0019541D"/>
    <w:rsid w:val="00195F64"/>
    <w:rsid w:val="001964FB"/>
    <w:rsid w:val="00196A52"/>
    <w:rsid w:val="00197EF4"/>
    <w:rsid w:val="001A039B"/>
    <w:rsid w:val="001A16C4"/>
    <w:rsid w:val="001A20A8"/>
    <w:rsid w:val="001A3429"/>
    <w:rsid w:val="001A3CAC"/>
    <w:rsid w:val="001A4CAF"/>
    <w:rsid w:val="001A4EEB"/>
    <w:rsid w:val="001A5A86"/>
    <w:rsid w:val="001A5B11"/>
    <w:rsid w:val="001A62C1"/>
    <w:rsid w:val="001A6330"/>
    <w:rsid w:val="001A6486"/>
    <w:rsid w:val="001A705F"/>
    <w:rsid w:val="001A73FC"/>
    <w:rsid w:val="001A7665"/>
    <w:rsid w:val="001A78ED"/>
    <w:rsid w:val="001B0214"/>
    <w:rsid w:val="001B0D24"/>
    <w:rsid w:val="001B1748"/>
    <w:rsid w:val="001B17A1"/>
    <w:rsid w:val="001B17CE"/>
    <w:rsid w:val="001B1B2D"/>
    <w:rsid w:val="001B1F73"/>
    <w:rsid w:val="001B21C4"/>
    <w:rsid w:val="001B243F"/>
    <w:rsid w:val="001B2DE3"/>
    <w:rsid w:val="001B3EFD"/>
    <w:rsid w:val="001B41ED"/>
    <w:rsid w:val="001B43D0"/>
    <w:rsid w:val="001B444A"/>
    <w:rsid w:val="001B50E2"/>
    <w:rsid w:val="001B51D9"/>
    <w:rsid w:val="001B59E9"/>
    <w:rsid w:val="001B5EB6"/>
    <w:rsid w:val="001B6B38"/>
    <w:rsid w:val="001B6D86"/>
    <w:rsid w:val="001B70CE"/>
    <w:rsid w:val="001B79CC"/>
    <w:rsid w:val="001C0281"/>
    <w:rsid w:val="001C0487"/>
    <w:rsid w:val="001C151D"/>
    <w:rsid w:val="001C19DF"/>
    <w:rsid w:val="001C1CE7"/>
    <w:rsid w:val="001C229D"/>
    <w:rsid w:val="001C2A97"/>
    <w:rsid w:val="001C2B97"/>
    <w:rsid w:val="001C32FF"/>
    <w:rsid w:val="001C35E9"/>
    <w:rsid w:val="001C395C"/>
    <w:rsid w:val="001C3FAC"/>
    <w:rsid w:val="001C45E3"/>
    <w:rsid w:val="001C4E04"/>
    <w:rsid w:val="001C52D3"/>
    <w:rsid w:val="001C609E"/>
    <w:rsid w:val="001C60C6"/>
    <w:rsid w:val="001C61BC"/>
    <w:rsid w:val="001C641C"/>
    <w:rsid w:val="001C660C"/>
    <w:rsid w:val="001C6C56"/>
    <w:rsid w:val="001C6D25"/>
    <w:rsid w:val="001C6DC6"/>
    <w:rsid w:val="001C6E2E"/>
    <w:rsid w:val="001C7478"/>
    <w:rsid w:val="001C78FA"/>
    <w:rsid w:val="001C7C84"/>
    <w:rsid w:val="001D0321"/>
    <w:rsid w:val="001D0BF9"/>
    <w:rsid w:val="001D1DF2"/>
    <w:rsid w:val="001D242C"/>
    <w:rsid w:val="001D2486"/>
    <w:rsid w:val="001D31FB"/>
    <w:rsid w:val="001D3664"/>
    <w:rsid w:val="001D45CF"/>
    <w:rsid w:val="001D47DD"/>
    <w:rsid w:val="001D4F7D"/>
    <w:rsid w:val="001D5C9B"/>
    <w:rsid w:val="001D6390"/>
    <w:rsid w:val="001D63D7"/>
    <w:rsid w:val="001D78E1"/>
    <w:rsid w:val="001D7BE0"/>
    <w:rsid w:val="001D7DFF"/>
    <w:rsid w:val="001E01B7"/>
    <w:rsid w:val="001E118C"/>
    <w:rsid w:val="001E11C6"/>
    <w:rsid w:val="001E1A9B"/>
    <w:rsid w:val="001E2900"/>
    <w:rsid w:val="001E2BF5"/>
    <w:rsid w:val="001E2C3D"/>
    <w:rsid w:val="001E525F"/>
    <w:rsid w:val="001E5873"/>
    <w:rsid w:val="001E60CB"/>
    <w:rsid w:val="001E6C76"/>
    <w:rsid w:val="001E74FF"/>
    <w:rsid w:val="001E7587"/>
    <w:rsid w:val="001F038C"/>
    <w:rsid w:val="001F04FC"/>
    <w:rsid w:val="001F0509"/>
    <w:rsid w:val="001F05F8"/>
    <w:rsid w:val="001F103E"/>
    <w:rsid w:val="001F124B"/>
    <w:rsid w:val="001F12FF"/>
    <w:rsid w:val="001F1D9C"/>
    <w:rsid w:val="001F1EE0"/>
    <w:rsid w:val="001F215F"/>
    <w:rsid w:val="001F259F"/>
    <w:rsid w:val="001F25EB"/>
    <w:rsid w:val="001F2838"/>
    <w:rsid w:val="001F29C3"/>
    <w:rsid w:val="001F29E2"/>
    <w:rsid w:val="001F2C27"/>
    <w:rsid w:val="001F2ED1"/>
    <w:rsid w:val="001F3701"/>
    <w:rsid w:val="001F39E9"/>
    <w:rsid w:val="001F5221"/>
    <w:rsid w:val="001F54CC"/>
    <w:rsid w:val="001F552B"/>
    <w:rsid w:val="001F556F"/>
    <w:rsid w:val="001F5BED"/>
    <w:rsid w:val="001F5C50"/>
    <w:rsid w:val="001F637D"/>
    <w:rsid w:val="001F6C51"/>
    <w:rsid w:val="001F6D69"/>
    <w:rsid w:val="001F73F7"/>
    <w:rsid w:val="00200086"/>
    <w:rsid w:val="0020027D"/>
    <w:rsid w:val="00200A87"/>
    <w:rsid w:val="00200AC1"/>
    <w:rsid w:val="00200C25"/>
    <w:rsid w:val="002011DD"/>
    <w:rsid w:val="002023E8"/>
    <w:rsid w:val="0020271F"/>
    <w:rsid w:val="00202CF1"/>
    <w:rsid w:val="00202E6A"/>
    <w:rsid w:val="00202F03"/>
    <w:rsid w:val="0020323F"/>
    <w:rsid w:val="00203EB2"/>
    <w:rsid w:val="00204721"/>
    <w:rsid w:val="002048D3"/>
    <w:rsid w:val="002048E6"/>
    <w:rsid w:val="00204C72"/>
    <w:rsid w:val="00204E7C"/>
    <w:rsid w:val="002050B3"/>
    <w:rsid w:val="0020606B"/>
    <w:rsid w:val="002064CB"/>
    <w:rsid w:val="00206CE5"/>
    <w:rsid w:val="00206EC5"/>
    <w:rsid w:val="0020712C"/>
    <w:rsid w:val="0020744D"/>
    <w:rsid w:val="002078B3"/>
    <w:rsid w:val="00207AFA"/>
    <w:rsid w:val="00210030"/>
    <w:rsid w:val="00210519"/>
    <w:rsid w:val="002123F4"/>
    <w:rsid w:val="0021352C"/>
    <w:rsid w:val="00213EB5"/>
    <w:rsid w:val="002148D9"/>
    <w:rsid w:val="00214A01"/>
    <w:rsid w:val="00215209"/>
    <w:rsid w:val="00215864"/>
    <w:rsid w:val="002159D1"/>
    <w:rsid w:val="00215A59"/>
    <w:rsid w:val="00215C8E"/>
    <w:rsid w:val="0021663C"/>
    <w:rsid w:val="002168DB"/>
    <w:rsid w:val="00216A81"/>
    <w:rsid w:val="00217178"/>
    <w:rsid w:val="002171C8"/>
    <w:rsid w:val="00217EB1"/>
    <w:rsid w:val="00217EB5"/>
    <w:rsid w:val="002202EB"/>
    <w:rsid w:val="00222FF7"/>
    <w:rsid w:val="002233FD"/>
    <w:rsid w:val="00223451"/>
    <w:rsid w:val="00224915"/>
    <w:rsid w:val="00225913"/>
    <w:rsid w:val="0022653E"/>
    <w:rsid w:val="00226ABB"/>
    <w:rsid w:val="00227546"/>
    <w:rsid w:val="00227A7B"/>
    <w:rsid w:val="00227AC3"/>
    <w:rsid w:val="00227BDE"/>
    <w:rsid w:val="00227D00"/>
    <w:rsid w:val="002309B3"/>
    <w:rsid w:val="002310BB"/>
    <w:rsid w:val="00231371"/>
    <w:rsid w:val="00231BBD"/>
    <w:rsid w:val="0023262A"/>
    <w:rsid w:val="00232A69"/>
    <w:rsid w:val="002331B5"/>
    <w:rsid w:val="00233E2A"/>
    <w:rsid w:val="002345BE"/>
    <w:rsid w:val="00235718"/>
    <w:rsid w:val="00235786"/>
    <w:rsid w:val="002369F1"/>
    <w:rsid w:val="002373CA"/>
    <w:rsid w:val="00237A9A"/>
    <w:rsid w:val="0024037D"/>
    <w:rsid w:val="002404A7"/>
    <w:rsid w:val="002404AA"/>
    <w:rsid w:val="00240519"/>
    <w:rsid w:val="00240D4F"/>
    <w:rsid w:val="00240E28"/>
    <w:rsid w:val="002432D2"/>
    <w:rsid w:val="00243810"/>
    <w:rsid w:val="00243B01"/>
    <w:rsid w:val="0024441C"/>
    <w:rsid w:val="00244582"/>
    <w:rsid w:val="00244A36"/>
    <w:rsid w:val="00244E5E"/>
    <w:rsid w:val="00245231"/>
    <w:rsid w:val="002456F6"/>
    <w:rsid w:val="00245ECD"/>
    <w:rsid w:val="00246282"/>
    <w:rsid w:val="00247505"/>
    <w:rsid w:val="00247683"/>
    <w:rsid w:val="00250F24"/>
    <w:rsid w:val="002514AF"/>
    <w:rsid w:val="00252D49"/>
    <w:rsid w:val="00252EE1"/>
    <w:rsid w:val="00254966"/>
    <w:rsid w:val="00255043"/>
    <w:rsid w:val="002556BA"/>
    <w:rsid w:val="00255DA2"/>
    <w:rsid w:val="00255EE7"/>
    <w:rsid w:val="002564F4"/>
    <w:rsid w:val="00256A8E"/>
    <w:rsid w:val="00256CB4"/>
    <w:rsid w:val="00256CE7"/>
    <w:rsid w:val="002571D2"/>
    <w:rsid w:val="0025756F"/>
    <w:rsid w:val="00257BB3"/>
    <w:rsid w:val="00257D1B"/>
    <w:rsid w:val="00257DCF"/>
    <w:rsid w:val="0026009C"/>
    <w:rsid w:val="00260CB1"/>
    <w:rsid w:val="00260D77"/>
    <w:rsid w:val="00261720"/>
    <w:rsid w:val="00262294"/>
    <w:rsid w:val="0026261A"/>
    <w:rsid w:val="002638BD"/>
    <w:rsid w:val="00263E21"/>
    <w:rsid w:val="00264382"/>
    <w:rsid w:val="002645EF"/>
    <w:rsid w:val="0026521C"/>
    <w:rsid w:val="002662B3"/>
    <w:rsid w:val="0026653A"/>
    <w:rsid w:val="00267622"/>
    <w:rsid w:val="00267B80"/>
    <w:rsid w:val="00271727"/>
    <w:rsid w:val="00271A40"/>
    <w:rsid w:val="00271CF9"/>
    <w:rsid w:val="002722AF"/>
    <w:rsid w:val="002739DE"/>
    <w:rsid w:val="00273A12"/>
    <w:rsid w:val="00274D47"/>
    <w:rsid w:val="002756B7"/>
    <w:rsid w:val="00275B5D"/>
    <w:rsid w:val="00275E49"/>
    <w:rsid w:val="00275E99"/>
    <w:rsid w:val="002763A5"/>
    <w:rsid w:val="00276D0C"/>
    <w:rsid w:val="00277013"/>
    <w:rsid w:val="002801F3"/>
    <w:rsid w:val="00281C56"/>
    <w:rsid w:val="00282E88"/>
    <w:rsid w:val="00282EAF"/>
    <w:rsid w:val="00282F58"/>
    <w:rsid w:val="00284306"/>
    <w:rsid w:val="002855B6"/>
    <w:rsid w:val="002864DB"/>
    <w:rsid w:val="00286B28"/>
    <w:rsid w:val="00287496"/>
    <w:rsid w:val="0028761E"/>
    <w:rsid w:val="002877C1"/>
    <w:rsid w:val="00287BA1"/>
    <w:rsid w:val="00290453"/>
    <w:rsid w:val="0029126B"/>
    <w:rsid w:val="00292CDB"/>
    <w:rsid w:val="0029335B"/>
    <w:rsid w:val="002934E5"/>
    <w:rsid w:val="00293BDC"/>
    <w:rsid w:val="00293E89"/>
    <w:rsid w:val="0029471D"/>
    <w:rsid w:val="0029557E"/>
    <w:rsid w:val="0029558A"/>
    <w:rsid w:val="00295A53"/>
    <w:rsid w:val="002961F9"/>
    <w:rsid w:val="002963C6"/>
    <w:rsid w:val="00296C80"/>
    <w:rsid w:val="00296DCC"/>
    <w:rsid w:val="002978C7"/>
    <w:rsid w:val="00297FB1"/>
    <w:rsid w:val="002A1038"/>
    <w:rsid w:val="002A1B56"/>
    <w:rsid w:val="002A1F13"/>
    <w:rsid w:val="002A25E8"/>
    <w:rsid w:val="002A2629"/>
    <w:rsid w:val="002A44E5"/>
    <w:rsid w:val="002A4B64"/>
    <w:rsid w:val="002A5506"/>
    <w:rsid w:val="002A599D"/>
    <w:rsid w:val="002A62F4"/>
    <w:rsid w:val="002A6606"/>
    <w:rsid w:val="002A6BC9"/>
    <w:rsid w:val="002A6CE1"/>
    <w:rsid w:val="002A6E44"/>
    <w:rsid w:val="002A776C"/>
    <w:rsid w:val="002A7877"/>
    <w:rsid w:val="002B0105"/>
    <w:rsid w:val="002B08CD"/>
    <w:rsid w:val="002B0E01"/>
    <w:rsid w:val="002B1623"/>
    <w:rsid w:val="002B263F"/>
    <w:rsid w:val="002B2958"/>
    <w:rsid w:val="002B2B62"/>
    <w:rsid w:val="002B2F10"/>
    <w:rsid w:val="002B38BF"/>
    <w:rsid w:val="002B4270"/>
    <w:rsid w:val="002B4ACD"/>
    <w:rsid w:val="002B4C43"/>
    <w:rsid w:val="002B546B"/>
    <w:rsid w:val="002B561D"/>
    <w:rsid w:val="002B5C29"/>
    <w:rsid w:val="002B64EA"/>
    <w:rsid w:val="002B69F2"/>
    <w:rsid w:val="002B6EC7"/>
    <w:rsid w:val="002B6FD2"/>
    <w:rsid w:val="002B7085"/>
    <w:rsid w:val="002B7897"/>
    <w:rsid w:val="002B7B4A"/>
    <w:rsid w:val="002C047B"/>
    <w:rsid w:val="002C071F"/>
    <w:rsid w:val="002C0A04"/>
    <w:rsid w:val="002C0BAF"/>
    <w:rsid w:val="002C0EF4"/>
    <w:rsid w:val="002C1908"/>
    <w:rsid w:val="002C2032"/>
    <w:rsid w:val="002C2524"/>
    <w:rsid w:val="002C2C9C"/>
    <w:rsid w:val="002C2E86"/>
    <w:rsid w:val="002C38E7"/>
    <w:rsid w:val="002C40B4"/>
    <w:rsid w:val="002C44DE"/>
    <w:rsid w:val="002C4838"/>
    <w:rsid w:val="002C5552"/>
    <w:rsid w:val="002C5678"/>
    <w:rsid w:val="002C65B8"/>
    <w:rsid w:val="002C67FB"/>
    <w:rsid w:val="002C7016"/>
    <w:rsid w:val="002C7328"/>
    <w:rsid w:val="002C7BD0"/>
    <w:rsid w:val="002C7FF3"/>
    <w:rsid w:val="002D00CF"/>
    <w:rsid w:val="002D02AD"/>
    <w:rsid w:val="002D02E5"/>
    <w:rsid w:val="002D0687"/>
    <w:rsid w:val="002D0C38"/>
    <w:rsid w:val="002D10A3"/>
    <w:rsid w:val="002D1E98"/>
    <w:rsid w:val="002D2A89"/>
    <w:rsid w:val="002D34E8"/>
    <w:rsid w:val="002D35E6"/>
    <w:rsid w:val="002D3B08"/>
    <w:rsid w:val="002D4EEE"/>
    <w:rsid w:val="002D5044"/>
    <w:rsid w:val="002D54A2"/>
    <w:rsid w:val="002D5A9D"/>
    <w:rsid w:val="002D5B78"/>
    <w:rsid w:val="002D5D50"/>
    <w:rsid w:val="002D61F4"/>
    <w:rsid w:val="002D62DF"/>
    <w:rsid w:val="002D6340"/>
    <w:rsid w:val="002D74DA"/>
    <w:rsid w:val="002D7CA0"/>
    <w:rsid w:val="002E040F"/>
    <w:rsid w:val="002E04FE"/>
    <w:rsid w:val="002E0D12"/>
    <w:rsid w:val="002E208B"/>
    <w:rsid w:val="002E23E3"/>
    <w:rsid w:val="002E3234"/>
    <w:rsid w:val="002E34D6"/>
    <w:rsid w:val="002E36D4"/>
    <w:rsid w:val="002E37EB"/>
    <w:rsid w:val="002E3E5E"/>
    <w:rsid w:val="002E406F"/>
    <w:rsid w:val="002E4994"/>
    <w:rsid w:val="002E5F57"/>
    <w:rsid w:val="002E6035"/>
    <w:rsid w:val="002F0DE0"/>
    <w:rsid w:val="002F15F7"/>
    <w:rsid w:val="002F1D00"/>
    <w:rsid w:val="002F1E84"/>
    <w:rsid w:val="002F1FEF"/>
    <w:rsid w:val="002F24B0"/>
    <w:rsid w:val="002F3964"/>
    <w:rsid w:val="002F396E"/>
    <w:rsid w:val="002F3FD0"/>
    <w:rsid w:val="002F428A"/>
    <w:rsid w:val="002F487B"/>
    <w:rsid w:val="002F4F49"/>
    <w:rsid w:val="002F5094"/>
    <w:rsid w:val="002F50B2"/>
    <w:rsid w:val="002F550A"/>
    <w:rsid w:val="002F60FD"/>
    <w:rsid w:val="002F61DF"/>
    <w:rsid w:val="002F6353"/>
    <w:rsid w:val="002F63BB"/>
    <w:rsid w:val="002F68F7"/>
    <w:rsid w:val="002F7219"/>
    <w:rsid w:val="002F7EB7"/>
    <w:rsid w:val="00300340"/>
    <w:rsid w:val="003007CF"/>
    <w:rsid w:val="00300B43"/>
    <w:rsid w:val="00301584"/>
    <w:rsid w:val="00301E15"/>
    <w:rsid w:val="00302731"/>
    <w:rsid w:val="0030304F"/>
    <w:rsid w:val="00303107"/>
    <w:rsid w:val="003031B2"/>
    <w:rsid w:val="00303D47"/>
    <w:rsid w:val="0030451E"/>
    <w:rsid w:val="00304F64"/>
    <w:rsid w:val="003051B6"/>
    <w:rsid w:val="00305445"/>
    <w:rsid w:val="003054E7"/>
    <w:rsid w:val="0030771A"/>
    <w:rsid w:val="00307BDE"/>
    <w:rsid w:val="00307BEA"/>
    <w:rsid w:val="00307DF0"/>
    <w:rsid w:val="00310AAB"/>
    <w:rsid w:val="00312907"/>
    <w:rsid w:val="0031372B"/>
    <w:rsid w:val="00313AE3"/>
    <w:rsid w:val="00313C25"/>
    <w:rsid w:val="00314769"/>
    <w:rsid w:val="003148D7"/>
    <w:rsid w:val="00315D2F"/>
    <w:rsid w:val="00316E38"/>
    <w:rsid w:val="00317462"/>
    <w:rsid w:val="003177EB"/>
    <w:rsid w:val="00317AC2"/>
    <w:rsid w:val="0032004B"/>
    <w:rsid w:val="00321656"/>
    <w:rsid w:val="00321B56"/>
    <w:rsid w:val="00323911"/>
    <w:rsid w:val="00324196"/>
    <w:rsid w:val="0032540E"/>
    <w:rsid w:val="00325456"/>
    <w:rsid w:val="00325F92"/>
    <w:rsid w:val="0032663A"/>
    <w:rsid w:val="003269CA"/>
    <w:rsid w:val="00326A18"/>
    <w:rsid w:val="00326D15"/>
    <w:rsid w:val="003270C1"/>
    <w:rsid w:val="00327174"/>
    <w:rsid w:val="00327982"/>
    <w:rsid w:val="00327FB6"/>
    <w:rsid w:val="003304FA"/>
    <w:rsid w:val="00330515"/>
    <w:rsid w:val="00330E01"/>
    <w:rsid w:val="00331971"/>
    <w:rsid w:val="003320CE"/>
    <w:rsid w:val="00332D5A"/>
    <w:rsid w:val="003337F1"/>
    <w:rsid w:val="00333CC0"/>
    <w:rsid w:val="003340FE"/>
    <w:rsid w:val="003344AF"/>
    <w:rsid w:val="00334815"/>
    <w:rsid w:val="0033499A"/>
    <w:rsid w:val="00334BD4"/>
    <w:rsid w:val="0033607F"/>
    <w:rsid w:val="00336403"/>
    <w:rsid w:val="00336B92"/>
    <w:rsid w:val="0033785A"/>
    <w:rsid w:val="00337EFB"/>
    <w:rsid w:val="00340579"/>
    <w:rsid w:val="003412C9"/>
    <w:rsid w:val="003414B6"/>
    <w:rsid w:val="003416E6"/>
    <w:rsid w:val="003428FE"/>
    <w:rsid w:val="00342C6E"/>
    <w:rsid w:val="003444D5"/>
    <w:rsid w:val="0034486D"/>
    <w:rsid w:val="0034550F"/>
    <w:rsid w:val="00347088"/>
    <w:rsid w:val="003470B9"/>
    <w:rsid w:val="003508F9"/>
    <w:rsid w:val="00350DB2"/>
    <w:rsid w:val="003511D8"/>
    <w:rsid w:val="003516EB"/>
    <w:rsid w:val="00351762"/>
    <w:rsid w:val="003518E1"/>
    <w:rsid w:val="00351C37"/>
    <w:rsid w:val="00351ED0"/>
    <w:rsid w:val="003525D1"/>
    <w:rsid w:val="0035268D"/>
    <w:rsid w:val="00353225"/>
    <w:rsid w:val="00353942"/>
    <w:rsid w:val="003542FA"/>
    <w:rsid w:val="00355012"/>
    <w:rsid w:val="00355562"/>
    <w:rsid w:val="00356370"/>
    <w:rsid w:val="00356DCD"/>
    <w:rsid w:val="0035771E"/>
    <w:rsid w:val="003602DB"/>
    <w:rsid w:val="003605FE"/>
    <w:rsid w:val="0036073A"/>
    <w:rsid w:val="003608F8"/>
    <w:rsid w:val="003614B0"/>
    <w:rsid w:val="00361774"/>
    <w:rsid w:val="00362082"/>
    <w:rsid w:val="003622FE"/>
    <w:rsid w:val="00362EAF"/>
    <w:rsid w:val="00363011"/>
    <w:rsid w:val="003636D7"/>
    <w:rsid w:val="00363B82"/>
    <w:rsid w:val="00363DA0"/>
    <w:rsid w:val="00363E65"/>
    <w:rsid w:val="0036419F"/>
    <w:rsid w:val="003642AB"/>
    <w:rsid w:val="00364474"/>
    <w:rsid w:val="00365F7A"/>
    <w:rsid w:val="00367068"/>
    <w:rsid w:val="003672EC"/>
    <w:rsid w:val="00367510"/>
    <w:rsid w:val="00367C79"/>
    <w:rsid w:val="003706A8"/>
    <w:rsid w:val="003708EA"/>
    <w:rsid w:val="003709D5"/>
    <w:rsid w:val="00371900"/>
    <w:rsid w:val="0037203D"/>
    <w:rsid w:val="00373513"/>
    <w:rsid w:val="0037351A"/>
    <w:rsid w:val="003736B7"/>
    <w:rsid w:val="0037376B"/>
    <w:rsid w:val="003738F6"/>
    <w:rsid w:val="00373C38"/>
    <w:rsid w:val="00374A11"/>
    <w:rsid w:val="00374B9D"/>
    <w:rsid w:val="00374F40"/>
    <w:rsid w:val="00375227"/>
    <w:rsid w:val="003755A8"/>
    <w:rsid w:val="003756EF"/>
    <w:rsid w:val="003759F1"/>
    <w:rsid w:val="0037646C"/>
    <w:rsid w:val="0037672F"/>
    <w:rsid w:val="00377F04"/>
    <w:rsid w:val="0038016D"/>
    <w:rsid w:val="00380BA4"/>
    <w:rsid w:val="00380CC0"/>
    <w:rsid w:val="00380F33"/>
    <w:rsid w:val="00381902"/>
    <w:rsid w:val="00381B32"/>
    <w:rsid w:val="00381B49"/>
    <w:rsid w:val="003820D0"/>
    <w:rsid w:val="00382702"/>
    <w:rsid w:val="00382873"/>
    <w:rsid w:val="00382BF8"/>
    <w:rsid w:val="00383DAF"/>
    <w:rsid w:val="00383DDD"/>
    <w:rsid w:val="00383E19"/>
    <w:rsid w:val="00384100"/>
    <w:rsid w:val="003859E1"/>
    <w:rsid w:val="00385C3A"/>
    <w:rsid w:val="00385FDF"/>
    <w:rsid w:val="00387074"/>
    <w:rsid w:val="0038720A"/>
    <w:rsid w:val="00390634"/>
    <w:rsid w:val="0039071B"/>
    <w:rsid w:val="003912B8"/>
    <w:rsid w:val="00391D0F"/>
    <w:rsid w:val="003922B9"/>
    <w:rsid w:val="00394216"/>
    <w:rsid w:val="0039454F"/>
    <w:rsid w:val="003949DD"/>
    <w:rsid w:val="00394A3D"/>
    <w:rsid w:val="003953F7"/>
    <w:rsid w:val="003957A4"/>
    <w:rsid w:val="00395B9C"/>
    <w:rsid w:val="00396964"/>
    <w:rsid w:val="00396E81"/>
    <w:rsid w:val="003A023F"/>
    <w:rsid w:val="003A1A95"/>
    <w:rsid w:val="003A1FE7"/>
    <w:rsid w:val="003A2093"/>
    <w:rsid w:val="003A23B6"/>
    <w:rsid w:val="003A2F10"/>
    <w:rsid w:val="003A3CFF"/>
    <w:rsid w:val="003A3D46"/>
    <w:rsid w:val="003A3E2E"/>
    <w:rsid w:val="003A4A53"/>
    <w:rsid w:val="003A55B9"/>
    <w:rsid w:val="003A5B43"/>
    <w:rsid w:val="003A5D14"/>
    <w:rsid w:val="003A643D"/>
    <w:rsid w:val="003A6510"/>
    <w:rsid w:val="003A6793"/>
    <w:rsid w:val="003A68D6"/>
    <w:rsid w:val="003A6FC5"/>
    <w:rsid w:val="003A79DE"/>
    <w:rsid w:val="003B0280"/>
    <w:rsid w:val="003B04C2"/>
    <w:rsid w:val="003B09D7"/>
    <w:rsid w:val="003B0AB6"/>
    <w:rsid w:val="003B284F"/>
    <w:rsid w:val="003B29F2"/>
    <w:rsid w:val="003B2AE3"/>
    <w:rsid w:val="003B3363"/>
    <w:rsid w:val="003B4776"/>
    <w:rsid w:val="003B4E98"/>
    <w:rsid w:val="003B50A4"/>
    <w:rsid w:val="003B6359"/>
    <w:rsid w:val="003B6544"/>
    <w:rsid w:val="003B6AE8"/>
    <w:rsid w:val="003B6D7C"/>
    <w:rsid w:val="003B75A9"/>
    <w:rsid w:val="003B75F7"/>
    <w:rsid w:val="003B7A43"/>
    <w:rsid w:val="003C010A"/>
    <w:rsid w:val="003C08D1"/>
    <w:rsid w:val="003C0C77"/>
    <w:rsid w:val="003C113D"/>
    <w:rsid w:val="003C1921"/>
    <w:rsid w:val="003C1FDE"/>
    <w:rsid w:val="003C2AE8"/>
    <w:rsid w:val="003C2C70"/>
    <w:rsid w:val="003C2FF7"/>
    <w:rsid w:val="003C3075"/>
    <w:rsid w:val="003C31B5"/>
    <w:rsid w:val="003C39C3"/>
    <w:rsid w:val="003C47AC"/>
    <w:rsid w:val="003C4835"/>
    <w:rsid w:val="003C56EF"/>
    <w:rsid w:val="003C59D7"/>
    <w:rsid w:val="003C5C06"/>
    <w:rsid w:val="003C5DB2"/>
    <w:rsid w:val="003C752F"/>
    <w:rsid w:val="003C7958"/>
    <w:rsid w:val="003D14DD"/>
    <w:rsid w:val="003D1756"/>
    <w:rsid w:val="003D390B"/>
    <w:rsid w:val="003D3D3E"/>
    <w:rsid w:val="003D3FC5"/>
    <w:rsid w:val="003D511C"/>
    <w:rsid w:val="003D5356"/>
    <w:rsid w:val="003D56E2"/>
    <w:rsid w:val="003D67C9"/>
    <w:rsid w:val="003D6EC1"/>
    <w:rsid w:val="003D7951"/>
    <w:rsid w:val="003D79EF"/>
    <w:rsid w:val="003E03FC"/>
    <w:rsid w:val="003E0AD6"/>
    <w:rsid w:val="003E17F4"/>
    <w:rsid w:val="003E27EF"/>
    <w:rsid w:val="003E2E34"/>
    <w:rsid w:val="003E2FC9"/>
    <w:rsid w:val="003E35AE"/>
    <w:rsid w:val="003E373F"/>
    <w:rsid w:val="003E3B01"/>
    <w:rsid w:val="003E3FDE"/>
    <w:rsid w:val="003E4719"/>
    <w:rsid w:val="003E47BF"/>
    <w:rsid w:val="003E480E"/>
    <w:rsid w:val="003E4FE1"/>
    <w:rsid w:val="003E5284"/>
    <w:rsid w:val="003E628C"/>
    <w:rsid w:val="003E7317"/>
    <w:rsid w:val="003E7A32"/>
    <w:rsid w:val="003E7FDF"/>
    <w:rsid w:val="003F20F6"/>
    <w:rsid w:val="003F2EF4"/>
    <w:rsid w:val="003F36A4"/>
    <w:rsid w:val="003F383B"/>
    <w:rsid w:val="003F45C1"/>
    <w:rsid w:val="003F52F3"/>
    <w:rsid w:val="003F6200"/>
    <w:rsid w:val="004004EA"/>
    <w:rsid w:val="00400B3A"/>
    <w:rsid w:val="0040138B"/>
    <w:rsid w:val="00401442"/>
    <w:rsid w:val="00401792"/>
    <w:rsid w:val="004017C0"/>
    <w:rsid w:val="004019C6"/>
    <w:rsid w:val="00401B95"/>
    <w:rsid w:val="00401F3F"/>
    <w:rsid w:val="00402405"/>
    <w:rsid w:val="00403638"/>
    <w:rsid w:val="00403749"/>
    <w:rsid w:val="00404327"/>
    <w:rsid w:val="00404569"/>
    <w:rsid w:val="004046D6"/>
    <w:rsid w:val="00404CBB"/>
    <w:rsid w:val="00404EBB"/>
    <w:rsid w:val="00405397"/>
    <w:rsid w:val="00407B26"/>
    <w:rsid w:val="00407F76"/>
    <w:rsid w:val="0041022A"/>
    <w:rsid w:val="00410231"/>
    <w:rsid w:val="004104B3"/>
    <w:rsid w:val="00410C76"/>
    <w:rsid w:val="00410DF8"/>
    <w:rsid w:val="00410F00"/>
    <w:rsid w:val="00412AE8"/>
    <w:rsid w:val="004133E7"/>
    <w:rsid w:val="00413D77"/>
    <w:rsid w:val="00414857"/>
    <w:rsid w:val="0041536A"/>
    <w:rsid w:val="0041572F"/>
    <w:rsid w:val="0041591F"/>
    <w:rsid w:val="00415A5B"/>
    <w:rsid w:val="00415B01"/>
    <w:rsid w:val="00415FD0"/>
    <w:rsid w:val="0041612C"/>
    <w:rsid w:val="0041658B"/>
    <w:rsid w:val="004167F8"/>
    <w:rsid w:val="00417630"/>
    <w:rsid w:val="00417B16"/>
    <w:rsid w:val="004203F7"/>
    <w:rsid w:val="00420B16"/>
    <w:rsid w:val="00420DC5"/>
    <w:rsid w:val="0042105B"/>
    <w:rsid w:val="004211C4"/>
    <w:rsid w:val="00421727"/>
    <w:rsid w:val="00421994"/>
    <w:rsid w:val="004224B3"/>
    <w:rsid w:val="00422663"/>
    <w:rsid w:val="004230E1"/>
    <w:rsid w:val="004243B4"/>
    <w:rsid w:val="00424535"/>
    <w:rsid w:val="0042481F"/>
    <w:rsid w:val="00425770"/>
    <w:rsid w:val="00425FA4"/>
    <w:rsid w:val="00426898"/>
    <w:rsid w:val="004271E2"/>
    <w:rsid w:val="00427353"/>
    <w:rsid w:val="00427683"/>
    <w:rsid w:val="00427F0F"/>
    <w:rsid w:val="00430955"/>
    <w:rsid w:val="004309F8"/>
    <w:rsid w:val="00430A6E"/>
    <w:rsid w:val="00432082"/>
    <w:rsid w:val="00433244"/>
    <w:rsid w:val="00434781"/>
    <w:rsid w:val="00434B22"/>
    <w:rsid w:val="00434BA3"/>
    <w:rsid w:val="00435367"/>
    <w:rsid w:val="00435ABE"/>
    <w:rsid w:val="004362AB"/>
    <w:rsid w:val="00437A6E"/>
    <w:rsid w:val="00437DA9"/>
    <w:rsid w:val="00440873"/>
    <w:rsid w:val="00441A50"/>
    <w:rsid w:val="0044216C"/>
    <w:rsid w:val="00443718"/>
    <w:rsid w:val="00444BA4"/>
    <w:rsid w:val="00444E0D"/>
    <w:rsid w:val="004450DE"/>
    <w:rsid w:val="00445646"/>
    <w:rsid w:val="0044585A"/>
    <w:rsid w:val="00446FDF"/>
    <w:rsid w:val="0044768D"/>
    <w:rsid w:val="004476D7"/>
    <w:rsid w:val="0044777E"/>
    <w:rsid w:val="00447883"/>
    <w:rsid w:val="00447CB3"/>
    <w:rsid w:val="00447ECB"/>
    <w:rsid w:val="004508C1"/>
    <w:rsid w:val="00450F86"/>
    <w:rsid w:val="004511AF"/>
    <w:rsid w:val="00452BB2"/>
    <w:rsid w:val="00452DCD"/>
    <w:rsid w:val="004535B9"/>
    <w:rsid w:val="0045380A"/>
    <w:rsid w:val="004540AE"/>
    <w:rsid w:val="00454A51"/>
    <w:rsid w:val="00455417"/>
    <w:rsid w:val="00456FF0"/>
    <w:rsid w:val="00460025"/>
    <w:rsid w:val="004614A9"/>
    <w:rsid w:val="004624CA"/>
    <w:rsid w:val="00462A0D"/>
    <w:rsid w:val="00462F43"/>
    <w:rsid w:val="00464E2F"/>
    <w:rsid w:val="00464FBA"/>
    <w:rsid w:val="0046587C"/>
    <w:rsid w:val="00466D62"/>
    <w:rsid w:val="004671B4"/>
    <w:rsid w:val="00467315"/>
    <w:rsid w:val="004676E6"/>
    <w:rsid w:val="00470224"/>
    <w:rsid w:val="00470430"/>
    <w:rsid w:val="00470A39"/>
    <w:rsid w:val="004715E0"/>
    <w:rsid w:val="00471B21"/>
    <w:rsid w:val="00471C6E"/>
    <w:rsid w:val="00472FA1"/>
    <w:rsid w:val="004739AE"/>
    <w:rsid w:val="004749D2"/>
    <w:rsid w:val="00474AFE"/>
    <w:rsid w:val="00474EE8"/>
    <w:rsid w:val="00475302"/>
    <w:rsid w:val="00475503"/>
    <w:rsid w:val="00475923"/>
    <w:rsid w:val="004759DA"/>
    <w:rsid w:val="00475AF4"/>
    <w:rsid w:val="00475B0C"/>
    <w:rsid w:val="00475F02"/>
    <w:rsid w:val="00476BBA"/>
    <w:rsid w:val="004772DA"/>
    <w:rsid w:val="00477619"/>
    <w:rsid w:val="00477829"/>
    <w:rsid w:val="004779EC"/>
    <w:rsid w:val="00480769"/>
    <w:rsid w:val="004811E9"/>
    <w:rsid w:val="0048175F"/>
    <w:rsid w:val="00481A73"/>
    <w:rsid w:val="00481E68"/>
    <w:rsid w:val="004826E6"/>
    <w:rsid w:val="00482A5B"/>
    <w:rsid w:val="0048336E"/>
    <w:rsid w:val="004836E6"/>
    <w:rsid w:val="0048371B"/>
    <w:rsid w:val="00484A78"/>
    <w:rsid w:val="0048529E"/>
    <w:rsid w:val="00486555"/>
    <w:rsid w:val="00486C7D"/>
    <w:rsid w:val="00486DD6"/>
    <w:rsid w:val="00486EFB"/>
    <w:rsid w:val="00487ABA"/>
    <w:rsid w:val="00487DD1"/>
    <w:rsid w:val="004902FE"/>
    <w:rsid w:val="004918D3"/>
    <w:rsid w:val="00491EAA"/>
    <w:rsid w:val="00491F17"/>
    <w:rsid w:val="0049216D"/>
    <w:rsid w:val="00492458"/>
    <w:rsid w:val="00492AC8"/>
    <w:rsid w:val="00492ACD"/>
    <w:rsid w:val="0049324C"/>
    <w:rsid w:val="0049346F"/>
    <w:rsid w:val="00494813"/>
    <w:rsid w:val="004955A4"/>
    <w:rsid w:val="00495649"/>
    <w:rsid w:val="004956A7"/>
    <w:rsid w:val="0049646C"/>
    <w:rsid w:val="004970CC"/>
    <w:rsid w:val="004976DC"/>
    <w:rsid w:val="004A0254"/>
    <w:rsid w:val="004A0590"/>
    <w:rsid w:val="004A171C"/>
    <w:rsid w:val="004A1A95"/>
    <w:rsid w:val="004A1DBC"/>
    <w:rsid w:val="004A2C80"/>
    <w:rsid w:val="004A2E38"/>
    <w:rsid w:val="004A30D1"/>
    <w:rsid w:val="004A3D07"/>
    <w:rsid w:val="004A420A"/>
    <w:rsid w:val="004A4384"/>
    <w:rsid w:val="004A4516"/>
    <w:rsid w:val="004A4729"/>
    <w:rsid w:val="004A4D36"/>
    <w:rsid w:val="004A5542"/>
    <w:rsid w:val="004A5998"/>
    <w:rsid w:val="004A6497"/>
    <w:rsid w:val="004A6A88"/>
    <w:rsid w:val="004A6ED1"/>
    <w:rsid w:val="004A79EF"/>
    <w:rsid w:val="004A7F46"/>
    <w:rsid w:val="004B094B"/>
    <w:rsid w:val="004B0B96"/>
    <w:rsid w:val="004B20F3"/>
    <w:rsid w:val="004B302D"/>
    <w:rsid w:val="004B357B"/>
    <w:rsid w:val="004B37E9"/>
    <w:rsid w:val="004B39AB"/>
    <w:rsid w:val="004B4CE2"/>
    <w:rsid w:val="004B502E"/>
    <w:rsid w:val="004B52F3"/>
    <w:rsid w:val="004B5476"/>
    <w:rsid w:val="004B5C09"/>
    <w:rsid w:val="004B5DE3"/>
    <w:rsid w:val="004B661F"/>
    <w:rsid w:val="004B6AF8"/>
    <w:rsid w:val="004B6C28"/>
    <w:rsid w:val="004B6E0B"/>
    <w:rsid w:val="004B7182"/>
    <w:rsid w:val="004B7337"/>
    <w:rsid w:val="004B768A"/>
    <w:rsid w:val="004B76A2"/>
    <w:rsid w:val="004C0AFB"/>
    <w:rsid w:val="004C0F16"/>
    <w:rsid w:val="004C142D"/>
    <w:rsid w:val="004C179C"/>
    <w:rsid w:val="004C1928"/>
    <w:rsid w:val="004C19F2"/>
    <w:rsid w:val="004C32CA"/>
    <w:rsid w:val="004C3514"/>
    <w:rsid w:val="004C36EE"/>
    <w:rsid w:val="004C3D18"/>
    <w:rsid w:val="004C5CEE"/>
    <w:rsid w:val="004C5D07"/>
    <w:rsid w:val="004C5F75"/>
    <w:rsid w:val="004C68E2"/>
    <w:rsid w:val="004C691F"/>
    <w:rsid w:val="004C6A31"/>
    <w:rsid w:val="004C7B07"/>
    <w:rsid w:val="004C7B0A"/>
    <w:rsid w:val="004C7E2D"/>
    <w:rsid w:val="004C7F16"/>
    <w:rsid w:val="004D10FF"/>
    <w:rsid w:val="004D169C"/>
    <w:rsid w:val="004D1A4E"/>
    <w:rsid w:val="004D1D71"/>
    <w:rsid w:val="004D2D81"/>
    <w:rsid w:val="004D2F64"/>
    <w:rsid w:val="004D39E1"/>
    <w:rsid w:val="004D3E2E"/>
    <w:rsid w:val="004D40FB"/>
    <w:rsid w:val="004D434B"/>
    <w:rsid w:val="004D471B"/>
    <w:rsid w:val="004D48CC"/>
    <w:rsid w:val="004D5981"/>
    <w:rsid w:val="004D5BCE"/>
    <w:rsid w:val="004D6718"/>
    <w:rsid w:val="004D7345"/>
    <w:rsid w:val="004D7842"/>
    <w:rsid w:val="004E0522"/>
    <w:rsid w:val="004E1949"/>
    <w:rsid w:val="004E1D14"/>
    <w:rsid w:val="004E243B"/>
    <w:rsid w:val="004E251E"/>
    <w:rsid w:val="004E324A"/>
    <w:rsid w:val="004E327A"/>
    <w:rsid w:val="004E39F6"/>
    <w:rsid w:val="004E470D"/>
    <w:rsid w:val="004E4FBE"/>
    <w:rsid w:val="004E5170"/>
    <w:rsid w:val="004E567C"/>
    <w:rsid w:val="004E5A0E"/>
    <w:rsid w:val="004E5D2B"/>
    <w:rsid w:val="004E652F"/>
    <w:rsid w:val="004E6619"/>
    <w:rsid w:val="004E68D2"/>
    <w:rsid w:val="004E7186"/>
    <w:rsid w:val="004E7888"/>
    <w:rsid w:val="004F0AFC"/>
    <w:rsid w:val="004F0CCE"/>
    <w:rsid w:val="004F1C8E"/>
    <w:rsid w:val="004F2F7A"/>
    <w:rsid w:val="004F3BDF"/>
    <w:rsid w:val="004F3ECE"/>
    <w:rsid w:val="004F47D6"/>
    <w:rsid w:val="004F4DDF"/>
    <w:rsid w:val="004F6C1D"/>
    <w:rsid w:val="004F6D65"/>
    <w:rsid w:val="004F7F3E"/>
    <w:rsid w:val="00500004"/>
    <w:rsid w:val="00500A3A"/>
    <w:rsid w:val="00500F6B"/>
    <w:rsid w:val="005011D0"/>
    <w:rsid w:val="00502821"/>
    <w:rsid w:val="00502873"/>
    <w:rsid w:val="00503A48"/>
    <w:rsid w:val="0050435A"/>
    <w:rsid w:val="00504B03"/>
    <w:rsid w:val="00504BFB"/>
    <w:rsid w:val="00505762"/>
    <w:rsid w:val="00505D36"/>
    <w:rsid w:val="00506050"/>
    <w:rsid w:val="0050612F"/>
    <w:rsid w:val="0050761D"/>
    <w:rsid w:val="00510093"/>
    <w:rsid w:val="00511E64"/>
    <w:rsid w:val="00511F90"/>
    <w:rsid w:val="00512439"/>
    <w:rsid w:val="00512C2A"/>
    <w:rsid w:val="00514093"/>
    <w:rsid w:val="005159DC"/>
    <w:rsid w:val="00515F20"/>
    <w:rsid w:val="005160A2"/>
    <w:rsid w:val="005160DB"/>
    <w:rsid w:val="00516100"/>
    <w:rsid w:val="0051618C"/>
    <w:rsid w:val="00516332"/>
    <w:rsid w:val="00517D72"/>
    <w:rsid w:val="00520656"/>
    <w:rsid w:val="0052130B"/>
    <w:rsid w:val="00521FEE"/>
    <w:rsid w:val="00522048"/>
    <w:rsid w:val="0052389A"/>
    <w:rsid w:val="0052556C"/>
    <w:rsid w:val="00526013"/>
    <w:rsid w:val="0052638C"/>
    <w:rsid w:val="00526BE8"/>
    <w:rsid w:val="00526C34"/>
    <w:rsid w:val="00526CF7"/>
    <w:rsid w:val="0052739E"/>
    <w:rsid w:val="00527A27"/>
    <w:rsid w:val="00527B7D"/>
    <w:rsid w:val="00527E37"/>
    <w:rsid w:val="00531609"/>
    <w:rsid w:val="005317D8"/>
    <w:rsid w:val="00531DBB"/>
    <w:rsid w:val="005323A5"/>
    <w:rsid w:val="00533359"/>
    <w:rsid w:val="005335EC"/>
    <w:rsid w:val="00533B0B"/>
    <w:rsid w:val="00533C48"/>
    <w:rsid w:val="00533E73"/>
    <w:rsid w:val="00534185"/>
    <w:rsid w:val="0053435F"/>
    <w:rsid w:val="00534412"/>
    <w:rsid w:val="005352D5"/>
    <w:rsid w:val="00535417"/>
    <w:rsid w:val="00535532"/>
    <w:rsid w:val="00535DB3"/>
    <w:rsid w:val="00536513"/>
    <w:rsid w:val="00536E0E"/>
    <w:rsid w:val="005379E1"/>
    <w:rsid w:val="00537B8F"/>
    <w:rsid w:val="00537C98"/>
    <w:rsid w:val="00537FE6"/>
    <w:rsid w:val="00540333"/>
    <w:rsid w:val="005409B5"/>
    <w:rsid w:val="00540C5D"/>
    <w:rsid w:val="00540F49"/>
    <w:rsid w:val="00541AB4"/>
    <w:rsid w:val="00541F0E"/>
    <w:rsid w:val="00542672"/>
    <w:rsid w:val="00542688"/>
    <w:rsid w:val="005434BA"/>
    <w:rsid w:val="00543EAE"/>
    <w:rsid w:val="00543FBE"/>
    <w:rsid w:val="005442A3"/>
    <w:rsid w:val="00544BFC"/>
    <w:rsid w:val="00545E34"/>
    <w:rsid w:val="0054629A"/>
    <w:rsid w:val="005468A1"/>
    <w:rsid w:val="00546A00"/>
    <w:rsid w:val="00546CB2"/>
    <w:rsid w:val="005470E5"/>
    <w:rsid w:val="00547C74"/>
    <w:rsid w:val="00547DB8"/>
    <w:rsid w:val="00550655"/>
    <w:rsid w:val="00550BED"/>
    <w:rsid w:val="00550EF9"/>
    <w:rsid w:val="00551A39"/>
    <w:rsid w:val="005530D3"/>
    <w:rsid w:val="005544A8"/>
    <w:rsid w:val="00554FA0"/>
    <w:rsid w:val="00555AE0"/>
    <w:rsid w:val="00555BB9"/>
    <w:rsid w:val="00555F4D"/>
    <w:rsid w:val="00556007"/>
    <w:rsid w:val="005562EB"/>
    <w:rsid w:val="00556AB6"/>
    <w:rsid w:val="00557D89"/>
    <w:rsid w:val="005601A7"/>
    <w:rsid w:val="005607ED"/>
    <w:rsid w:val="00560CCE"/>
    <w:rsid w:val="00561A0F"/>
    <w:rsid w:val="00561BCA"/>
    <w:rsid w:val="00561CBA"/>
    <w:rsid w:val="00564355"/>
    <w:rsid w:val="00564660"/>
    <w:rsid w:val="0056474F"/>
    <w:rsid w:val="005648C8"/>
    <w:rsid w:val="0056498A"/>
    <w:rsid w:val="00564D07"/>
    <w:rsid w:val="00564D2F"/>
    <w:rsid w:val="00564F65"/>
    <w:rsid w:val="005658F0"/>
    <w:rsid w:val="005668A4"/>
    <w:rsid w:val="005671A8"/>
    <w:rsid w:val="0057053E"/>
    <w:rsid w:val="00571465"/>
    <w:rsid w:val="005718ED"/>
    <w:rsid w:val="00572591"/>
    <w:rsid w:val="00572BEF"/>
    <w:rsid w:val="00573AF7"/>
    <w:rsid w:val="0057403D"/>
    <w:rsid w:val="00574108"/>
    <w:rsid w:val="0057415D"/>
    <w:rsid w:val="00574557"/>
    <w:rsid w:val="0057553A"/>
    <w:rsid w:val="005771E7"/>
    <w:rsid w:val="00577662"/>
    <w:rsid w:val="005805D2"/>
    <w:rsid w:val="00580C20"/>
    <w:rsid w:val="00580C8C"/>
    <w:rsid w:val="005811BF"/>
    <w:rsid w:val="00581CA4"/>
    <w:rsid w:val="00582B2F"/>
    <w:rsid w:val="00582BA7"/>
    <w:rsid w:val="00583100"/>
    <w:rsid w:val="00583D32"/>
    <w:rsid w:val="00583F30"/>
    <w:rsid w:val="00584235"/>
    <w:rsid w:val="005846A9"/>
    <w:rsid w:val="00584BD6"/>
    <w:rsid w:val="0058625E"/>
    <w:rsid w:val="00586D25"/>
    <w:rsid w:val="0059051E"/>
    <w:rsid w:val="00591D23"/>
    <w:rsid w:val="00592063"/>
    <w:rsid w:val="005924DA"/>
    <w:rsid w:val="005926A6"/>
    <w:rsid w:val="00592DAB"/>
    <w:rsid w:val="00593651"/>
    <w:rsid w:val="005948D5"/>
    <w:rsid w:val="00594D21"/>
    <w:rsid w:val="00594E1B"/>
    <w:rsid w:val="00594EBF"/>
    <w:rsid w:val="005951EC"/>
    <w:rsid w:val="00595782"/>
    <w:rsid w:val="00595DB9"/>
    <w:rsid w:val="005964B7"/>
    <w:rsid w:val="005966BB"/>
    <w:rsid w:val="005976B0"/>
    <w:rsid w:val="00597777"/>
    <w:rsid w:val="005A0263"/>
    <w:rsid w:val="005A1BC9"/>
    <w:rsid w:val="005A27E1"/>
    <w:rsid w:val="005A285A"/>
    <w:rsid w:val="005A2FFF"/>
    <w:rsid w:val="005A336A"/>
    <w:rsid w:val="005A4581"/>
    <w:rsid w:val="005A4DBC"/>
    <w:rsid w:val="005A53B6"/>
    <w:rsid w:val="005A573F"/>
    <w:rsid w:val="005A7031"/>
    <w:rsid w:val="005B02BB"/>
    <w:rsid w:val="005B100B"/>
    <w:rsid w:val="005B1046"/>
    <w:rsid w:val="005B1259"/>
    <w:rsid w:val="005B2C9F"/>
    <w:rsid w:val="005B32BF"/>
    <w:rsid w:val="005B3632"/>
    <w:rsid w:val="005B3A2C"/>
    <w:rsid w:val="005B3EBF"/>
    <w:rsid w:val="005B3FAC"/>
    <w:rsid w:val="005B42DC"/>
    <w:rsid w:val="005B4A04"/>
    <w:rsid w:val="005B4F1E"/>
    <w:rsid w:val="005B5346"/>
    <w:rsid w:val="005B61EB"/>
    <w:rsid w:val="005B6A45"/>
    <w:rsid w:val="005B7123"/>
    <w:rsid w:val="005B79AF"/>
    <w:rsid w:val="005C0A4B"/>
    <w:rsid w:val="005C1074"/>
    <w:rsid w:val="005C138D"/>
    <w:rsid w:val="005C14A3"/>
    <w:rsid w:val="005C14EB"/>
    <w:rsid w:val="005C1616"/>
    <w:rsid w:val="005C1961"/>
    <w:rsid w:val="005C2476"/>
    <w:rsid w:val="005C247C"/>
    <w:rsid w:val="005C3172"/>
    <w:rsid w:val="005C3845"/>
    <w:rsid w:val="005C3970"/>
    <w:rsid w:val="005C423D"/>
    <w:rsid w:val="005C4314"/>
    <w:rsid w:val="005C473F"/>
    <w:rsid w:val="005C537D"/>
    <w:rsid w:val="005C53CC"/>
    <w:rsid w:val="005C5439"/>
    <w:rsid w:val="005D046B"/>
    <w:rsid w:val="005D084C"/>
    <w:rsid w:val="005D0D12"/>
    <w:rsid w:val="005D0F7D"/>
    <w:rsid w:val="005D10DB"/>
    <w:rsid w:val="005D1CB6"/>
    <w:rsid w:val="005D1CE7"/>
    <w:rsid w:val="005D26A8"/>
    <w:rsid w:val="005D278E"/>
    <w:rsid w:val="005D2B52"/>
    <w:rsid w:val="005D3ACC"/>
    <w:rsid w:val="005D3B15"/>
    <w:rsid w:val="005D3D4E"/>
    <w:rsid w:val="005D4881"/>
    <w:rsid w:val="005D493A"/>
    <w:rsid w:val="005D501C"/>
    <w:rsid w:val="005D572C"/>
    <w:rsid w:val="005D5A5E"/>
    <w:rsid w:val="005D6A75"/>
    <w:rsid w:val="005D71A3"/>
    <w:rsid w:val="005E0013"/>
    <w:rsid w:val="005E0E70"/>
    <w:rsid w:val="005E0ED7"/>
    <w:rsid w:val="005E1068"/>
    <w:rsid w:val="005E11F6"/>
    <w:rsid w:val="005E16AF"/>
    <w:rsid w:val="005E1859"/>
    <w:rsid w:val="005E2508"/>
    <w:rsid w:val="005E263A"/>
    <w:rsid w:val="005E2B1A"/>
    <w:rsid w:val="005E2C0E"/>
    <w:rsid w:val="005E3E5C"/>
    <w:rsid w:val="005E3F0A"/>
    <w:rsid w:val="005E469E"/>
    <w:rsid w:val="005E4FCD"/>
    <w:rsid w:val="005E53D0"/>
    <w:rsid w:val="005E5E1D"/>
    <w:rsid w:val="005E60B1"/>
    <w:rsid w:val="005E71CE"/>
    <w:rsid w:val="005E7606"/>
    <w:rsid w:val="005E7F52"/>
    <w:rsid w:val="005F00FD"/>
    <w:rsid w:val="005F04B5"/>
    <w:rsid w:val="005F15AC"/>
    <w:rsid w:val="005F1990"/>
    <w:rsid w:val="005F2009"/>
    <w:rsid w:val="005F215F"/>
    <w:rsid w:val="005F23E9"/>
    <w:rsid w:val="005F3FE1"/>
    <w:rsid w:val="005F4330"/>
    <w:rsid w:val="005F442A"/>
    <w:rsid w:val="005F4501"/>
    <w:rsid w:val="005F4C7E"/>
    <w:rsid w:val="005F4CF5"/>
    <w:rsid w:val="005F525A"/>
    <w:rsid w:val="005F625F"/>
    <w:rsid w:val="005F6D37"/>
    <w:rsid w:val="005F6DB4"/>
    <w:rsid w:val="005F79B1"/>
    <w:rsid w:val="00600ED4"/>
    <w:rsid w:val="00601876"/>
    <w:rsid w:val="00601E86"/>
    <w:rsid w:val="00602605"/>
    <w:rsid w:val="00602BC6"/>
    <w:rsid w:val="006030FB"/>
    <w:rsid w:val="00603113"/>
    <w:rsid w:val="006033C2"/>
    <w:rsid w:val="00603F70"/>
    <w:rsid w:val="00604204"/>
    <w:rsid w:val="0060467F"/>
    <w:rsid w:val="00605025"/>
    <w:rsid w:val="00605431"/>
    <w:rsid w:val="006065A2"/>
    <w:rsid w:val="00606603"/>
    <w:rsid w:val="006078F7"/>
    <w:rsid w:val="00610DB1"/>
    <w:rsid w:val="00610DBD"/>
    <w:rsid w:val="00610FF1"/>
    <w:rsid w:val="006111A1"/>
    <w:rsid w:val="00611908"/>
    <w:rsid w:val="006120BD"/>
    <w:rsid w:val="00612ABA"/>
    <w:rsid w:val="00613CDA"/>
    <w:rsid w:val="006145BF"/>
    <w:rsid w:val="00614A60"/>
    <w:rsid w:val="00615123"/>
    <w:rsid w:val="006151E1"/>
    <w:rsid w:val="0061629B"/>
    <w:rsid w:val="00616A80"/>
    <w:rsid w:val="00617E06"/>
    <w:rsid w:val="00620A0C"/>
    <w:rsid w:val="006214E0"/>
    <w:rsid w:val="00622A7B"/>
    <w:rsid w:val="00622B69"/>
    <w:rsid w:val="00622BFD"/>
    <w:rsid w:val="00623471"/>
    <w:rsid w:val="006236BD"/>
    <w:rsid w:val="006238B6"/>
    <w:rsid w:val="00623F28"/>
    <w:rsid w:val="00623FF5"/>
    <w:rsid w:val="00624532"/>
    <w:rsid w:val="00624AC9"/>
    <w:rsid w:val="00624BAD"/>
    <w:rsid w:val="00624D92"/>
    <w:rsid w:val="006256FB"/>
    <w:rsid w:val="006259C0"/>
    <w:rsid w:val="00625FE5"/>
    <w:rsid w:val="006260E3"/>
    <w:rsid w:val="006268C3"/>
    <w:rsid w:val="00626BA2"/>
    <w:rsid w:val="006270DE"/>
    <w:rsid w:val="006276CE"/>
    <w:rsid w:val="0062780B"/>
    <w:rsid w:val="00627DE9"/>
    <w:rsid w:val="00630038"/>
    <w:rsid w:val="006303D2"/>
    <w:rsid w:val="0063070C"/>
    <w:rsid w:val="00631543"/>
    <w:rsid w:val="00632045"/>
    <w:rsid w:val="0063215A"/>
    <w:rsid w:val="00632CB9"/>
    <w:rsid w:val="006341FE"/>
    <w:rsid w:val="00634879"/>
    <w:rsid w:val="00634BA4"/>
    <w:rsid w:val="00634FD8"/>
    <w:rsid w:val="00635D86"/>
    <w:rsid w:val="00636185"/>
    <w:rsid w:val="006362D5"/>
    <w:rsid w:val="00636C39"/>
    <w:rsid w:val="0063792E"/>
    <w:rsid w:val="00637C53"/>
    <w:rsid w:val="00640361"/>
    <w:rsid w:val="00640F1D"/>
    <w:rsid w:val="00641178"/>
    <w:rsid w:val="006415C7"/>
    <w:rsid w:val="00641BA2"/>
    <w:rsid w:val="00641C0E"/>
    <w:rsid w:val="00641D8E"/>
    <w:rsid w:val="00642080"/>
    <w:rsid w:val="00642C7C"/>
    <w:rsid w:val="00642CE1"/>
    <w:rsid w:val="00642E62"/>
    <w:rsid w:val="00644251"/>
    <w:rsid w:val="00645107"/>
    <w:rsid w:val="006451C7"/>
    <w:rsid w:val="0064607A"/>
    <w:rsid w:val="00646D4B"/>
    <w:rsid w:val="00646EE9"/>
    <w:rsid w:val="0064749C"/>
    <w:rsid w:val="0065058F"/>
    <w:rsid w:val="0065149F"/>
    <w:rsid w:val="006523F3"/>
    <w:rsid w:val="00652C07"/>
    <w:rsid w:val="00652DCF"/>
    <w:rsid w:val="00652DD9"/>
    <w:rsid w:val="0065328C"/>
    <w:rsid w:val="00653A95"/>
    <w:rsid w:val="00653B71"/>
    <w:rsid w:val="00653C59"/>
    <w:rsid w:val="00653ED0"/>
    <w:rsid w:val="006541EB"/>
    <w:rsid w:val="00654ED6"/>
    <w:rsid w:val="00655387"/>
    <w:rsid w:val="00655987"/>
    <w:rsid w:val="00655BE0"/>
    <w:rsid w:val="00656597"/>
    <w:rsid w:val="0065692D"/>
    <w:rsid w:val="0065719E"/>
    <w:rsid w:val="0066007C"/>
    <w:rsid w:val="0066028D"/>
    <w:rsid w:val="00660854"/>
    <w:rsid w:val="00660FEE"/>
    <w:rsid w:val="006610D7"/>
    <w:rsid w:val="00661246"/>
    <w:rsid w:val="006618D9"/>
    <w:rsid w:val="00661E5C"/>
    <w:rsid w:val="0066241B"/>
    <w:rsid w:val="0066298B"/>
    <w:rsid w:val="00662D28"/>
    <w:rsid w:val="00663EF4"/>
    <w:rsid w:val="0066469F"/>
    <w:rsid w:val="0066491D"/>
    <w:rsid w:val="00664B9C"/>
    <w:rsid w:val="00665951"/>
    <w:rsid w:val="00666EF5"/>
    <w:rsid w:val="00670D52"/>
    <w:rsid w:val="00670E05"/>
    <w:rsid w:val="00670F05"/>
    <w:rsid w:val="00671C85"/>
    <w:rsid w:val="00671F3A"/>
    <w:rsid w:val="00671FC5"/>
    <w:rsid w:val="00672823"/>
    <w:rsid w:val="006735ED"/>
    <w:rsid w:val="006735F9"/>
    <w:rsid w:val="0067398D"/>
    <w:rsid w:val="006746BA"/>
    <w:rsid w:val="00674A51"/>
    <w:rsid w:val="00675648"/>
    <w:rsid w:val="00675895"/>
    <w:rsid w:val="00675A9E"/>
    <w:rsid w:val="00676A5E"/>
    <w:rsid w:val="006779F6"/>
    <w:rsid w:val="006803CB"/>
    <w:rsid w:val="006804F2"/>
    <w:rsid w:val="0068086A"/>
    <w:rsid w:val="00680D17"/>
    <w:rsid w:val="0068132A"/>
    <w:rsid w:val="006818CD"/>
    <w:rsid w:val="00681995"/>
    <w:rsid w:val="00681F36"/>
    <w:rsid w:val="00682157"/>
    <w:rsid w:val="006822F9"/>
    <w:rsid w:val="00682ACB"/>
    <w:rsid w:val="006834B3"/>
    <w:rsid w:val="00683A21"/>
    <w:rsid w:val="00684A82"/>
    <w:rsid w:val="00684CBB"/>
    <w:rsid w:val="00686224"/>
    <w:rsid w:val="00686DEF"/>
    <w:rsid w:val="00687F5A"/>
    <w:rsid w:val="0069042E"/>
    <w:rsid w:val="00690679"/>
    <w:rsid w:val="00690833"/>
    <w:rsid w:val="00690F18"/>
    <w:rsid w:val="0069168F"/>
    <w:rsid w:val="00691BF7"/>
    <w:rsid w:val="00693775"/>
    <w:rsid w:val="006937BA"/>
    <w:rsid w:val="0069458F"/>
    <w:rsid w:val="0069463E"/>
    <w:rsid w:val="00696335"/>
    <w:rsid w:val="00696AB8"/>
    <w:rsid w:val="00697E2E"/>
    <w:rsid w:val="006A0397"/>
    <w:rsid w:val="006A0429"/>
    <w:rsid w:val="006A0D1D"/>
    <w:rsid w:val="006A2C4D"/>
    <w:rsid w:val="006A2E83"/>
    <w:rsid w:val="006A3788"/>
    <w:rsid w:val="006A529E"/>
    <w:rsid w:val="006A5666"/>
    <w:rsid w:val="006A581C"/>
    <w:rsid w:val="006A5ECA"/>
    <w:rsid w:val="006B06B5"/>
    <w:rsid w:val="006B0D90"/>
    <w:rsid w:val="006B1917"/>
    <w:rsid w:val="006B1D22"/>
    <w:rsid w:val="006B2F79"/>
    <w:rsid w:val="006B310E"/>
    <w:rsid w:val="006B4A2D"/>
    <w:rsid w:val="006B6D47"/>
    <w:rsid w:val="006B78F3"/>
    <w:rsid w:val="006B7934"/>
    <w:rsid w:val="006B7B58"/>
    <w:rsid w:val="006B7C13"/>
    <w:rsid w:val="006C12BE"/>
    <w:rsid w:val="006C14F2"/>
    <w:rsid w:val="006C1BBC"/>
    <w:rsid w:val="006C2E4A"/>
    <w:rsid w:val="006C2F94"/>
    <w:rsid w:val="006C39FF"/>
    <w:rsid w:val="006C3BB4"/>
    <w:rsid w:val="006C4E59"/>
    <w:rsid w:val="006C50B6"/>
    <w:rsid w:val="006C5111"/>
    <w:rsid w:val="006C5332"/>
    <w:rsid w:val="006C59EA"/>
    <w:rsid w:val="006C7151"/>
    <w:rsid w:val="006C74E4"/>
    <w:rsid w:val="006C776F"/>
    <w:rsid w:val="006C799E"/>
    <w:rsid w:val="006D00DE"/>
    <w:rsid w:val="006D0695"/>
    <w:rsid w:val="006D0A17"/>
    <w:rsid w:val="006D0FBD"/>
    <w:rsid w:val="006D15FC"/>
    <w:rsid w:val="006D20B0"/>
    <w:rsid w:val="006D2339"/>
    <w:rsid w:val="006D23B8"/>
    <w:rsid w:val="006D29FE"/>
    <w:rsid w:val="006D2DAC"/>
    <w:rsid w:val="006D341A"/>
    <w:rsid w:val="006D4900"/>
    <w:rsid w:val="006D4A06"/>
    <w:rsid w:val="006D627D"/>
    <w:rsid w:val="006D657E"/>
    <w:rsid w:val="006D6658"/>
    <w:rsid w:val="006D77F6"/>
    <w:rsid w:val="006D7A53"/>
    <w:rsid w:val="006E0155"/>
    <w:rsid w:val="006E029A"/>
    <w:rsid w:val="006E0F75"/>
    <w:rsid w:val="006E1817"/>
    <w:rsid w:val="006E1962"/>
    <w:rsid w:val="006E2065"/>
    <w:rsid w:val="006E260C"/>
    <w:rsid w:val="006E2940"/>
    <w:rsid w:val="006E2951"/>
    <w:rsid w:val="006E2B49"/>
    <w:rsid w:val="006E492B"/>
    <w:rsid w:val="006E4C07"/>
    <w:rsid w:val="006E4E5A"/>
    <w:rsid w:val="006E51DC"/>
    <w:rsid w:val="006E5CFB"/>
    <w:rsid w:val="006E5D91"/>
    <w:rsid w:val="006E5E70"/>
    <w:rsid w:val="006E5EF9"/>
    <w:rsid w:val="006E5F20"/>
    <w:rsid w:val="006E7065"/>
    <w:rsid w:val="006E7074"/>
    <w:rsid w:val="006E7232"/>
    <w:rsid w:val="006E733E"/>
    <w:rsid w:val="006E7F9C"/>
    <w:rsid w:val="006F019C"/>
    <w:rsid w:val="006F0A29"/>
    <w:rsid w:val="006F11B0"/>
    <w:rsid w:val="006F1384"/>
    <w:rsid w:val="006F1711"/>
    <w:rsid w:val="006F29D0"/>
    <w:rsid w:val="006F3219"/>
    <w:rsid w:val="006F3878"/>
    <w:rsid w:val="006F39F3"/>
    <w:rsid w:val="006F3D69"/>
    <w:rsid w:val="006F41A0"/>
    <w:rsid w:val="006F41F9"/>
    <w:rsid w:val="006F511B"/>
    <w:rsid w:val="006F553A"/>
    <w:rsid w:val="006F59D9"/>
    <w:rsid w:val="006F639B"/>
    <w:rsid w:val="0070005D"/>
    <w:rsid w:val="00700665"/>
    <w:rsid w:val="0070103A"/>
    <w:rsid w:val="007017A5"/>
    <w:rsid w:val="007018B7"/>
    <w:rsid w:val="00701C13"/>
    <w:rsid w:val="007028AC"/>
    <w:rsid w:val="00702B24"/>
    <w:rsid w:val="00702BF6"/>
    <w:rsid w:val="00703BEB"/>
    <w:rsid w:val="00703CA2"/>
    <w:rsid w:val="0070405E"/>
    <w:rsid w:val="00704877"/>
    <w:rsid w:val="00704FDD"/>
    <w:rsid w:val="00705731"/>
    <w:rsid w:val="00706C0E"/>
    <w:rsid w:val="00706E54"/>
    <w:rsid w:val="00706FE8"/>
    <w:rsid w:val="00706FF5"/>
    <w:rsid w:val="007073AA"/>
    <w:rsid w:val="0070763C"/>
    <w:rsid w:val="00707E4E"/>
    <w:rsid w:val="007104E9"/>
    <w:rsid w:val="00711AFB"/>
    <w:rsid w:val="00711F59"/>
    <w:rsid w:val="007120C1"/>
    <w:rsid w:val="0071234A"/>
    <w:rsid w:val="00713309"/>
    <w:rsid w:val="0071330B"/>
    <w:rsid w:val="00713F0C"/>
    <w:rsid w:val="00713F3D"/>
    <w:rsid w:val="00714470"/>
    <w:rsid w:val="00714488"/>
    <w:rsid w:val="0071454F"/>
    <w:rsid w:val="00714C9F"/>
    <w:rsid w:val="00714EB9"/>
    <w:rsid w:val="00715205"/>
    <w:rsid w:val="00715E12"/>
    <w:rsid w:val="007160D9"/>
    <w:rsid w:val="007160F3"/>
    <w:rsid w:val="007166A4"/>
    <w:rsid w:val="00716FD6"/>
    <w:rsid w:val="00717B46"/>
    <w:rsid w:val="00717CAB"/>
    <w:rsid w:val="00720BF2"/>
    <w:rsid w:val="0072128A"/>
    <w:rsid w:val="00721307"/>
    <w:rsid w:val="0072217E"/>
    <w:rsid w:val="0072321C"/>
    <w:rsid w:val="0072339A"/>
    <w:rsid w:val="0072344A"/>
    <w:rsid w:val="007236BD"/>
    <w:rsid w:val="00723703"/>
    <w:rsid w:val="007239A2"/>
    <w:rsid w:val="00724252"/>
    <w:rsid w:val="00724303"/>
    <w:rsid w:val="00724A7C"/>
    <w:rsid w:val="00724B39"/>
    <w:rsid w:val="00725648"/>
    <w:rsid w:val="00726123"/>
    <w:rsid w:val="00726661"/>
    <w:rsid w:val="00727918"/>
    <w:rsid w:val="007303BD"/>
    <w:rsid w:val="00730446"/>
    <w:rsid w:val="00731008"/>
    <w:rsid w:val="007319EA"/>
    <w:rsid w:val="00732141"/>
    <w:rsid w:val="00732501"/>
    <w:rsid w:val="0073293E"/>
    <w:rsid w:val="00732F26"/>
    <w:rsid w:val="007338B7"/>
    <w:rsid w:val="00733BF7"/>
    <w:rsid w:val="00733DC3"/>
    <w:rsid w:val="00734B86"/>
    <w:rsid w:val="00734F0C"/>
    <w:rsid w:val="0073579E"/>
    <w:rsid w:val="00735EA3"/>
    <w:rsid w:val="007365A0"/>
    <w:rsid w:val="007365B4"/>
    <w:rsid w:val="0073673E"/>
    <w:rsid w:val="007367C6"/>
    <w:rsid w:val="007368D9"/>
    <w:rsid w:val="00736BFC"/>
    <w:rsid w:val="00736BFF"/>
    <w:rsid w:val="00736DEC"/>
    <w:rsid w:val="00736E60"/>
    <w:rsid w:val="00736E9E"/>
    <w:rsid w:val="007374FA"/>
    <w:rsid w:val="00737A50"/>
    <w:rsid w:val="00737DEF"/>
    <w:rsid w:val="00737E9D"/>
    <w:rsid w:val="00740B99"/>
    <w:rsid w:val="00741151"/>
    <w:rsid w:val="007413D2"/>
    <w:rsid w:val="00741480"/>
    <w:rsid w:val="007420D6"/>
    <w:rsid w:val="0074267D"/>
    <w:rsid w:val="00743397"/>
    <w:rsid w:val="007457D1"/>
    <w:rsid w:val="00745879"/>
    <w:rsid w:val="00746087"/>
    <w:rsid w:val="007500BD"/>
    <w:rsid w:val="007506B8"/>
    <w:rsid w:val="007506C1"/>
    <w:rsid w:val="00750C56"/>
    <w:rsid w:val="0075161F"/>
    <w:rsid w:val="0075177E"/>
    <w:rsid w:val="00751DD4"/>
    <w:rsid w:val="00751DF5"/>
    <w:rsid w:val="0075207E"/>
    <w:rsid w:val="00752D17"/>
    <w:rsid w:val="00753B18"/>
    <w:rsid w:val="007544D7"/>
    <w:rsid w:val="00754870"/>
    <w:rsid w:val="0075573A"/>
    <w:rsid w:val="007564F1"/>
    <w:rsid w:val="007569E6"/>
    <w:rsid w:val="00757462"/>
    <w:rsid w:val="007575CB"/>
    <w:rsid w:val="007576B1"/>
    <w:rsid w:val="007576B4"/>
    <w:rsid w:val="007579B1"/>
    <w:rsid w:val="00757A74"/>
    <w:rsid w:val="007601CE"/>
    <w:rsid w:val="0076021F"/>
    <w:rsid w:val="007609B6"/>
    <w:rsid w:val="00760ADF"/>
    <w:rsid w:val="00760C51"/>
    <w:rsid w:val="00761347"/>
    <w:rsid w:val="0076268A"/>
    <w:rsid w:val="00762CFB"/>
    <w:rsid w:val="00762F92"/>
    <w:rsid w:val="007645E1"/>
    <w:rsid w:val="00764E7D"/>
    <w:rsid w:val="00765178"/>
    <w:rsid w:val="00765F83"/>
    <w:rsid w:val="0076603A"/>
    <w:rsid w:val="0076667D"/>
    <w:rsid w:val="00767330"/>
    <w:rsid w:val="0076772E"/>
    <w:rsid w:val="00770F37"/>
    <w:rsid w:val="00771AEB"/>
    <w:rsid w:val="00772788"/>
    <w:rsid w:val="007735E6"/>
    <w:rsid w:val="00774807"/>
    <w:rsid w:val="00775506"/>
    <w:rsid w:val="00775B0B"/>
    <w:rsid w:val="00775BAD"/>
    <w:rsid w:val="00775C83"/>
    <w:rsid w:val="00776245"/>
    <w:rsid w:val="00776D65"/>
    <w:rsid w:val="00777E4A"/>
    <w:rsid w:val="00780397"/>
    <w:rsid w:val="00780DED"/>
    <w:rsid w:val="00781109"/>
    <w:rsid w:val="00781CC2"/>
    <w:rsid w:val="00781EE1"/>
    <w:rsid w:val="00781F17"/>
    <w:rsid w:val="00782F23"/>
    <w:rsid w:val="00782F82"/>
    <w:rsid w:val="00783516"/>
    <w:rsid w:val="00783ABE"/>
    <w:rsid w:val="00784512"/>
    <w:rsid w:val="00784736"/>
    <w:rsid w:val="0078533A"/>
    <w:rsid w:val="0078556D"/>
    <w:rsid w:val="00786782"/>
    <w:rsid w:val="00786FDB"/>
    <w:rsid w:val="00787402"/>
    <w:rsid w:val="00787708"/>
    <w:rsid w:val="00787B13"/>
    <w:rsid w:val="0079231E"/>
    <w:rsid w:val="00792682"/>
    <w:rsid w:val="0079280A"/>
    <w:rsid w:val="007931B9"/>
    <w:rsid w:val="00793228"/>
    <w:rsid w:val="007944EB"/>
    <w:rsid w:val="00794BB1"/>
    <w:rsid w:val="007956B0"/>
    <w:rsid w:val="00796049"/>
    <w:rsid w:val="0079619E"/>
    <w:rsid w:val="007964ED"/>
    <w:rsid w:val="00796D12"/>
    <w:rsid w:val="0079730D"/>
    <w:rsid w:val="007974E1"/>
    <w:rsid w:val="00797B81"/>
    <w:rsid w:val="007A0242"/>
    <w:rsid w:val="007A09B4"/>
    <w:rsid w:val="007A0BF6"/>
    <w:rsid w:val="007A146F"/>
    <w:rsid w:val="007A1857"/>
    <w:rsid w:val="007A1A5D"/>
    <w:rsid w:val="007A1D22"/>
    <w:rsid w:val="007A1E40"/>
    <w:rsid w:val="007A2112"/>
    <w:rsid w:val="007A308F"/>
    <w:rsid w:val="007A3166"/>
    <w:rsid w:val="007A3743"/>
    <w:rsid w:val="007A422C"/>
    <w:rsid w:val="007A4545"/>
    <w:rsid w:val="007A4BC7"/>
    <w:rsid w:val="007A520F"/>
    <w:rsid w:val="007A581F"/>
    <w:rsid w:val="007A5B35"/>
    <w:rsid w:val="007A6387"/>
    <w:rsid w:val="007A72DA"/>
    <w:rsid w:val="007A788D"/>
    <w:rsid w:val="007B04D5"/>
    <w:rsid w:val="007B2CBA"/>
    <w:rsid w:val="007B3549"/>
    <w:rsid w:val="007B3DB0"/>
    <w:rsid w:val="007B431C"/>
    <w:rsid w:val="007B44C6"/>
    <w:rsid w:val="007B4D44"/>
    <w:rsid w:val="007B4F70"/>
    <w:rsid w:val="007B54B4"/>
    <w:rsid w:val="007B58E8"/>
    <w:rsid w:val="007B7315"/>
    <w:rsid w:val="007B7487"/>
    <w:rsid w:val="007B74D9"/>
    <w:rsid w:val="007C06B3"/>
    <w:rsid w:val="007C0B6B"/>
    <w:rsid w:val="007C0CBA"/>
    <w:rsid w:val="007C11E7"/>
    <w:rsid w:val="007C1B37"/>
    <w:rsid w:val="007C24CA"/>
    <w:rsid w:val="007C2A84"/>
    <w:rsid w:val="007C2FBC"/>
    <w:rsid w:val="007C3ED8"/>
    <w:rsid w:val="007C3F0D"/>
    <w:rsid w:val="007C44AF"/>
    <w:rsid w:val="007C4C23"/>
    <w:rsid w:val="007C500F"/>
    <w:rsid w:val="007C551C"/>
    <w:rsid w:val="007C5E26"/>
    <w:rsid w:val="007C6FF1"/>
    <w:rsid w:val="007C746C"/>
    <w:rsid w:val="007C7A48"/>
    <w:rsid w:val="007C7AC2"/>
    <w:rsid w:val="007D030F"/>
    <w:rsid w:val="007D0574"/>
    <w:rsid w:val="007D0A59"/>
    <w:rsid w:val="007D0E0F"/>
    <w:rsid w:val="007D3770"/>
    <w:rsid w:val="007D42AA"/>
    <w:rsid w:val="007D458E"/>
    <w:rsid w:val="007D4EE8"/>
    <w:rsid w:val="007D4FA1"/>
    <w:rsid w:val="007D561E"/>
    <w:rsid w:val="007D5F03"/>
    <w:rsid w:val="007D6256"/>
    <w:rsid w:val="007D7173"/>
    <w:rsid w:val="007D72B1"/>
    <w:rsid w:val="007D73ED"/>
    <w:rsid w:val="007E0759"/>
    <w:rsid w:val="007E0F8F"/>
    <w:rsid w:val="007E1598"/>
    <w:rsid w:val="007E17BB"/>
    <w:rsid w:val="007E1EE1"/>
    <w:rsid w:val="007E2ABA"/>
    <w:rsid w:val="007E321E"/>
    <w:rsid w:val="007E3BA0"/>
    <w:rsid w:val="007E3E7F"/>
    <w:rsid w:val="007E3FBA"/>
    <w:rsid w:val="007E53D7"/>
    <w:rsid w:val="007E5489"/>
    <w:rsid w:val="007E552A"/>
    <w:rsid w:val="007E5893"/>
    <w:rsid w:val="007E5D2B"/>
    <w:rsid w:val="007E5F27"/>
    <w:rsid w:val="007E5F30"/>
    <w:rsid w:val="007E6660"/>
    <w:rsid w:val="007E7A34"/>
    <w:rsid w:val="007E7F99"/>
    <w:rsid w:val="007F02AC"/>
    <w:rsid w:val="007F047D"/>
    <w:rsid w:val="007F0FB3"/>
    <w:rsid w:val="007F118F"/>
    <w:rsid w:val="007F1263"/>
    <w:rsid w:val="007F185A"/>
    <w:rsid w:val="007F1AFD"/>
    <w:rsid w:val="007F1F4F"/>
    <w:rsid w:val="007F2E0A"/>
    <w:rsid w:val="007F2E89"/>
    <w:rsid w:val="007F3388"/>
    <w:rsid w:val="007F3D96"/>
    <w:rsid w:val="007F44AC"/>
    <w:rsid w:val="007F4879"/>
    <w:rsid w:val="007F4EE4"/>
    <w:rsid w:val="007F5098"/>
    <w:rsid w:val="007F57E5"/>
    <w:rsid w:val="007F59C1"/>
    <w:rsid w:val="007F59CD"/>
    <w:rsid w:val="007F5DB6"/>
    <w:rsid w:val="007F5DCD"/>
    <w:rsid w:val="007F7E46"/>
    <w:rsid w:val="00800238"/>
    <w:rsid w:val="00801454"/>
    <w:rsid w:val="00802657"/>
    <w:rsid w:val="00803BC4"/>
    <w:rsid w:val="00803EA0"/>
    <w:rsid w:val="00804DC4"/>
    <w:rsid w:val="00804FFA"/>
    <w:rsid w:val="00805260"/>
    <w:rsid w:val="00806789"/>
    <w:rsid w:val="008067EE"/>
    <w:rsid w:val="00806BB3"/>
    <w:rsid w:val="0081035A"/>
    <w:rsid w:val="00810897"/>
    <w:rsid w:val="00810C68"/>
    <w:rsid w:val="00810D6E"/>
    <w:rsid w:val="00812122"/>
    <w:rsid w:val="0081223C"/>
    <w:rsid w:val="00812485"/>
    <w:rsid w:val="008128EF"/>
    <w:rsid w:val="0081325F"/>
    <w:rsid w:val="0081326E"/>
    <w:rsid w:val="0081560E"/>
    <w:rsid w:val="00815E93"/>
    <w:rsid w:val="00815EED"/>
    <w:rsid w:val="00816EE1"/>
    <w:rsid w:val="0081758D"/>
    <w:rsid w:val="008176E3"/>
    <w:rsid w:val="00817EEF"/>
    <w:rsid w:val="00820585"/>
    <w:rsid w:val="008247CD"/>
    <w:rsid w:val="00824BC2"/>
    <w:rsid w:val="00825A99"/>
    <w:rsid w:val="0082674B"/>
    <w:rsid w:val="00826AD8"/>
    <w:rsid w:val="00826E4F"/>
    <w:rsid w:val="00827F14"/>
    <w:rsid w:val="008306F2"/>
    <w:rsid w:val="00830971"/>
    <w:rsid w:val="00830A7A"/>
    <w:rsid w:val="00830B57"/>
    <w:rsid w:val="00830C9B"/>
    <w:rsid w:val="00830D07"/>
    <w:rsid w:val="00830F0B"/>
    <w:rsid w:val="008332FC"/>
    <w:rsid w:val="0083339C"/>
    <w:rsid w:val="00833500"/>
    <w:rsid w:val="008340DD"/>
    <w:rsid w:val="00834380"/>
    <w:rsid w:val="008345D0"/>
    <w:rsid w:val="0083483F"/>
    <w:rsid w:val="00834C82"/>
    <w:rsid w:val="00834C89"/>
    <w:rsid w:val="008362B9"/>
    <w:rsid w:val="00836B2B"/>
    <w:rsid w:val="00837F71"/>
    <w:rsid w:val="0084097B"/>
    <w:rsid w:val="00841CAC"/>
    <w:rsid w:val="0084285E"/>
    <w:rsid w:val="008438B0"/>
    <w:rsid w:val="008438B8"/>
    <w:rsid w:val="008442D0"/>
    <w:rsid w:val="00844626"/>
    <w:rsid w:val="00844DD1"/>
    <w:rsid w:val="00845641"/>
    <w:rsid w:val="00845A78"/>
    <w:rsid w:val="00845BA1"/>
    <w:rsid w:val="00845CF1"/>
    <w:rsid w:val="00846105"/>
    <w:rsid w:val="008468CC"/>
    <w:rsid w:val="00847973"/>
    <w:rsid w:val="008501B0"/>
    <w:rsid w:val="00850443"/>
    <w:rsid w:val="00850EB2"/>
    <w:rsid w:val="00851456"/>
    <w:rsid w:val="00851E71"/>
    <w:rsid w:val="00852F5C"/>
    <w:rsid w:val="00853E63"/>
    <w:rsid w:val="008546B7"/>
    <w:rsid w:val="008552D4"/>
    <w:rsid w:val="008559AE"/>
    <w:rsid w:val="00855BBD"/>
    <w:rsid w:val="008568A0"/>
    <w:rsid w:val="008576C6"/>
    <w:rsid w:val="00857CA4"/>
    <w:rsid w:val="00857D3C"/>
    <w:rsid w:val="00857DDC"/>
    <w:rsid w:val="008606ED"/>
    <w:rsid w:val="00861226"/>
    <w:rsid w:val="00861A5B"/>
    <w:rsid w:val="00861BC7"/>
    <w:rsid w:val="00862018"/>
    <w:rsid w:val="008621E6"/>
    <w:rsid w:val="00862C41"/>
    <w:rsid w:val="00863258"/>
    <w:rsid w:val="00863F05"/>
    <w:rsid w:val="00864620"/>
    <w:rsid w:val="00865439"/>
    <w:rsid w:val="00865470"/>
    <w:rsid w:val="00865DAD"/>
    <w:rsid w:val="00866202"/>
    <w:rsid w:val="00866304"/>
    <w:rsid w:val="0086655C"/>
    <w:rsid w:val="008669A4"/>
    <w:rsid w:val="00867168"/>
    <w:rsid w:val="008672C9"/>
    <w:rsid w:val="008678D0"/>
    <w:rsid w:val="00867ABC"/>
    <w:rsid w:val="008707E6"/>
    <w:rsid w:val="00871E88"/>
    <w:rsid w:val="008723A1"/>
    <w:rsid w:val="008726AE"/>
    <w:rsid w:val="00873125"/>
    <w:rsid w:val="0087319A"/>
    <w:rsid w:val="00873223"/>
    <w:rsid w:val="008733C9"/>
    <w:rsid w:val="00873F9A"/>
    <w:rsid w:val="00874D71"/>
    <w:rsid w:val="0087577B"/>
    <w:rsid w:val="00875806"/>
    <w:rsid w:val="00875E3B"/>
    <w:rsid w:val="00876868"/>
    <w:rsid w:val="00876CC4"/>
    <w:rsid w:val="008804C8"/>
    <w:rsid w:val="00880539"/>
    <w:rsid w:val="0088078A"/>
    <w:rsid w:val="00880892"/>
    <w:rsid w:val="00880DBC"/>
    <w:rsid w:val="00881348"/>
    <w:rsid w:val="00881658"/>
    <w:rsid w:val="00882031"/>
    <w:rsid w:val="008827A3"/>
    <w:rsid w:val="00882FE9"/>
    <w:rsid w:val="00883836"/>
    <w:rsid w:val="00883F41"/>
    <w:rsid w:val="008848C5"/>
    <w:rsid w:val="00884C9B"/>
    <w:rsid w:val="00884F4A"/>
    <w:rsid w:val="00885550"/>
    <w:rsid w:val="00885B82"/>
    <w:rsid w:val="00885E63"/>
    <w:rsid w:val="00887359"/>
    <w:rsid w:val="008877FD"/>
    <w:rsid w:val="00887F7A"/>
    <w:rsid w:val="00890A73"/>
    <w:rsid w:val="00891397"/>
    <w:rsid w:val="00891409"/>
    <w:rsid w:val="00891B79"/>
    <w:rsid w:val="00892477"/>
    <w:rsid w:val="00892EB9"/>
    <w:rsid w:val="008930BD"/>
    <w:rsid w:val="008932EE"/>
    <w:rsid w:val="00894100"/>
    <w:rsid w:val="0089415E"/>
    <w:rsid w:val="00894D3F"/>
    <w:rsid w:val="00895780"/>
    <w:rsid w:val="008959A4"/>
    <w:rsid w:val="00896056"/>
    <w:rsid w:val="00896AD7"/>
    <w:rsid w:val="00896E24"/>
    <w:rsid w:val="008976B8"/>
    <w:rsid w:val="00897898"/>
    <w:rsid w:val="008A00BB"/>
    <w:rsid w:val="008A01D5"/>
    <w:rsid w:val="008A03A0"/>
    <w:rsid w:val="008A0C34"/>
    <w:rsid w:val="008A2B26"/>
    <w:rsid w:val="008A2CB6"/>
    <w:rsid w:val="008A4DAD"/>
    <w:rsid w:val="008A551D"/>
    <w:rsid w:val="008A5895"/>
    <w:rsid w:val="008A59B4"/>
    <w:rsid w:val="008A5E46"/>
    <w:rsid w:val="008A6B66"/>
    <w:rsid w:val="008A78B5"/>
    <w:rsid w:val="008B24A7"/>
    <w:rsid w:val="008B27E7"/>
    <w:rsid w:val="008B389B"/>
    <w:rsid w:val="008B42B2"/>
    <w:rsid w:val="008B445E"/>
    <w:rsid w:val="008B4E08"/>
    <w:rsid w:val="008B5431"/>
    <w:rsid w:val="008B586A"/>
    <w:rsid w:val="008B5F26"/>
    <w:rsid w:val="008B60BD"/>
    <w:rsid w:val="008B6C99"/>
    <w:rsid w:val="008B74A0"/>
    <w:rsid w:val="008C0852"/>
    <w:rsid w:val="008C0E7B"/>
    <w:rsid w:val="008C12FC"/>
    <w:rsid w:val="008C16F0"/>
    <w:rsid w:val="008C1B2D"/>
    <w:rsid w:val="008C1F6C"/>
    <w:rsid w:val="008C2B31"/>
    <w:rsid w:val="008C2C2D"/>
    <w:rsid w:val="008C373E"/>
    <w:rsid w:val="008C3957"/>
    <w:rsid w:val="008C3E79"/>
    <w:rsid w:val="008C4453"/>
    <w:rsid w:val="008C4A67"/>
    <w:rsid w:val="008C4A90"/>
    <w:rsid w:val="008C52F5"/>
    <w:rsid w:val="008C556C"/>
    <w:rsid w:val="008C5697"/>
    <w:rsid w:val="008C5A1A"/>
    <w:rsid w:val="008C63A2"/>
    <w:rsid w:val="008C6C66"/>
    <w:rsid w:val="008C71D4"/>
    <w:rsid w:val="008C71FD"/>
    <w:rsid w:val="008C7AD0"/>
    <w:rsid w:val="008C7D4E"/>
    <w:rsid w:val="008D14AB"/>
    <w:rsid w:val="008D15A5"/>
    <w:rsid w:val="008D178A"/>
    <w:rsid w:val="008D1B08"/>
    <w:rsid w:val="008D2543"/>
    <w:rsid w:val="008D2EF4"/>
    <w:rsid w:val="008D32F6"/>
    <w:rsid w:val="008D33A4"/>
    <w:rsid w:val="008D3468"/>
    <w:rsid w:val="008D36CB"/>
    <w:rsid w:val="008D3CA7"/>
    <w:rsid w:val="008D3F60"/>
    <w:rsid w:val="008D4471"/>
    <w:rsid w:val="008D491F"/>
    <w:rsid w:val="008D50CB"/>
    <w:rsid w:val="008D5A22"/>
    <w:rsid w:val="008D63C2"/>
    <w:rsid w:val="008D6902"/>
    <w:rsid w:val="008D6973"/>
    <w:rsid w:val="008D6CBF"/>
    <w:rsid w:val="008D70FA"/>
    <w:rsid w:val="008D7163"/>
    <w:rsid w:val="008D72D8"/>
    <w:rsid w:val="008D7694"/>
    <w:rsid w:val="008E0682"/>
    <w:rsid w:val="008E0751"/>
    <w:rsid w:val="008E0765"/>
    <w:rsid w:val="008E087C"/>
    <w:rsid w:val="008E0981"/>
    <w:rsid w:val="008E0A60"/>
    <w:rsid w:val="008E12B3"/>
    <w:rsid w:val="008E1900"/>
    <w:rsid w:val="008E1B3D"/>
    <w:rsid w:val="008E23FD"/>
    <w:rsid w:val="008E296B"/>
    <w:rsid w:val="008E33FB"/>
    <w:rsid w:val="008E3946"/>
    <w:rsid w:val="008E3F71"/>
    <w:rsid w:val="008E3FB2"/>
    <w:rsid w:val="008E4585"/>
    <w:rsid w:val="008E4D5C"/>
    <w:rsid w:val="008E5715"/>
    <w:rsid w:val="008E5965"/>
    <w:rsid w:val="008E69CA"/>
    <w:rsid w:val="008E7076"/>
    <w:rsid w:val="008E78B6"/>
    <w:rsid w:val="008E7E58"/>
    <w:rsid w:val="008F0C16"/>
    <w:rsid w:val="008F0E8A"/>
    <w:rsid w:val="008F11EC"/>
    <w:rsid w:val="008F1DDA"/>
    <w:rsid w:val="008F3508"/>
    <w:rsid w:val="008F4FBC"/>
    <w:rsid w:val="008F5255"/>
    <w:rsid w:val="008F6138"/>
    <w:rsid w:val="008F6648"/>
    <w:rsid w:val="008F66DC"/>
    <w:rsid w:val="008F6CDA"/>
    <w:rsid w:val="008F7946"/>
    <w:rsid w:val="009003B6"/>
    <w:rsid w:val="0090114F"/>
    <w:rsid w:val="009017F3"/>
    <w:rsid w:val="00901C20"/>
    <w:rsid w:val="00903C0A"/>
    <w:rsid w:val="00904534"/>
    <w:rsid w:val="00904D50"/>
    <w:rsid w:val="00905156"/>
    <w:rsid w:val="00905A2D"/>
    <w:rsid w:val="00905DB0"/>
    <w:rsid w:val="00906087"/>
    <w:rsid w:val="009062D7"/>
    <w:rsid w:val="009063F2"/>
    <w:rsid w:val="009064FA"/>
    <w:rsid w:val="00907E5D"/>
    <w:rsid w:val="00907E79"/>
    <w:rsid w:val="00910397"/>
    <w:rsid w:val="00911119"/>
    <w:rsid w:val="009114AF"/>
    <w:rsid w:val="009115F5"/>
    <w:rsid w:val="00911BF2"/>
    <w:rsid w:val="00911D8C"/>
    <w:rsid w:val="0091224C"/>
    <w:rsid w:val="00912353"/>
    <w:rsid w:val="00914537"/>
    <w:rsid w:val="00914554"/>
    <w:rsid w:val="00914AF7"/>
    <w:rsid w:val="009156D1"/>
    <w:rsid w:val="00915D1B"/>
    <w:rsid w:val="00916571"/>
    <w:rsid w:val="00916B8B"/>
    <w:rsid w:val="00916D90"/>
    <w:rsid w:val="00916EB0"/>
    <w:rsid w:val="00917961"/>
    <w:rsid w:val="00917FFC"/>
    <w:rsid w:val="00920582"/>
    <w:rsid w:val="009210E8"/>
    <w:rsid w:val="00922277"/>
    <w:rsid w:val="00922CE0"/>
    <w:rsid w:val="0092380B"/>
    <w:rsid w:val="009239CE"/>
    <w:rsid w:val="00923D86"/>
    <w:rsid w:val="00924204"/>
    <w:rsid w:val="00924283"/>
    <w:rsid w:val="009243F7"/>
    <w:rsid w:val="00924963"/>
    <w:rsid w:val="00924B4C"/>
    <w:rsid w:val="00924B60"/>
    <w:rsid w:val="0092526A"/>
    <w:rsid w:val="00925581"/>
    <w:rsid w:val="00931ED2"/>
    <w:rsid w:val="0093229F"/>
    <w:rsid w:val="00932451"/>
    <w:rsid w:val="00932690"/>
    <w:rsid w:val="00932800"/>
    <w:rsid w:val="00932A75"/>
    <w:rsid w:val="00932F4A"/>
    <w:rsid w:val="0093451D"/>
    <w:rsid w:val="0093462D"/>
    <w:rsid w:val="00934955"/>
    <w:rsid w:val="009352ED"/>
    <w:rsid w:val="009366AD"/>
    <w:rsid w:val="009372E0"/>
    <w:rsid w:val="00937CED"/>
    <w:rsid w:val="009409E9"/>
    <w:rsid w:val="00940AE2"/>
    <w:rsid w:val="00940F07"/>
    <w:rsid w:val="00941A31"/>
    <w:rsid w:val="00943561"/>
    <w:rsid w:val="00944DE3"/>
    <w:rsid w:val="0094541E"/>
    <w:rsid w:val="009459CB"/>
    <w:rsid w:val="00946218"/>
    <w:rsid w:val="0094626A"/>
    <w:rsid w:val="009465C2"/>
    <w:rsid w:val="0094736D"/>
    <w:rsid w:val="00950077"/>
    <w:rsid w:val="00950A88"/>
    <w:rsid w:val="00950BF1"/>
    <w:rsid w:val="00950EEF"/>
    <w:rsid w:val="009511A7"/>
    <w:rsid w:val="00951D23"/>
    <w:rsid w:val="0095201A"/>
    <w:rsid w:val="009523BC"/>
    <w:rsid w:val="00952482"/>
    <w:rsid w:val="0095282A"/>
    <w:rsid w:val="009533A4"/>
    <w:rsid w:val="0095384C"/>
    <w:rsid w:val="00954631"/>
    <w:rsid w:val="009546F4"/>
    <w:rsid w:val="00954D19"/>
    <w:rsid w:val="00954ED6"/>
    <w:rsid w:val="009553FA"/>
    <w:rsid w:val="00955C13"/>
    <w:rsid w:val="009562D0"/>
    <w:rsid w:val="009567B7"/>
    <w:rsid w:val="0095686E"/>
    <w:rsid w:val="00956A81"/>
    <w:rsid w:val="00956A86"/>
    <w:rsid w:val="00956D09"/>
    <w:rsid w:val="0095737C"/>
    <w:rsid w:val="00957426"/>
    <w:rsid w:val="00960BFF"/>
    <w:rsid w:val="009616E9"/>
    <w:rsid w:val="00963B0B"/>
    <w:rsid w:val="00963CBE"/>
    <w:rsid w:val="00963EFC"/>
    <w:rsid w:val="00964BA5"/>
    <w:rsid w:val="00964C84"/>
    <w:rsid w:val="00964EA0"/>
    <w:rsid w:val="00965038"/>
    <w:rsid w:val="0096519F"/>
    <w:rsid w:val="00965670"/>
    <w:rsid w:val="00965902"/>
    <w:rsid w:val="00965921"/>
    <w:rsid w:val="00965CAF"/>
    <w:rsid w:val="00966304"/>
    <w:rsid w:val="009664B8"/>
    <w:rsid w:val="009666F7"/>
    <w:rsid w:val="00967888"/>
    <w:rsid w:val="00967A17"/>
    <w:rsid w:val="00970189"/>
    <w:rsid w:val="0097030B"/>
    <w:rsid w:val="00971377"/>
    <w:rsid w:val="009715F3"/>
    <w:rsid w:val="00972A25"/>
    <w:rsid w:val="00974131"/>
    <w:rsid w:val="00975E21"/>
    <w:rsid w:val="009761A8"/>
    <w:rsid w:val="009774CE"/>
    <w:rsid w:val="009776BB"/>
    <w:rsid w:val="009776BD"/>
    <w:rsid w:val="0097778D"/>
    <w:rsid w:val="009803ED"/>
    <w:rsid w:val="00980702"/>
    <w:rsid w:val="00981604"/>
    <w:rsid w:val="00982B9B"/>
    <w:rsid w:val="00982CC7"/>
    <w:rsid w:val="00982EEA"/>
    <w:rsid w:val="009833BA"/>
    <w:rsid w:val="00983E52"/>
    <w:rsid w:val="0098404D"/>
    <w:rsid w:val="009852CA"/>
    <w:rsid w:val="009868E3"/>
    <w:rsid w:val="00986E0C"/>
    <w:rsid w:val="009872A4"/>
    <w:rsid w:val="0098789C"/>
    <w:rsid w:val="00987BB8"/>
    <w:rsid w:val="00987D42"/>
    <w:rsid w:val="00987D6C"/>
    <w:rsid w:val="00987FAB"/>
    <w:rsid w:val="00990A55"/>
    <w:rsid w:val="00990B69"/>
    <w:rsid w:val="00990B71"/>
    <w:rsid w:val="00990F8E"/>
    <w:rsid w:val="009913CC"/>
    <w:rsid w:val="00991E9E"/>
    <w:rsid w:val="009923FC"/>
    <w:rsid w:val="00992E15"/>
    <w:rsid w:val="00993F9B"/>
    <w:rsid w:val="0099437F"/>
    <w:rsid w:val="00994B45"/>
    <w:rsid w:val="0099534F"/>
    <w:rsid w:val="00995506"/>
    <w:rsid w:val="0099556A"/>
    <w:rsid w:val="00995BE8"/>
    <w:rsid w:val="00996487"/>
    <w:rsid w:val="009967A8"/>
    <w:rsid w:val="00996CF2"/>
    <w:rsid w:val="009A3990"/>
    <w:rsid w:val="009A3E8F"/>
    <w:rsid w:val="009A4C70"/>
    <w:rsid w:val="009A4CA5"/>
    <w:rsid w:val="009A4E85"/>
    <w:rsid w:val="009A4EB0"/>
    <w:rsid w:val="009A505D"/>
    <w:rsid w:val="009A5364"/>
    <w:rsid w:val="009A5654"/>
    <w:rsid w:val="009A5C6E"/>
    <w:rsid w:val="009A695C"/>
    <w:rsid w:val="009A6DB0"/>
    <w:rsid w:val="009A73E6"/>
    <w:rsid w:val="009A7AC7"/>
    <w:rsid w:val="009A7EF7"/>
    <w:rsid w:val="009B1498"/>
    <w:rsid w:val="009B1720"/>
    <w:rsid w:val="009B1D6D"/>
    <w:rsid w:val="009B2032"/>
    <w:rsid w:val="009B2118"/>
    <w:rsid w:val="009B2967"/>
    <w:rsid w:val="009B32A5"/>
    <w:rsid w:val="009B32D8"/>
    <w:rsid w:val="009B365A"/>
    <w:rsid w:val="009B42C0"/>
    <w:rsid w:val="009B4B3A"/>
    <w:rsid w:val="009B4F4E"/>
    <w:rsid w:val="009B7913"/>
    <w:rsid w:val="009B7DA1"/>
    <w:rsid w:val="009B7F80"/>
    <w:rsid w:val="009B7FED"/>
    <w:rsid w:val="009C02DA"/>
    <w:rsid w:val="009C0835"/>
    <w:rsid w:val="009C1226"/>
    <w:rsid w:val="009C15BB"/>
    <w:rsid w:val="009C1715"/>
    <w:rsid w:val="009C278E"/>
    <w:rsid w:val="009C30F3"/>
    <w:rsid w:val="009C395A"/>
    <w:rsid w:val="009C3A02"/>
    <w:rsid w:val="009C3FF5"/>
    <w:rsid w:val="009C4051"/>
    <w:rsid w:val="009C42EC"/>
    <w:rsid w:val="009C4E14"/>
    <w:rsid w:val="009C5083"/>
    <w:rsid w:val="009C5102"/>
    <w:rsid w:val="009C5797"/>
    <w:rsid w:val="009C591C"/>
    <w:rsid w:val="009C6067"/>
    <w:rsid w:val="009C607A"/>
    <w:rsid w:val="009C61F6"/>
    <w:rsid w:val="009C6D92"/>
    <w:rsid w:val="009C736E"/>
    <w:rsid w:val="009C786F"/>
    <w:rsid w:val="009D0873"/>
    <w:rsid w:val="009D121B"/>
    <w:rsid w:val="009D1262"/>
    <w:rsid w:val="009D4106"/>
    <w:rsid w:val="009D4352"/>
    <w:rsid w:val="009D4674"/>
    <w:rsid w:val="009D5014"/>
    <w:rsid w:val="009D55E2"/>
    <w:rsid w:val="009D571E"/>
    <w:rsid w:val="009D609E"/>
    <w:rsid w:val="009D625A"/>
    <w:rsid w:val="009E04C1"/>
    <w:rsid w:val="009E0BED"/>
    <w:rsid w:val="009E0D25"/>
    <w:rsid w:val="009E2254"/>
    <w:rsid w:val="009E298C"/>
    <w:rsid w:val="009E29F6"/>
    <w:rsid w:val="009E32AB"/>
    <w:rsid w:val="009E33ED"/>
    <w:rsid w:val="009E39D9"/>
    <w:rsid w:val="009E4D6F"/>
    <w:rsid w:val="009E518C"/>
    <w:rsid w:val="009E5BFE"/>
    <w:rsid w:val="009E5C6C"/>
    <w:rsid w:val="009E646F"/>
    <w:rsid w:val="009E6867"/>
    <w:rsid w:val="009E6D07"/>
    <w:rsid w:val="009E72DB"/>
    <w:rsid w:val="009E7576"/>
    <w:rsid w:val="009E7696"/>
    <w:rsid w:val="009F1768"/>
    <w:rsid w:val="009F17AC"/>
    <w:rsid w:val="009F1DFA"/>
    <w:rsid w:val="009F225C"/>
    <w:rsid w:val="009F2A55"/>
    <w:rsid w:val="009F2CB4"/>
    <w:rsid w:val="009F31DA"/>
    <w:rsid w:val="009F3E70"/>
    <w:rsid w:val="009F406A"/>
    <w:rsid w:val="009F53F1"/>
    <w:rsid w:val="009F5595"/>
    <w:rsid w:val="009F6222"/>
    <w:rsid w:val="009F65C0"/>
    <w:rsid w:val="009F68F3"/>
    <w:rsid w:val="009F6A8A"/>
    <w:rsid w:val="009F70D2"/>
    <w:rsid w:val="009F7CF3"/>
    <w:rsid w:val="009F7EE2"/>
    <w:rsid w:val="00A00628"/>
    <w:rsid w:val="00A00ED0"/>
    <w:rsid w:val="00A01422"/>
    <w:rsid w:val="00A01734"/>
    <w:rsid w:val="00A02105"/>
    <w:rsid w:val="00A02F39"/>
    <w:rsid w:val="00A03792"/>
    <w:rsid w:val="00A0381B"/>
    <w:rsid w:val="00A03B0F"/>
    <w:rsid w:val="00A043CF"/>
    <w:rsid w:val="00A04B18"/>
    <w:rsid w:val="00A055A3"/>
    <w:rsid w:val="00A068CB"/>
    <w:rsid w:val="00A06B1C"/>
    <w:rsid w:val="00A077D1"/>
    <w:rsid w:val="00A1036D"/>
    <w:rsid w:val="00A10688"/>
    <w:rsid w:val="00A113E0"/>
    <w:rsid w:val="00A11855"/>
    <w:rsid w:val="00A11985"/>
    <w:rsid w:val="00A123F2"/>
    <w:rsid w:val="00A124D8"/>
    <w:rsid w:val="00A12B2C"/>
    <w:rsid w:val="00A14080"/>
    <w:rsid w:val="00A141F9"/>
    <w:rsid w:val="00A146E3"/>
    <w:rsid w:val="00A1490A"/>
    <w:rsid w:val="00A1575B"/>
    <w:rsid w:val="00A1609E"/>
    <w:rsid w:val="00A16263"/>
    <w:rsid w:val="00A16407"/>
    <w:rsid w:val="00A16C35"/>
    <w:rsid w:val="00A17722"/>
    <w:rsid w:val="00A17F14"/>
    <w:rsid w:val="00A2086C"/>
    <w:rsid w:val="00A20E9E"/>
    <w:rsid w:val="00A220D0"/>
    <w:rsid w:val="00A2210F"/>
    <w:rsid w:val="00A22289"/>
    <w:rsid w:val="00A227C2"/>
    <w:rsid w:val="00A23C30"/>
    <w:rsid w:val="00A2412F"/>
    <w:rsid w:val="00A248DB"/>
    <w:rsid w:val="00A24C32"/>
    <w:rsid w:val="00A24F8C"/>
    <w:rsid w:val="00A262A9"/>
    <w:rsid w:val="00A26776"/>
    <w:rsid w:val="00A26B7B"/>
    <w:rsid w:val="00A26BA5"/>
    <w:rsid w:val="00A26D05"/>
    <w:rsid w:val="00A27611"/>
    <w:rsid w:val="00A31F29"/>
    <w:rsid w:val="00A32464"/>
    <w:rsid w:val="00A325A2"/>
    <w:rsid w:val="00A329B2"/>
    <w:rsid w:val="00A32FB6"/>
    <w:rsid w:val="00A33A17"/>
    <w:rsid w:val="00A34C6E"/>
    <w:rsid w:val="00A356D1"/>
    <w:rsid w:val="00A35B21"/>
    <w:rsid w:val="00A35B39"/>
    <w:rsid w:val="00A36345"/>
    <w:rsid w:val="00A364C4"/>
    <w:rsid w:val="00A36C98"/>
    <w:rsid w:val="00A37CDB"/>
    <w:rsid w:val="00A37E8B"/>
    <w:rsid w:val="00A414B5"/>
    <w:rsid w:val="00A42B89"/>
    <w:rsid w:val="00A442AB"/>
    <w:rsid w:val="00A44A6D"/>
    <w:rsid w:val="00A44FCF"/>
    <w:rsid w:val="00A45D46"/>
    <w:rsid w:val="00A45DFE"/>
    <w:rsid w:val="00A50284"/>
    <w:rsid w:val="00A50632"/>
    <w:rsid w:val="00A50722"/>
    <w:rsid w:val="00A50820"/>
    <w:rsid w:val="00A509CC"/>
    <w:rsid w:val="00A50A92"/>
    <w:rsid w:val="00A51990"/>
    <w:rsid w:val="00A51E71"/>
    <w:rsid w:val="00A52614"/>
    <w:rsid w:val="00A52A45"/>
    <w:rsid w:val="00A52C97"/>
    <w:rsid w:val="00A52CE1"/>
    <w:rsid w:val="00A53C88"/>
    <w:rsid w:val="00A53C8B"/>
    <w:rsid w:val="00A53E5E"/>
    <w:rsid w:val="00A5536D"/>
    <w:rsid w:val="00A554E3"/>
    <w:rsid w:val="00A555D2"/>
    <w:rsid w:val="00A56395"/>
    <w:rsid w:val="00A56ADC"/>
    <w:rsid w:val="00A56FA3"/>
    <w:rsid w:val="00A57295"/>
    <w:rsid w:val="00A57375"/>
    <w:rsid w:val="00A578D9"/>
    <w:rsid w:val="00A57B64"/>
    <w:rsid w:val="00A57EA7"/>
    <w:rsid w:val="00A604D4"/>
    <w:rsid w:val="00A60B8F"/>
    <w:rsid w:val="00A617A9"/>
    <w:rsid w:val="00A61E61"/>
    <w:rsid w:val="00A62A7B"/>
    <w:rsid w:val="00A62C95"/>
    <w:rsid w:val="00A63908"/>
    <w:rsid w:val="00A63B63"/>
    <w:rsid w:val="00A63BC7"/>
    <w:rsid w:val="00A63D88"/>
    <w:rsid w:val="00A64B01"/>
    <w:rsid w:val="00A64D4B"/>
    <w:rsid w:val="00A651CF"/>
    <w:rsid w:val="00A66390"/>
    <w:rsid w:val="00A66E57"/>
    <w:rsid w:val="00A67366"/>
    <w:rsid w:val="00A70A82"/>
    <w:rsid w:val="00A71700"/>
    <w:rsid w:val="00A71B05"/>
    <w:rsid w:val="00A71D98"/>
    <w:rsid w:val="00A71F81"/>
    <w:rsid w:val="00A720F9"/>
    <w:rsid w:val="00A73887"/>
    <w:rsid w:val="00A73D58"/>
    <w:rsid w:val="00A74832"/>
    <w:rsid w:val="00A75246"/>
    <w:rsid w:val="00A75EB8"/>
    <w:rsid w:val="00A76684"/>
    <w:rsid w:val="00A77040"/>
    <w:rsid w:val="00A8014D"/>
    <w:rsid w:val="00A80583"/>
    <w:rsid w:val="00A814AC"/>
    <w:rsid w:val="00A81A65"/>
    <w:rsid w:val="00A8263F"/>
    <w:rsid w:val="00A8265A"/>
    <w:rsid w:val="00A82886"/>
    <w:rsid w:val="00A82FC8"/>
    <w:rsid w:val="00A83060"/>
    <w:rsid w:val="00A8317D"/>
    <w:rsid w:val="00A83978"/>
    <w:rsid w:val="00A83F27"/>
    <w:rsid w:val="00A84CC3"/>
    <w:rsid w:val="00A85FA3"/>
    <w:rsid w:val="00A863FE"/>
    <w:rsid w:val="00A86E9A"/>
    <w:rsid w:val="00A86EBD"/>
    <w:rsid w:val="00A871E4"/>
    <w:rsid w:val="00A87DBC"/>
    <w:rsid w:val="00A900B6"/>
    <w:rsid w:val="00A90C4F"/>
    <w:rsid w:val="00A90D26"/>
    <w:rsid w:val="00A90D7D"/>
    <w:rsid w:val="00A913EC"/>
    <w:rsid w:val="00A914BF"/>
    <w:rsid w:val="00A9165C"/>
    <w:rsid w:val="00A918C0"/>
    <w:rsid w:val="00A91AEA"/>
    <w:rsid w:val="00A91E45"/>
    <w:rsid w:val="00A92B52"/>
    <w:rsid w:val="00A92B8A"/>
    <w:rsid w:val="00A92D2C"/>
    <w:rsid w:val="00A92E34"/>
    <w:rsid w:val="00A9392E"/>
    <w:rsid w:val="00A941C0"/>
    <w:rsid w:val="00A9641C"/>
    <w:rsid w:val="00A96576"/>
    <w:rsid w:val="00A966C7"/>
    <w:rsid w:val="00A974D5"/>
    <w:rsid w:val="00A977A9"/>
    <w:rsid w:val="00A97EC6"/>
    <w:rsid w:val="00A97EF1"/>
    <w:rsid w:val="00AA074B"/>
    <w:rsid w:val="00AA195E"/>
    <w:rsid w:val="00AA21BD"/>
    <w:rsid w:val="00AA280D"/>
    <w:rsid w:val="00AA2DDE"/>
    <w:rsid w:val="00AA2E00"/>
    <w:rsid w:val="00AA3329"/>
    <w:rsid w:val="00AA45E5"/>
    <w:rsid w:val="00AA4F44"/>
    <w:rsid w:val="00AA4F5F"/>
    <w:rsid w:val="00AA533C"/>
    <w:rsid w:val="00AA616D"/>
    <w:rsid w:val="00AA6528"/>
    <w:rsid w:val="00AA662A"/>
    <w:rsid w:val="00AA700B"/>
    <w:rsid w:val="00AA7020"/>
    <w:rsid w:val="00AA7A55"/>
    <w:rsid w:val="00AA7F2B"/>
    <w:rsid w:val="00AB0371"/>
    <w:rsid w:val="00AB0BD2"/>
    <w:rsid w:val="00AB15F4"/>
    <w:rsid w:val="00AB2315"/>
    <w:rsid w:val="00AB3B7E"/>
    <w:rsid w:val="00AB3D96"/>
    <w:rsid w:val="00AB3E05"/>
    <w:rsid w:val="00AB4241"/>
    <w:rsid w:val="00AB5D17"/>
    <w:rsid w:val="00AB6299"/>
    <w:rsid w:val="00AB62F9"/>
    <w:rsid w:val="00AB640E"/>
    <w:rsid w:val="00AB6ABB"/>
    <w:rsid w:val="00AB6BC1"/>
    <w:rsid w:val="00AB73B8"/>
    <w:rsid w:val="00AB7C32"/>
    <w:rsid w:val="00AB7C77"/>
    <w:rsid w:val="00AC0C96"/>
    <w:rsid w:val="00AC1204"/>
    <w:rsid w:val="00AC1DF2"/>
    <w:rsid w:val="00AC217D"/>
    <w:rsid w:val="00AC23A3"/>
    <w:rsid w:val="00AC2712"/>
    <w:rsid w:val="00AC368B"/>
    <w:rsid w:val="00AC373D"/>
    <w:rsid w:val="00AC3E10"/>
    <w:rsid w:val="00AC506C"/>
    <w:rsid w:val="00AC5566"/>
    <w:rsid w:val="00AC5624"/>
    <w:rsid w:val="00AC5722"/>
    <w:rsid w:val="00AC580B"/>
    <w:rsid w:val="00AC6DD3"/>
    <w:rsid w:val="00AC6FB8"/>
    <w:rsid w:val="00AC7D85"/>
    <w:rsid w:val="00AD0101"/>
    <w:rsid w:val="00AD028C"/>
    <w:rsid w:val="00AD0C4A"/>
    <w:rsid w:val="00AD0D8B"/>
    <w:rsid w:val="00AD0FE1"/>
    <w:rsid w:val="00AD1BA7"/>
    <w:rsid w:val="00AD1C7E"/>
    <w:rsid w:val="00AD2331"/>
    <w:rsid w:val="00AD2B39"/>
    <w:rsid w:val="00AD2B3C"/>
    <w:rsid w:val="00AD3306"/>
    <w:rsid w:val="00AD4E70"/>
    <w:rsid w:val="00AD5410"/>
    <w:rsid w:val="00AD5A12"/>
    <w:rsid w:val="00AD6086"/>
    <w:rsid w:val="00AD613A"/>
    <w:rsid w:val="00AD62CC"/>
    <w:rsid w:val="00AD65D6"/>
    <w:rsid w:val="00AD67E4"/>
    <w:rsid w:val="00AD6CD9"/>
    <w:rsid w:val="00AD6EDA"/>
    <w:rsid w:val="00AD70B0"/>
    <w:rsid w:val="00AD73C7"/>
    <w:rsid w:val="00AE0086"/>
    <w:rsid w:val="00AE0474"/>
    <w:rsid w:val="00AE18DA"/>
    <w:rsid w:val="00AE1CAB"/>
    <w:rsid w:val="00AE22D3"/>
    <w:rsid w:val="00AE2503"/>
    <w:rsid w:val="00AE257E"/>
    <w:rsid w:val="00AE2631"/>
    <w:rsid w:val="00AE2AF6"/>
    <w:rsid w:val="00AE3F93"/>
    <w:rsid w:val="00AE4C2A"/>
    <w:rsid w:val="00AE560D"/>
    <w:rsid w:val="00AE57D2"/>
    <w:rsid w:val="00AE5FE4"/>
    <w:rsid w:val="00AE61A4"/>
    <w:rsid w:val="00AE6A65"/>
    <w:rsid w:val="00AE724B"/>
    <w:rsid w:val="00AE75F4"/>
    <w:rsid w:val="00AF0A6A"/>
    <w:rsid w:val="00AF0BB4"/>
    <w:rsid w:val="00AF0BFC"/>
    <w:rsid w:val="00AF0D19"/>
    <w:rsid w:val="00AF1C0E"/>
    <w:rsid w:val="00AF1D00"/>
    <w:rsid w:val="00AF204F"/>
    <w:rsid w:val="00AF38A4"/>
    <w:rsid w:val="00AF394C"/>
    <w:rsid w:val="00AF39D0"/>
    <w:rsid w:val="00AF42EA"/>
    <w:rsid w:val="00AF4585"/>
    <w:rsid w:val="00AF45C8"/>
    <w:rsid w:val="00AF4F15"/>
    <w:rsid w:val="00AF5C10"/>
    <w:rsid w:val="00AF602A"/>
    <w:rsid w:val="00AF6BD4"/>
    <w:rsid w:val="00AF6EFE"/>
    <w:rsid w:val="00AF73C1"/>
    <w:rsid w:val="00AF7E14"/>
    <w:rsid w:val="00B00C07"/>
    <w:rsid w:val="00B01CB3"/>
    <w:rsid w:val="00B02A6D"/>
    <w:rsid w:val="00B0301F"/>
    <w:rsid w:val="00B0327A"/>
    <w:rsid w:val="00B03ECD"/>
    <w:rsid w:val="00B04939"/>
    <w:rsid w:val="00B052BB"/>
    <w:rsid w:val="00B059A2"/>
    <w:rsid w:val="00B05A70"/>
    <w:rsid w:val="00B05B11"/>
    <w:rsid w:val="00B05C5D"/>
    <w:rsid w:val="00B06214"/>
    <w:rsid w:val="00B071EF"/>
    <w:rsid w:val="00B073F3"/>
    <w:rsid w:val="00B0763D"/>
    <w:rsid w:val="00B07773"/>
    <w:rsid w:val="00B07F3F"/>
    <w:rsid w:val="00B10605"/>
    <w:rsid w:val="00B10947"/>
    <w:rsid w:val="00B118AB"/>
    <w:rsid w:val="00B1277B"/>
    <w:rsid w:val="00B12E52"/>
    <w:rsid w:val="00B13714"/>
    <w:rsid w:val="00B14E4E"/>
    <w:rsid w:val="00B1507C"/>
    <w:rsid w:val="00B1531F"/>
    <w:rsid w:val="00B167A5"/>
    <w:rsid w:val="00B16F07"/>
    <w:rsid w:val="00B1700B"/>
    <w:rsid w:val="00B171CD"/>
    <w:rsid w:val="00B17704"/>
    <w:rsid w:val="00B17C06"/>
    <w:rsid w:val="00B17C17"/>
    <w:rsid w:val="00B2114F"/>
    <w:rsid w:val="00B214D7"/>
    <w:rsid w:val="00B218FD"/>
    <w:rsid w:val="00B21917"/>
    <w:rsid w:val="00B23822"/>
    <w:rsid w:val="00B242C2"/>
    <w:rsid w:val="00B24460"/>
    <w:rsid w:val="00B24467"/>
    <w:rsid w:val="00B24480"/>
    <w:rsid w:val="00B2510A"/>
    <w:rsid w:val="00B25C5E"/>
    <w:rsid w:val="00B25FA9"/>
    <w:rsid w:val="00B26666"/>
    <w:rsid w:val="00B26AC4"/>
    <w:rsid w:val="00B27024"/>
    <w:rsid w:val="00B2712C"/>
    <w:rsid w:val="00B2769B"/>
    <w:rsid w:val="00B2793A"/>
    <w:rsid w:val="00B30C36"/>
    <w:rsid w:val="00B31356"/>
    <w:rsid w:val="00B324A0"/>
    <w:rsid w:val="00B32CBE"/>
    <w:rsid w:val="00B33A49"/>
    <w:rsid w:val="00B34679"/>
    <w:rsid w:val="00B34979"/>
    <w:rsid w:val="00B34E0B"/>
    <w:rsid w:val="00B352A2"/>
    <w:rsid w:val="00B359DE"/>
    <w:rsid w:val="00B36E15"/>
    <w:rsid w:val="00B36F87"/>
    <w:rsid w:val="00B40C5A"/>
    <w:rsid w:val="00B40D23"/>
    <w:rsid w:val="00B41233"/>
    <w:rsid w:val="00B41CCF"/>
    <w:rsid w:val="00B4251D"/>
    <w:rsid w:val="00B42E29"/>
    <w:rsid w:val="00B42FE7"/>
    <w:rsid w:val="00B43F07"/>
    <w:rsid w:val="00B44521"/>
    <w:rsid w:val="00B446C6"/>
    <w:rsid w:val="00B45BB9"/>
    <w:rsid w:val="00B46648"/>
    <w:rsid w:val="00B46691"/>
    <w:rsid w:val="00B46CFF"/>
    <w:rsid w:val="00B46D42"/>
    <w:rsid w:val="00B46FA6"/>
    <w:rsid w:val="00B47402"/>
    <w:rsid w:val="00B475AC"/>
    <w:rsid w:val="00B47A5E"/>
    <w:rsid w:val="00B47EE6"/>
    <w:rsid w:val="00B50129"/>
    <w:rsid w:val="00B50242"/>
    <w:rsid w:val="00B50456"/>
    <w:rsid w:val="00B517CA"/>
    <w:rsid w:val="00B51A06"/>
    <w:rsid w:val="00B520A4"/>
    <w:rsid w:val="00B526D3"/>
    <w:rsid w:val="00B52F46"/>
    <w:rsid w:val="00B53029"/>
    <w:rsid w:val="00B53A51"/>
    <w:rsid w:val="00B53D03"/>
    <w:rsid w:val="00B54241"/>
    <w:rsid w:val="00B543C9"/>
    <w:rsid w:val="00B55607"/>
    <w:rsid w:val="00B55965"/>
    <w:rsid w:val="00B568A0"/>
    <w:rsid w:val="00B5701A"/>
    <w:rsid w:val="00B5723B"/>
    <w:rsid w:val="00B575EB"/>
    <w:rsid w:val="00B578E6"/>
    <w:rsid w:val="00B57D2C"/>
    <w:rsid w:val="00B61932"/>
    <w:rsid w:val="00B61A60"/>
    <w:rsid w:val="00B61CE2"/>
    <w:rsid w:val="00B629A1"/>
    <w:rsid w:val="00B62D3C"/>
    <w:rsid w:val="00B62E1B"/>
    <w:rsid w:val="00B63998"/>
    <w:rsid w:val="00B654DA"/>
    <w:rsid w:val="00B655B4"/>
    <w:rsid w:val="00B655FA"/>
    <w:rsid w:val="00B65D09"/>
    <w:rsid w:val="00B665E8"/>
    <w:rsid w:val="00B665F2"/>
    <w:rsid w:val="00B66646"/>
    <w:rsid w:val="00B668BA"/>
    <w:rsid w:val="00B66CF5"/>
    <w:rsid w:val="00B670C3"/>
    <w:rsid w:val="00B67DD6"/>
    <w:rsid w:val="00B700F2"/>
    <w:rsid w:val="00B71BC5"/>
    <w:rsid w:val="00B7313E"/>
    <w:rsid w:val="00B73530"/>
    <w:rsid w:val="00B74312"/>
    <w:rsid w:val="00B74825"/>
    <w:rsid w:val="00B74E63"/>
    <w:rsid w:val="00B75A5B"/>
    <w:rsid w:val="00B76637"/>
    <w:rsid w:val="00B76780"/>
    <w:rsid w:val="00B76960"/>
    <w:rsid w:val="00B76CA4"/>
    <w:rsid w:val="00B77101"/>
    <w:rsid w:val="00B80A5D"/>
    <w:rsid w:val="00B81127"/>
    <w:rsid w:val="00B811EF"/>
    <w:rsid w:val="00B82377"/>
    <w:rsid w:val="00B84574"/>
    <w:rsid w:val="00B84FB0"/>
    <w:rsid w:val="00B850E3"/>
    <w:rsid w:val="00B8578B"/>
    <w:rsid w:val="00B866E4"/>
    <w:rsid w:val="00B878CC"/>
    <w:rsid w:val="00B9022E"/>
    <w:rsid w:val="00B91B4B"/>
    <w:rsid w:val="00B921D9"/>
    <w:rsid w:val="00B9234E"/>
    <w:rsid w:val="00B926B2"/>
    <w:rsid w:val="00B929FA"/>
    <w:rsid w:val="00B93251"/>
    <w:rsid w:val="00B93615"/>
    <w:rsid w:val="00B93AAA"/>
    <w:rsid w:val="00B93D8E"/>
    <w:rsid w:val="00B9406C"/>
    <w:rsid w:val="00B940E3"/>
    <w:rsid w:val="00B941EA"/>
    <w:rsid w:val="00B94F4C"/>
    <w:rsid w:val="00B95186"/>
    <w:rsid w:val="00B95AE3"/>
    <w:rsid w:val="00B966FA"/>
    <w:rsid w:val="00B97482"/>
    <w:rsid w:val="00B97C25"/>
    <w:rsid w:val="00BA1149"/>
    <w:rsid w:val="00BA13DF"/>
    <w:rsid w:val="00BA2EA0"/>
    <w:rsid w:val="00BA4521"/>
    <w:rsid w:val="00BA4D02"/>
    <w:rsid w:val="00BA54F1"/>
    <w:rsid w:val="00BA5A17"/>
    <w:rsid w:val="00BA5B7E"/>
    <w:rsid w:val="00BA5D48"/>
    <w:rsid w:val="00BA65F7"/>
    <w:rsid w:val="00BA7540"/>
    <w:rsid w:val="00BB037C"/>
    <w:rsid w:val="00BB04E7"/>
    <w:rsid w:val="00BB1585"/>
    <w:rsid w:val="00BB1909"/>
    <w:rsid w:val="00BB19C5"/>
    <w:rsid w:val="00BB1EA4"/>
    <w:rsid w:val="00BB2569"/>
    <w:rsid w:val="00BB2E17"/>
    <w:rsid w:val="00BB3530"/>
    <w:rsid w:val="00BB353D"/>
    <w:rsid w:val="00BB41B8"/>
    <w:rsid w:val="00BB4C08"/>
    <w:rsid w:val="00BB4EFE"/>
    <w:rsid w:val="00BB4FC0"/>
    <w:rsid w:val="00BB7321"/>
    <w:rsid w:val="00BB7EA6"/>
    <w:rsid w:val="00BC0097"/>
    <w:rsid w:val="00BC0504"/>
    <w:rsid w:val="00BC08F6"/>
    <w:rsid w:val="00BC2290"/>
    <w:rsid w:val="00BC34C7"/>
    <w:rsid w:val="00BC35F1"/>
    <w:rsid w:val="00BC37A4"/>
    <w:rsid w:val="00BC3982"/>
    <w:rsid w:val="00BC3AB2"/>
    <w:rsid w:val="00BC3D58"/>
    <w:rsid w:val="00BC4407"/>
    <w:rsid w:val="00BC4B5C"/>
    <w:rsid w:val="00BC4BB0"/>
    <w:rsid w:val="00BC6510"/>
    <w:rsid w:val="00BC67F4"/>
    <w:rsid w:val="00BC70D5"/>
    <w:rsid w:val="00BC7AA0"/>
    <w:rsid w:val="00BD010A"/>
    <w:rsid w:val="00BD017B"/>
    <w:rsid w:val="00BD03D6"/>
    <w:rsid w:val="00BD08D7"/>
    <w:rsid w:val="00BD1467"/>
    <w:rsid w:val="00BD1526"/>
    <w:rsid w:val="00BD15FA"/>
    <w:rsid w:val="00BD1D00"/>
    <w:rsid w:val="00BD25CB"/>
    <w:rsid w:val="00BD3E87"/>
    <w:rsid w:val="00BD4285"/>
    <w:rsid w:val="00BD5332"/>
    <w:rsid w:val="00BD55CD"/>
    <w:rsid w:val="00BD5E94"/>
    <w:rsid w:val="00BD6466"/>
    <w:rsid w:val="00BD6DF7"/>
    <w:rsid w:val="00BD6E18"/>
    <w:rsid w:val="00BD735D"/>
    <w:rsid w:val="00BD73D5"/>
    <w:rsid w:val="00BD7A2F"/>
    <w:rsid w:val="00BE01BC"/>
    <w:rsid w:val="00BE1290"/>
    <w:rsid w:val="00BE131C"/>
    <w:rsid w:val="00BE22BC"/>
    <w:rsid w:val="00BE2446"/>
    <w:rsid w:val="00BE2819"/>
    <w:rsid w:val="00BE2A63"/>
    <w:rsid w:val="00BE2C0B"/>
    <w:rsid w:val="00BE2DEB"/>
    <w:rsid w:val="00BE32A4"/>
    <w:rsid w:val="00BE3709"/>
    <w:rsid w:val="00BE3B77"/>
    <w:rsid w:val="00BE4B42"/>
    <w:rsid w:val="00BE55E5"/>
    <w:rsid w:val="00BE57A1"/>
    <w:rsid w:val="00BE58F8"/>
    <w:rsid w:val="00BE5945"/>
    <w:rsid w:val="00BE5AA5"/>
    <w:rsid w:val="00BE5BC3"/>
    <w:rsid w:val="00BE5BF0"/>
    <w:rsid w:val="00BE656D"/>
    <w:rsid w:val="00BE68F8"/>
    <w:rsid w:val="00BE6E83"/>
    <w:rsid w:val="00BE7FAE"/>
    <w:rsid w:val="00BF0294"/>
    <w:rsid w:val="00BF0D3B"/>
    <w:rsid w:val="00BF1A8B"/>
    <w:rsid w:val="00BF24A7"/>
    <w:rsid w:val="00BF2C6B"/>
    <w:rsid w:val="00BF3433"/>
    <w:rsid w:val="00BF3ADD"/>
    <w:rsid w:val="00BF4494"/>
    <w:rsid w:val="00BF4884"/>
    <w:rsid w:val="00BF53B4"/>
    <w:rsid w:val="00BF54AD"/>
    <w:rsid w:val="00BF5A71"/>
    <w:rsid w:val="00BF5D1A"/>
    <w:rsid w:val="00BF5F58"/>
    <w:rsid w:val="00BF5F5B"/>
    <w:rsid w:val="00BF63FD"/>
    <w:rsid w:val="00C00393"/>
    <w:rsid w:val="00C01271"/>
    <w:rsid w:val="00C02627"/>
    <w:rsid w:val="00C0358B"/>
    <w:rsid w:val="00C03D2B"/>
    <w:rsid w:val="00C0445E"/>
    <w:rsid w:val="00C052DB"/>
    <w:rsid w:val="00C05B8B"/>
    <w:rsid w:val="00C061CD"/>
    <w:rsid w:val="00C06D89"/>
    <w:rsid w:val="00C10B68"/>
    <w:rsid w:val="00C119BD"/>
    <w:rsid w:val="00C11BF1"/>
    <w:rsid w:val="00C12111"/>
    <w:rsid w:val="00C1219B"/>
    <w:rsid w:val="00C128A4"/>
    <w:rsid w:val="00C13243"/>
    <w:rsid w:val="00C1375A"/>
    <w:rsid w:val="00C13AD7"/>
    <w:rsid w:val="00C1416D"/>
    <w:rsid w:val="00C1446A"/>
    <w:rsid w:val="00C146B5"/>
    <w:rsid w:val="00C146DD"/>
    <w:rsid w:val="00C152AC"/>
    <w:rsid w:val="00C16BA4"/>
    <w:rsid w:val="00C16D69"/>
    <w:rsid w:val="00C17233"/>
    <w:rsid w:val="00C17387"/>
    <w:rsid w:val="00C200C0"/>
    <w:rsid w:val="00C204C4"/>
    <w:rsid w:val="00C211FA"/>
    <w:rsid w:val="00C2190E"/>
    <w:rsid w:val="00C21CA8"/>
    <w:rsid w:val="00C21F7A"/>
    <w:rsid w:val="00C21F92"/>
    <w:rsid w:val="00C2226C"/>
    <w:rsid w:val="00C22E7E"/>
    <w:rsid w:val="00C23743"/>
    <w:rsid w:val="00C23F02"/>
    <w:rsid w:val="00C248F7"/>
    <w:rsid w:val="00C24BF3"/>
    <w:rsid w:val="00C25120"/>
    <w:rsid w:val="00C2527A"/>
    <w:rsid w:val="00C253D3"/>
    <w:rsid w:val="00C25979"/>
    <w:rsid w:val="00C25BCE"/>
    <w:rsid w:val="00C26F4E"/>
    <w:rsid w:val="00C272EA"/>
    <w:rsid w:val="00C27380"/>
    <w:rsid w:val="00C27482"/>
    <w:rsid w:val="00C27C44"/>
    <w:rsid w:val="00C3146C"/>
    <w:rsid w:val="00C323FB"/>
    <w:rsid w:val="00C32FD2"/>
    <w:rsid w:val="00C3391A"/>
    <w:rsid w:val="00C3396D"/>
    <w:rsid w:val="00C34BCD"/>
    <w:rsid w:val="00C3500B"/>
    <w:rsid w:val="00C36425"/>
    <w:rsid w:val="00C37176"/>
    <w:rsid w:val="00C3771D"/>
    <w:rsid w:val="00C378FE"/>
    <w:rsid w:val="00C40125"/>
    <w:rsid w:val="00C40350"/>
    <w:rsid w:val="00C403B2"/>
    <w:rsid w:val="00C404BF"/>
    <w:rsid w:val="00C4085F"/>
    <w:rsid w:val="00C40B1B"/>
    <w:rsid w:val="00C40E5E"/>
    <w:rsid w:val="00C4129F"/>
    <w:rsid w:val="00C41552"/>
    <w:rsid w:val="00C4170E"/>
    <w:rsid w:val="00C41A1D"/>
    <w:rsid w:val="00C42264"/>
    <w:rsid w:val="00C426CC"/>
    <w:rsid w:val="00C43420"/>
    <w:rsid w:val="00C43457"/>
    <w:rsid w:val="00C44231"/>
    <w:rsid w:val="00C44260"/>
    <w:rsid w:val="00C44DF1"/>
    <w:rsid w:val="00C4592E"/>
    <w:rsid w:val="00C45A1C"/>
    <w:rsid w:val="00C45ABD"/>
    <w:rsid w:val="00C45AFD"/>
    <w:rsid w:val="00C45B36"/>
    <w:rsid w:val="00C45D1B"/>
    <w:rsid w:val="00C4607E"/>
    <w:rsid w:val="00C470FE"/>
    <w:rsid w:val="00C47949"/>
    <w:rsid w:val="00C47B12"/>
    <w:rsid w:val="00C47E3E"/>
    <w:rsid w:val="00C47EAB"/>
    <w:rsid w:val="00C505BC"/>
    <w:rsid w:val="00C506EB"/>
    <w:rsid w:val="00C50BE9"/>
    <w:rsid w:val="00C51044"/>
    <w:rsid w:val="00C511F7"/>
    <w:rsid w:val="00C5334A"/>
    <w:rsid w:val="00C53B24"/>
    <w:rsid w:val="00C54339"/>
    <w:rsid w:val="00C54498"/>
    <w:rsid w:val="00C544D2"/>
    <w:rsid w:val="00C555B5"/>
    <w:rsid w:val="00C55D3A"/>
    <w:rsid w:val="00C55E02"/>
    <w:rsid w:val="00C55FE9"/>
    <w:rsid w:val="00C569C1"/>
    <w:rsid w:val="00C56A07"/>
    <w:rsid w:val="00C570EB"/>
    <w:rsid w:val="00C57340"/>
    <w:rsid w:val="00C57867"/>
    <w:rsid w:val="00C578CF"/>
    <w:rsid w:val="00C578E5"/>
    <w:rsid w:val="00C602F3"/>
    <w:rsid w:val="00C61368"/>
    <w:rsid w:val="00C613BC"/>
    <w:rsid w:val="00C6182F"/>
    <w:rsid w:val="00C61CE0"/>
    <w:rsid w:val="00C61F35"/>
    <w:rsid w:val="00C62407"/>
    <w:rsid w:val="00C625E7"/>
    <w:rsid w:val="00C62D9C"/>
    <w:rsid w:val="00C631B5"/>
    <w:rsid w:val="00C6349F"/>
    <w:rsid w:val="00C63890"/>
    <w:rsid w:val="00C63B55"/>
    <w:rsid w:val="00C647AC"/>
    <w:rsid w:val="00C647BC"/>
    <w:rsid w:val="00C64D5D"/>
    <w:rsid w:val="00C65780"/>
    <w:rsid w:val="00C664C6"/>
    <w:rsid w:val="00C666CC"/>
    <w:rsid w:val="00C673E2"/>
    <w:rsid w:val="00C67404"/>
    <w:rsid w:val="00C67781"/>
    <w:rsid w:val="00C679A8"/>
    <w:rsid w:val="00C67AF4"/>
    <w:rsid w:val="00C67B01"/>
    <w:rsid w:val="00C67BC1"/>
    <w:rsid w:val="00C70BE0"/>
    <w:rsid w:val="00C70F6B"/>
    <w:rsid w:val="00C712E6"/>
    <w:rsid w:val="00C714C3"/>
    <w:rsid w:val="00C7182B"/>
    <w:rsid w:val="00C71E77"/>
    <w:rsid w:val="00C71F7D"/>
    <w:rsid w:val="00C7219D"/>
    <w:rsid w:val="00C724A3"/>
    <w:rsid w:val="00C724C7"/>
    <w:rsid w:val="00C73300"/>
    <w:rsid w:val="00C73594"/>
    <w:rsid w:val="00C73D6B"/>
    <w:rsid w:val="00C75D55"/>
    <w:rsid w:val="00C767E7"/>
    <w:rsid w:val="00C76F02"/>
    <w:rsid w:val="00C7783C"/>
    <w:rsid w:val="00C803B8"/>
    <w:rsid w:val="00C80B9C"/>
    <w:rsid w:val="00C834B7"/>
    <w:rsid w:val="00C8388E"/>
    <w:rsid w:val="00C83DE5"/>
    <w:rsid w:val="00C8467B"/>
    <w:rsid w:val="00C84DFE"/>
    <w:rsid w:val="00C84EFA"/>
    <w:rsid w:val="00C84F83"/>
    <w:rsid w:val="00C851CE"/>
    <w:rsid w:val="00C8575F"/>
    <w:rsid w:val="00C85859"/>
    <w:rsid w:val="00C86CBD"/>
    <w:rsid w:val="00C87B38"/>
    <w:rsid w:val="00C87E65"/>
    <w:rsid w:val="00C90266"/>
    <w:rsid w:val="00C9083A"/>
    <w:rsid w:val="00C90F50"/>
    <w:rsid w:val="00C91294"/>
    <w:rsid w:val="00C919CF"/>
    <w:rsid w:val="00C9206D"/>
    <w:rsid w:val="00C92C3E"/>
    <w:rsid w:val="00C93088"/>
    <w:rsid w:val="00C93351"/>
    <w:rsid w:val="00C93A68"/>
    <w:rsid w:val="00C95287"/>
    <w:rsid w:val="00C95495"/>
    <w:rsid w:val="00C955E6"/>
    <w:rsid w:val="00C96023"/>
    <w:rsid w:val="00C9670E"/>
    <w:rsid w:val="00C9756E"/>
    <w:rsid w:val="00C97924"/>
    <w:rsid w:val="00CA0290"/>
    <w:rsid w:val="00CA060A"/>
    <w:rsid w:val="00CA1267"/>
    <w:rsid w:val="00CA1D5A"/>
    <w:rsid w:val="00CA2280"/>
    <w:rsid w:val="00CA24D5"/>
    <w:rsid w:val="00CA25F6"/>
    <w:rsid w:val="00CA29D8"/>
    <w:rsid w:val="00CA2BA2"/>
    <w:rsid w:val="00CA2E32"/>
    <w:rsid w:val="00CA382E"/>
    <w:rsid w:val="00CA4664"/>
    <w:rsid w:val="00CA4B2C"/>
    <w:rsid w:val="00CA4E31"/>
    <w:rsid w:val="00CA520A"/>
    <w:rsid w:val="00CA5796"/>
    <w:rsid w:val="00CA579B"/>
    <w:rsid w:val="00CA5D3D"/>
    <w:rsid w:val="00CA62C7"/>
    <w:rsid w:val="00CA6C47"/>
    <w:rsid w:val="00CA7182"/>
    <w:rsid w:val="00CA7877"/>
    <w:rsid w:val="00CB02F9"/>
    <w:rsid w:val="00CB1DA9"/>
    <w:rsid w:val="00CB1E0A"/>
    <w:rsid w:val="00CB2434"/>
    <w:rsid w:val="00CB2812"/>
    <w:rsid w:val="00CB2A7B"/>
    <w:rsid w:val="00CB414C"/>
    <w:rsid w:val="00CB44C8"/>
    <w:rsid w:val="00CB6ED1"/>
    <w:rsid w:val="00CB776B"/>
    <w:rsid w:val="00CB7A08"/>
    <w:rsid w:val="00CC13AD"/>
    <w:rsid w:val="00CC15B7"/>
    <w:rsid w:val="00CC22B1"/>
    <w:rsid w:val="00CC25FF"/>
    <w:rsid w:val="00CC34B1"/>
    <w:rsid w:val="00CC39A4"/>
    <w:rsid w:val="00CC4CD4"/>
    <w:rsid w:val="00CC61B3"/>
    <w:rsid w:val="00CC6B93"/>
    <w:rsid w:val="00CD2188"/>
    <w:rsid w:val="00CD2DB6"/>
    <w:rsid w:val="00CD3345"/>
    <w:rsid w:val="00CD3A62"/>
    <w:rsid w:val="00CD45F2"/>
    <w:rsid w:val="00CD4866"/>
    <w:rsid w:val="00CD56AB"/>
    <w:rsid w:val="00CD63E4"/>
    <w:rsid w:val="00CD69FA"/>
    <w:rsid w:val="00CD6B22"/>
    <w:rsid w:val="00CD6E98"/>
    <w:rsid w:val="00CD7072"/>
    <w:rsid w:val="00CD7FEC"/>
    <w:rsid w:val="00CE121C"/>
    <w:rsid w:val="00CE1501"/>
    <w:rsid w:val="00CE15AD"/>
    <w:rsid w:val="00CE179E"/>
    <w:rsid w:val="00CE1CEE"/>
    <w:rsid w:val="00CE220C"/>
    <w:rsid w:val="00CE2614"/>
    <w:rsid w:val="00CE2E77"/>
    <w:rsid w:val="00CE358D"/>
    <w:rsid w:val="00CE3642"/>
    <w:rsid w:val="00CE43DE"/>
    <w:rsid w:val="00CE4EA4"/>
    <w:rsid w:val="00CE5472"/>
    <w:rsid w:val="00CE6E7C"/>
    <w:rsid w:val="00CE7EEE"/>
    <w:rsid w:val="00CF27F2"/>
    <w:rsid w:val="00CF324B"/>
    <w:rsid w:val="00CF3BDC"/>
    <w:rsid w:val="00CF43DF"/>
    <w:rsid w:val="00CF4449"/>
    <w:rsid w:val="00CF4DD3"/>
    <w:rsid w:val="00CF509E"/>
    <w:rsid w:val="00CF5217"/>
    <w:rsid w:val="00CF6518"/>
    <w:rsid w:val="00CF67A4"/>
    <w:rsid w:val="00CF6FD0"/>
    <w:rsid w:val="00D0079C"/>
    <w:rsid w:val="00D0087E"/>
    <w:rsid w:val="00D00A4A"/>
    <w:rsid w:val="00D022CF"/>
    <w:rsid w:val="00D02561"/>
    <w:rsid w:val="00D029CE"/>
    <w:rsid w:val="00D052B9"/>
    <w:rsid w:val="00D05CD9"/>
    <w:rsid w:val="00D05F2D"/>
    <w:rsid w:val="00D05F93"/>
    <w:rsid w:val="00D06555"/>
    <w:rsid w:val="00D069DD"/>
    <w:rsid w:val="00D06CF4"/>
    <w:rsid w:val="00D070E2"/>
    <w:rsid w:val="00D0725A"/>
    <w:rsid w:val="00D07EBB"/>
    <w:rsid w:val="00D10C6C"/>
    <w:rsid w:val="00D10CA7"/>
    <w:rsid w:val="00D11010"/>
    <w:rsid w:val="00D11E71"/>
    <w:rsid w:val="00D127D4"/>
    <w:rsid w:val="00D130B2"/>
    <w:rsid w:val="00D132CB"/>
    <w:rsid w:val="00D1366B"/>
    <w:rsid w:val="00D13769"/>
    <w:rsid w:val="00D13974"/>
    <w:rsid w:val="00D13DFF"/>
    <w:rsid w:val="00D145EF"/>
    <w:rsid w:val="00D149BA"/>
    <w:rsid w:val="00D15145"/>
    <w:rsid w:val="00D1519A"/>
    <w:rsid w:val="00D155D6"/>
    <w:rsid w:val="00D15620"/>
    <w:rsid w:val="00D1591E"/>
    <w:rsid w:val="00D16740"/>
    <w:rsid w:val="00D178DD"/>
    <w:rsid w:val="00D17D8B"/>
    <w:rsid w:val="00D20143"/>
    <w:rsid w:val="00D227EF"/>
    <w:rsid w:val="00D22F90"/>
    <w:rsid w:val="00D239B6"/>
    <w:rsid w:val="00D2490E"/>
    <w:rsid w:val="00D2502E"/>
    <w:rsid w:val="00D253A9"/>
    <w:rsid w:val="00D25A7D"/>
    <w:rsid w:val="00D26509"/>
    <w:rsid w:val="00D27965"/>
    <w:rsid w:val="00D27A25"/>
    <w:rsid w:val="00D27BAA"/>
    <w:rsid w:val="00D300F6"/>
    <w:rsid w:val="00D307FA"/>
    <w:rsid w:val="00D331C5"/>
    <w:rsid w:val="00D33F89"/>
    <w:rsid w:val="00D33FE9"/>
    <w:rsid w:val="00D34390"/>
    <w:rsid w:val="00D345E9"/>
    <w:rsid w:val="00D34F43"/>
    <w:rsid w:val="00D36AA7"/>
    <w:rsid w:val="00D40226"/>
    <w:rsid w:val="00D40AD1"/>
    <w:rsid w:val="00D40D3C"/>
    <w:rsid w:val="00D40D85"/>
    <w:rsid w:val="00D41F29"/>
    <w:rsid w:val="00D4229C"/>
    <w:rsid w:val="00D42629"/>
    <w:rsid w:val="00D42A99"/>
    <w:rsid w:val="00D42BB7"/>
    <w:rsid w:val="00D42C9E"/>
    <w:rsid w:val="00D42CBE"/>
    <w:rsid w:val="00D42DE8"/>
    <w:rsid w:val="00D439D5"/>
    <w:rsid w:val="00D43AC9"/>
    <w:rsid w:val="00D44908"/>
    <w:rsid w:val="00D44B5F"/>
    <w:rsid w:val="00D45CBB"/>
    <w:rsid w:val="00D4610E"/>
    <w:rsid w:val="00D46304"/>
    <w:rsid w:val="00D463C5"/>
    <w:rsid w:val="00D46BAB"/>
    <w:rsid w:val="00D4756B"/>
    <w:rsid w:val="00D47AEA"/>
    <w:rsid w:val="00D50374"/>
    <w:rsid w:val="00D50C1A"/>
    <w:rsid w:val="00D51221"/>
    <w:rsid w:val="00D521AE"/>
    <w:rsid w:val="00D52C13"/>
    <w:rsid w:val="00D52C3A"/>
    <w:rsid w:val="00D53371"/>
    <w:rsid w:val="00D53522"/>
    <w:rsid w:val="00D535C3"/>
    <w:rsid w:val="00D53E87"/>
    <w:rsid w:val="00D53F02"/>
    <w:rsid w:val="00D53F14"/>
    <w:rsid w:val="00D5494D"/>
    <w:rsid w:val="00D54BEF"/>
    <w:rsid w:val="00D5571D"/>
    <w:rsid w:val="00D568BA"/>
    <w:rsid w:val="00D574C1"/>
    <w:rsid w:val="00D57A9B"/>
    <w:rsid w:val="00D60231"/>
    <w:rsid w:val="00D60724"/>
    <w:rsid w:val="00D61290"/>
    <w:rsid w:val="00D62092"/>
    <w:rsid w:val="00D62503"/>
    <w:rsid w:val="00D62D10"/>
    <w:rsid w:val="00D63421"/>
    <w:rsid w:val="00D640EF"/>
    <w:rsid w:val="00D645C6"/>
    <w:rsid w:val="00D64A54"/>
    <w:rsid w:val="00D64B74"/>
    <w:rsid w:val="00D64F85"/>
    <w:rsid w:val="00D65A40"/>
    <w:rsid w:val="00D65D66"/>
    <w:rsid w:val="00D66B17"/>
    <w:rsid w:val="00D67116"/>
    <w:rsid w:val="00D67343"/>
    <w:rsid w:val="00D673FF"/>
    <w:rsid w:val="00D70A25"/>
    <w:rsid w:val="00D70B07"/>
    <w:rsid w:val="00D7291A"/>
    <w:rsid w:val="00D7315C"/>
    <w:rsid w:val="00D7351F"/>
    <w:rsid w:val="00D73634"/>
    <w:rsid w:val="00D73790"/>
    <w:rsid w:val="00D739DC"/>
    <w:rsid w:val="00D74157"/>
    <w:rsid w:val="00D7424A"/>
    <w:rsid w:val="00D74294"/>
    <w:rsid w:val="00D74928"/>
    <w:rsid w:val="00D74E42"/>
    <w:rsid w:val="00D764C1"/>
    <w:rsid w:val="00D768C8"/>
    <w:rsid w:val="00D769E8"/>
    <w:rsid w:val="00D77189"/>
    <w:rsid w:val="00D77449"/>
    <w:rsid w:val="00D800FA"/>
    <w:rsid w:val="00D81AAC"/>
    <w:rsid w:val="00D81EB6"/>
    <w:rsid w:val="00D82344"/>
    <w:rsid w:val="00D828E9"/>
    <w:rsid w:val="00D82CA1"/>
    <w:rsid w:val="00D83144"/>
    <w:rsid w:val="00D834DA"/>
    <w:rsid w:val="00D837A7"/>
    <w:rsid w:val="00D837E7"/>
    <w:rsid w:val="00D84897"/>
    <w:rsid w:val="00D84966"/>
    <w:rsid w:val="00D85116"/>
    <w:rsid w:val="00D8617E"/>
    <w:rsid w:val="00D86268"/>
    <w:rsid w:val="00D86BA0"/>
    <w:rsid w:val="00D87103"/>
    <w:rsid w:val="00D8761F"/>
    <w:rsid w:val="00D87AF6"/>
    <w:rsid w:val="00D87FC2"/>
    <w:rsid w:val="00D90873"/>
    <w:rsid w:val="00D90A61"/>
    <w:rsid w:val="00D91C60"/>
    <w:rsid w:val="00D91D69"/>
    <w:rsid w:val="00D91D8E"/>
    <w:rsid w:val="00D92662"/>
    <w:rsid w:val="00D93D7D"/>
    <w:rsid w:val="00D93F49"/>
    <w:rsid w:val="00D94F24"/>
    <w:rsid w:val="00D9529C"/>
    <w:rsid w:val="00D95A07"/>
    <w:rsid w:val="00D96E35"/>
    <w:rsid w:val="00D97F5C"/>
    <w:rsid w:val="00DA090A"/>
    <w:rsid w:val="00DA0A64"/>
    <w:rsid w:val="00DA0CC8"/>
    <w:rsid w:val="00DA0CF4"/>
    <w:rsid w:val="00DA1EAF"/>
    <w:rsid w:val="00DA2714"/>
    <w:rsid w:val="00DA283B"/>
    <w:rsid w:val="00DA2920"/>
    <w:rsid w:val="00DA2A6E"/>
    <w:rsid w:val="00DA2AC5"/>
    <w:rsid w:val="00DA2BD2"/>
    <w:rsid w:val="00DA2F3F"/>
    <w:rsid w:val="00DA332B"/>
    <w:rsid w:val="00DA3518"/>
    <w:rsid w:val="00DA41A3"/>
    <w:rsid w:val="00DA41EE"/>
    <w:rsid w:val="00DA426F"/>
    <w:rsid w:val="00DA4275"/>
    <w:rsid w:val="00DA5925"/>
    <w:rsid w:val="00DA5A29"/>
    <w:rsid w:val="00DA60AC"/>
    <w:rsid w:val="00DA612F"/>
    <w:rsid w:val="00DA6AE7"/>
    <w:rsid w:val="00DA6B2E"/>
    <w:rsid w:val="00DA6F6B"/>
    <w:rsid w:val="00DB05B6"/>
    <w:rsid w:val="00DB14A1"/>
    <w:rsid w:val="00DB1756"/>
    <w:rsid w:val="00DB1AF3"/>
    <w:rsid w:val="00DB2AAF"/>
    <w:rsid w:val="00DB2F0F"/>
    <w:rsid w:val="00DB3072"/>
    <w:rsid w:val="00DB3178"/>
    <w:rsid w:val="00DB3661"/>
    <w:rsid w:val="00DB37B0"/>
    <w:rsid w:val="00DB4458"/>
    <w:rsid w:val="00DB4DCC"/>
    <w:rsid w:val="00DB538E"/>
    <w:rsid w:val="00DB59CF"/>
    <w:rsid w:val="00DB5C01"/>
    <w:rsid w:val="00DB5ED5"/>
    <w:rsid w:val="00DB701B"/>
    <w:rsid w:val="00DC0322"/>
    <w:rsid w:val="00DC07B8"/>
    <w:rsid w:val="00DC0A17"/>
    <w:rsid w:val="00DC0FE5"/>
    <w:rsid w:val="00DC12E2"/>
    <w:rsid w:val="00DC26DE"/>
    <w:rsid w:val="00DC2ABA"/>
    <w:rsid w:val="00DC3DE3"/>
    <w:rsid w:val="00DC3F90"/>
    <w:rsid w:val="00DC4E95"/>
    <w:rsid w:val="00DC51A6"/>
    <w:rsid w:val="00DC5771"/>
    <w:rsid w:val="00DC5A5E"/>
    <w:rsid w:val="00DC6274"/>
    <w:rsid w:val="00DC62AF"/>
    <w:rsid w:val="00DC6446"/>
    <w:rsid w:val="00DC73FB"/>
    <w:rsid w:val="00DC77B1"/>
    <w:rsid w:val="00DC7B7F"/>
    <w:rsid w:val="00DD045D"/>
    <w:rsid w:val="00DD078A"/>
    <w:rsid w:val="00DD138F"/>
    <w:rsid w:val="00DD18E8"/>
    <w:rsid w:val="00DD25F9"/>
    <w:rsid w:val="00DD296B"/>
    <w:rsid w:val="00DD4189"/>
    <w:rsid w:val="00DD4B95"/>
    <w:rsid w:val="00DD5680"/>
    <w:rsid w:val="00DD5773"/>
    <w:rsid w:val="00DD6195"/>
    <w:rsid w:val="00DD6444"/>
    <w:rsid w:val="00DD67C8"/>
    <w:rsid w:val="00DD6D2D"/>
    <w:rsid w:val="00DD73EB"/>
    <w:rsid w:val="00DD7816"/>
    <w:rsid w:val="00DD7D38"/>
    <w:rsid w:val="00DD7E14"/>
    <w:rsid w:val="00DE00E4"/>
    <w:rsid w:val="00DE04DF"/>
    <w:rsid w:val="00DE069E"/>
    <w:rsid w:val="00DE0909"/>
    <w:rsid w:val="00DE0EE7"/>
    <w:rsid w:val="00DE15AF"/>
    <w:rsid w:val="00DE1D7C"/>
    <w:rsid w:val="00DE2C7B"/>
    <w:rsid w:val="00DE306A"/>
    <w:rsid w:val="00DE3901"/>
    <w:rsid w:val="00DE3E6B"/>
    <w:rsid w:val="00DE58F5"/>
    <w:rsid w:val="00DE5934"/>
    <w:rsid w:val="00DE6E02"/>
    <w:rsid w:val="00DE7787"/>
    <w:rsid w:val="00DE77CD"/>
    <w:rsid w:val="00DE7A04"/>
    <w:rsid w:val="00DF03E7"/>
    <w:rsid w:val="00DF0B8C"/>
    <w:rsid w:val="00DF0F42"/>
    <w:rsid w:val="00DF0FA9"/>
    <w:rsid w:val="00DF0FFC"/>
    <w:rsid w:val="00DF14FB"/>
    <w:rsid w:val="00DF23F5"/>
    <w:rsid w:val="00DF30BC"/>
    <w:rsid w:val="00DF3A98"/>
    <w:rsid w:val="00DF3F32"/>
    <w:rsid w:val="00DF4586"/>
    <w:rsid w:val="00DF5523"/>
    <w:rsid w:val="00DF6B7D"/>
    <w:rsid w:val="00DF7EFC"/>
    <w:rsid w:val="00E00735"/>
    <w:rsid w:val="00E01EF3"/>
    <w:rsid w:val="00E02CB9"/>
    <w:rsid w:val="00E02EB2"/>
    <w:rsid w:val="00E031B5"/>
    <w:rsid w:val="00E0338C"/>
    <w:rsid w:val="00E034E3"/>
    <w:rsid w:val="00E036FA"/>
    <w:rsid w:val="00E03726"/>
    <w:rsid w:val="00E04047"/>
    <w:rsid w:val="00E050F0"/>
    <w:rsid w:val="00E06346"/>
    <w:rsid w:val="00E06BE5"/>
    <w:rsid w:val="00E06F72"/>
    <w:rsid w:val="00E0762B"/>
    <w:rsid w:val="00E07DAC"/>
    <w:rsid w:val="00E10648"/>
    <w:rsid w:val="00E10B72"/>
    <w:rsid w:val="00E1205B"/>
    <w:rsid w:val="00E12849"/>
    <w:rsid w:val="00E129F1"/>
    <w:rsid w:val="00E12E40"/>
    <w:rsid w:val="00E132D1"/>
    <w:rsid w:val="00E1351B"/>
    <w:rsid w:val="00E13699"/>
    <w:rsid w:val="00E14637"/>
    <w:rsid w:val="00E1474B"/>
    <w:rsid w:val="00E162BB"/>
    <w:rsid w:val="00E173F3"/>
    <w:rsid w:val="00E175DD"/>
    <w:rsid w:val="00E176DB"/>
    <w:rsid w:val="00E17879"/>
    <w:rsid w:val="00E17C68"/>
    <w:rsid w:val="00E21847"/>
    <w:rsid w:val="00E22650"/>
    <w:rsid w:val="00E22FE2"/>
    <w:rsid w:val="00E234E2"/>
    <w:rsid w:val="00E24CED"/>
    <w:rsid w:val="00E25151"/>
    <w:rsid w:val="00E253EE"/>
    <w:rsid w:val="00E25EA5"/>
    <w:rsid w:val="00E26168"/>
    <w:rsid w:val="00E2653E"/>
    <w:rsid w:val="00E26661"/>
    <w:rsid w:val="00E27516"/>
    <w:rsid w:val="00E27E38"/>
    <w:rsid w:val="00E3040A"/>
    <w:rsid w:val="00E3040B"/>
    <w:rsid w:val="00E30921"/>
    <w:rsid w:val="00E30D03"/>
    <w:rsid w:val="00E315BB"/>
    <w:rsid w:val="00E318B4"/>
    <w:rsid w:val="00E31D4C"/>
    <w:rsid w:val="00E3234A"/>
    <w:rsid w:val="00E32D69"/>
    <w:rsid w:val="00E33924"/>
    <w:rsid w:val="00E33E03"/>
    <w:rsid w:val="00E33F84"/>
    <w:rsid w:val="00E34424"/>
    <w:rsid w:val="00E3610C"/>
    <w:rsid w:val="00E364CD"/>
    <w:rsid w:val="00E3693E"/>
    <w:rsid w:val="00E36EE4"/>
    <w:rsid w:val="00E3726C"/>
    <w:rsid w:val="00E37E24"/>
    <w:rsid w:val="00E37E83"/>
    <w:rsid w:val="00E40268"/>
    <w:rsid w:val="00E402E2"/>
    <w:rsid w:val="00E408A1"/>
    <w:rsid w:val="00E41045"/>
    <w:rsid w:val="00E412D5"/>
    <w:rsid w:val="00E41CB3"/>
    <w:rsid w:val="00E428E3"/>
    <w:rsid w:val="00E42913"/>
    <w:rsid w:val="00E42BE4"/>
    <w:rsid w:val="00E42CE4"/>
    <w:rsid w:val="00E42E54"/>
    <w:rsid w:val="00E431EC"/>
    <w:rsid w:val="00E432AC"/>
    <w:rsid w:val="00E43E70"/>
    <w:rsid w:val="00E4475B"/>
    <w:rsid w:val="00E44E34"/>
    <w:rsid w:val="00E45243"/>
    <w:rsid w:val="00E458D5"/>
    <w:rsid w:val="00E45A99"/>
    <w:rsid w:val="00E4607E"/>
    <w:rsid w:val="00E4627D"/>
    <w:rsid w:val="00E46281"/>
    <w:rsid w:val="00E4638C"/>
    <w:rsid w:val="00E46458"/>
    <w:rsid w:val="00E46846"/>
    <w:rsid w:val="00E46B88"/>
    <w:rsid w:val="00E479A7"/>
    <w:rsid w:val="00E47AEC"/>
    <w:rsid w:val="00E47B8D"/>
    <w:rsid w:val="00E50C3E"/>
    <w:rsid w:val="00E51167"/>
    <w:rsid w:val="00E51365"/>
    <w:rsid w:val="00E51539"/>
    <w:rsid w:val="00E519C0"/>
    <w:rsid w:val="00E52395"/>
    <w:rsid w:val="00E529FF"/>
    <w:rsid w:val="00E52B23"/>
    <w:rsid w:val="00E52D8F"/>
    <w:rsid w:val="00E52E73"/>
    <w:rsid w:val="00E53382"/>
    <w:rsid w:val="00E5359F"/>
    <w:rsid w:val="00E5399F"/>
    <w:rsid w:val="00E5439B"/>
    <w:rsid w:val="00E54CAE"/>
    <w:rsid w:val="00E5640A"/>
    <w:rsid w:val="00E56ACB"/>
    <w:rsid w:val="00E56ECF"/>
    <w:rsid w:val="00E570C7"/>
    <w:rsid w:val="00E579CB"/>
    <w:rsid w:val="00E606EC"/>
    <w:rsid w:val="00E60838"/>
    <w:rsid w:val="00E609F9"/>
    <w:rsid w:val="00E61B14"/>
    <w:rsid w:val="00E62E1C"/>
    <w:rsid w:val="00E63335"/>
    <w:rsid w:val="00E636FA"/>
    <w:rsid w:val="00E65EC0"/>
    <w:rsid w:val="00E662C4"/>
    <w:rsid w:val="00E67675"/>
    <w:rsid w:val="00E7187C"/>
    <w:rsid w:val="00E71D2B"/>
    <w:rsid w:val="00E72173"/>
    <w:rsid w:val="00E7239A"/>
    <w:rsid w:val="00E723BC"/>
    <w:rsid w:val="00E72D40"/>
    <w:rsid w:val="00E7324F"/>
    <w:rsid w:val="00E73589"/>
    <w:rsid w:val="00E73CC8"/>
    <w:rsid w:val="00E7458F"/>
    <w:rsid w:val="00E74825"/>
    <w:rsid w:val="00E74EF8"/>
    <w:rsid w:val="00E74F06"/>
    <w:rsid w:val="00E7576F"/>
    <w:rsid w:val="00E75A31"/>
    <w:rsid w:val="00E76404"/>
    <w:rsid w:val="00E770D2"/>
    <w:rsid w:val="00E77487"/>
    <w:rsid w:val="00E80F73"/>
    <w:rsid w:val="00E80FD3"/>
    <w:rsid w:val="00E812AC"/>
    <w:rsid w:val="00E822D7"/>
    <w:rsid w:val="00E82E5A"/>
    <w:rsid w:val="00E82FFA"/>
    <w:rsid w:val="00E83265"/>
    <w:rsid w:val="00E838C4"/>
    <w:rsid w:val="00E84244"/>
    <w:rsid w:val="00E84945"/>
    <w:rsid w:val="00E85862"/>
    <w:rsid w:val="00E86B3E"/>
    <w:rsid w:val="00E8700D"/>
    <w:rsid w:val="00E87E62"/>
    <w:rsid w:val="00E90493"/>
    <w:rsid w:val="00E908E5"/>
    <w:rsid w:val="00E9168C"/>
    <w:rsid w:val="00E91DBC"/>
    <w:rsid w:val="00E925C9"/>
    <w:rsid w:val="00E928C5"/>
    <w:rsid w:val="00E93B05"/>
    <w:rsid w:val="00E94762"/>
    <w:rsid w:val="00E9493B"/>
    <w:rsid w:val="00E961CC"/>
    <w:rsid w:val="00E964E2"/>
    <w:rsid w:val="00E96A95"/>
    <w:rsid w:val="00E96CD9"/>
    <w:rsid w:val="00E97D6D"/>
    <w:rsid w:val="00EA003C"/>
    <w:rsid w:val="00EA00FA"/>
    <w:rsid w:val="00EA0321"/>
    <w:rsid w:val="00EA0DB6"/>
    <w:rsid w:val="00EA0F5F"/>
    <w:rsid w:val="00EA1FD5"/>
    <w:rsid w:val="00EA25F8"/>
    <w:rsid w:val="00EA26BC"/>
    <w:rsid w:val="00EA2B17"/>
    <w:rsid w:val="00EA33BD"/>
    <w:rsid w:val="00EA3CF7"/>
    <w:rsid w:val="00EA3F18"/>
    <w:rsid w:val="00EA3F3F"/>
    <w:rsid w:val="00EA4821"/>
    <w:rsid w:val="00EA495A"/>
    <w:rsid w:val="00EA4ED0"/>
    <w:rsid w:val="00EA4F80"/>
    <w:rsid w:val="00EA58C3"/>
    <w:rsid w:val="00EA60D3"/>
    <w:rsid w:val="00EA6F57"/>
    <w:rsid w:val="00EA724F"/>
    <w:rsid w:val="00EA7B33"/>
    <w:rsid w:val="00EB08F4"/>
    <w:rsid w:val="00EB1429"/>
    <w:rsid w:val="00EB1902"/>
    <w:rsid w:val="00EB2430"/>
    <w:rsid w:val="00EB2B8A"/>
    <w:rsid w:val="00EB3D9F"/>
    <w:rsid w:val="00EB3DD3"/>
    <w:rsid w:val="00EB3E9F"/>
    <w:rsid w:val="00EB48FD"/>
    <w:rsid w:val="00EB5250"/>
    <w:rsid w:val="00EB6374"/>
    <w:rsid w:val="00EB678E"/>
    <w:rsid w:val="00EB77CB"/>
    <w:rsid w:val="00EB7E61"/>
    <w:rsid w:val="00EC1AD8"/>
    <w:rsid w:val="00EC2922"/>
    <w:rsid w:val="00EC2EB6"/>
    <w:rsid w:val="00EC36A5"/>
    <w:rsid w:val="00EC3B10"/>
    <w:rsid w:val="00EC3DDA"/>
    <w:rsid w:val="00EC40F5"/>
    <w:rsid w:val="00EC5116"/>
    <w:rsid w:val="00EC626C"/>
    <w:rsid w:val="00EC66C0"/>
    <w:rsid w:val="00EC6E93"/>
    <w:rsid w:val="00ED0222"/>
    <w:rsid w:val="00ED0B01"/>
    <w:rsid w:val="00ED15D8"/>
    <w:rsid w:val="00ED396D"/>
    <w:rsid w:val="00ED3D11"/>
    <w:rsid w:val="00ED4447"/>
    <w:rsid w:val="00ED5F06"/>
    <w:rsid w:val="00ED62D6"/>
    <w:rsid w:val="00ED682B"/>
    <w:rsid w:val="00ED6837"/>
    <w:rsid w:val="00ED73B7"/>
    <w:rsid w:val="00ED786D"/>
    <w:rsid w:val="00ED7B9D"/>
    <w:rsid w:val="00EE0171"/>
    <w:rsid w:val="00EE0445"/>
    <w:rsid w:val="00EE06F0"/>
    <w:rsid w:val="00EE0753"/>
    <w:rsid w:val="00EE108E"/>
    <w:rsid w:val="00EE127C"/>
    <w:rsid w:val="00EE21C4"/>
    <w:rsid w:val="00EE2A79"/>
    <w:rsid w:val="00EE2FE6"/>
    <w:rsid w:val="00EE4E44"/>
    <w:rsid w:val="00EE5A11"/>
    <w:rsid w:val="00EE5A64"/>
    <w:rsid w:val="00EE7D95"/>
    <w:rsid w:val="00EE7FD9"/>
    <w:rsid w:val="00EF01D9"/>
    <w:rsid w:val="00EF1636"/>
    <w:rsid w:val="00EF17EC"/>
    <w:rsid w:val="00EF293B"/>
    <w:rsid w:val="00EF4602"/>
    <w:rsid w:val="00EF641B"/>
    <w:rsid w:val="00EF7891"/>
    <w:rsid w:val="00EF79B6"/>
    <w:rsid w:val="00EF7B28"/>
    <w:rsid w:val="00EF7C72"/>
    <w:rsid w:val="00F008E9"/>
    <w:rsid w:val="00F00CB7"/>
    <w:rsid w:val="00F0187A"/>
    <w:rsid w:val="00F019F6"/>
    <w:rsid w:val="00F01E07"/>
    <w:rsid w:val="00F01EE8"/>
    <w:rsid w:val="00F02299"/>
    <w:rsid w:val="00F02421"/>
    <w:rsid w:val="00F02F73"/>
    <w:rsid w:val="00F039C1"/>
    <w:rsid w:val="00F041A4"/>
    <w:rsid w:val="00F04294"/>
    <w:rsid w:val="00F04371"/>
    <w:rsid w:val="00F04421"/>
    <w:rsid w:val="00F05B67"/>
    <w:rsid w:val="00F06112"/>
    <w:rsid w:val="00F06141"/>
    <w:rsid w:val="00F068D6"/>
    <w:rsid w:val="00F07D61"/>
    <w:rsid w:val="00F07E0A"/>
    <w:rsid w:val="00F07E0F"/>
    <w:rsid w:val="00F10402"/>
    <w:rsid w:val="00F119B8"/>
    <w:rsid w:val="00F12737"/>
    <w:rsid w:val="00F127B3"/>
    <w:rsid w:val="00F12AEF"/>
    <w:rsid w:val="00F14361"/>
    <w:rsid w:val="00F1452E"/>
    <w:rsid w:val="00F14B8F"/>
    <w:rsid w:val="00F15E7F"/>
    <w:rsid w:val="00F16030"/>
    <w:rsid w:val="00F16433"/>
    <w:rsid w:val="00F1655D"/>
    <w:rsid w:val="00F16D59"/>
    <w:rsid w:val="00F16F83"/>
    <w:rsid w:val="00F2048C"/>
    <w:rsid w:val="00F20763"/>
    <w:rsid w:val="00F218A5"/>
    <w:rsid w:val="00F21B3A"/>
    <w:rsid w:val="00F21CB7"/>
    <w:rsid w:val="00F22634"/>
    <w:rsid w:val="00F22E32"/>
    <w:rsid w:val="00F23448"/>
    <w:rsid w:val="00F23AC3"/>
    <w:rsid w:val="00F23FD9"/>
    <w:rsid w:val="00F2466B"/>
    <w:rsid w:val="00F24D0E"/>
    <w:rsid w:val="00F254D5"/>
    <w:rsid w:val="00F264AF"/>
    <w:rsid w:val="00F265D2"/>
    <w:rsid w:val="00F27668"/>
    <w:rsid w:val="00F27FAA"/>
    <w:rsid w:val="00F30E57"/>
    <w:rsid w:val="00F31682"/>
    <w:rsid w:val="00F31956"/>
    <w:rsid w:val="00F319B7"/>
    <w:rsid w:val="00F3245F"/>
    <w:rsid w:val="00F3288E"/>
    <w:rsid w:val="00F3293D"/>
    <w:rsid w:val="00F32FC9"/>
    <w:rsid w:val="00F3351C"/>
    <w:rsid w:val="00F33BA6"/>
    <w:rsid w:val="00F33BDB"/>
    <w:rsid w:val="00F34095"/>
    <w:rsid w:val="00F36211"/>
    <w:rsid w:val="00F36388"/>
    <w:rsid w:val="00F36D08"/>
    <w:rsid w:val="00F4046B"/>
    <w:rsid w:val="00F414FB"/>
    <w:rsid w:val="00F41BED"/>
    <w:rsid w:val="00F41C60"/>
    <w:rsid w:val="00F421F9"/>
    <w:rsid w:val="00F425E6"/>
    <w:rsid w:val="00F427D8"/>
    <w:rsid w:val="00F434C3"/>
    <w:rsid w:val="00F435C5"/>
    <w:rsid w:val="00F443F6"/>
    <w:rsid w:val="00F44659"/>
    <w:rsid w:val="00F44972"/>
    <w:rsid w:val="00F44D0D"/>
    <w:rsid w:val="00F454A4"/>
    <w:rsid w:val="00F463BB"/>
    <w:rsid w:val="00F4652C"/>
    <w:rsid w:val="00F46E2F"/>
    <w:rsid w:val="00F46E43"/>
    <w:rsid w:val="00F476D2"/>
    <w:rsid w:val="00F4782B"/>
    <w:rsid w:val="00F47AB4"/>
    <w:rsid w:val="00F50F25"/>
    <w:rsid w:val="00F51BE1"/>
    <w:rsid w:val="00F51BE5"/>
    <w:rsid w:val="00F51C78"/>
    <w:rsid w:val="00F52419"/>
    <w:rsid w:val="00F52DF4"/>
    <w:rsid w:val="00F530E7"/>
    <w:rsid w:val="00F5362D"/>
    <w:rsid w:val="00F537A5"/>
    <w:rsid w:val="00F539E0"/>
    <w:rsid w:val="00F543A9"/>
    <w:rsid w:val="00F54575"/>
    <w:rsid w:val="00F54E02"/>
    <w:rsid w:val="00F567B2"/>
    <w:rsid w:val="00F5730E"/>
    <w:rsid w:val="00F57AC9"/>
    <w:rsid w:val="00F57D41"/>
    <w:rsid w:val="00F6098C"/>
    <w:rsid w:val="00F61109"/>
    <w:rsid w:val="00F61129"/>
    <w:rsid w:val="00F6143C"/>
    <w:rsid w:val="00F61A12"/>
    <w:rsid w:val="00F6206E"/>
    <w:rsid w:val="00F62704"/>
    <w:rsid w:val="00F62CFE"/>
    <w:rsid w:val="00F63F58"/>
    <w:rsid w:val="00F6512D"/>
    <w:rsid w:val="00F6525A"/>
    <w:rsid w:val="00F655AE"/>
    <w:rsid w:val="00F65A5D"/>
    <w:rsid w:val="00F669F9"/>
    <w:rsid w:val="00F66C2C"/>
    <w:rsid w:val="00F67019"/>
    <w:rsid w:val="00F670FF"/>
    <w:rsid w:val="00F673E3"/>
    <w:rsid w:val="00F70BD7"/>
    <w:rsid w:val="00F70DE1"/>
    <w:rsid w:val="00F70E83"/>
    <w:rsid w:val="00F712C6"/>
    <w:rsid w:val="00F71D3D"/>
    <w:rsid w:val="00F72380"/>
    <w:rsid w:val="00F7250B"/>
    <w:rsid w:val="00F725D8"/>
    <w:rsid w:val="00F72656"/>
    <w:rsid w:val="00F729DA"/>
    <w:rsid w:val="00F73BD6"/>
    <w:rsid w:val="00F75064"/>
    <w:rsid w:val="00F75847"/>
    <w:rsid w:val="00F75BB0"/>
    <w:rsid w:val="00F75F9F"/>
    <w:rsid w:val="00F763BA"/>
    <w:rsid w:val="00F76DBD"/>
    <w:rsid w:val="00F7735B"/>
    <w:rsid w:val="00F7762F"/>
    <w:rsid w:val="00F7767D"/>
    <w:rsid w:val="00F77B8E"/>
    <w:rsid w:val="00F80C52"/>
    <w:rsid w:val="00F81007"/>
    <w:rsid w:val="00F811C4"/>
    <w:rsid w:val="00F81288"/>
    <w:rsid w:val="00F81FCF"/>
    <w:rsid w:val="00F8266E"/>
    <w:rsid w:val="00F826DC"/>
    <w:rsid w:val="00F82E15"/>
    <w:rsid w:val="00F83447"/>
    <w:rsid w:val="00F83CD0"/>
    <w:rsid w:val="00F83FB1"/>
    <w:rsid w:val="00F8453B"/>
    <w:rsid w:val="00F847CA"/>
    <w:rsid w:val="00F84E12"/>
    <w:rsid w:val="00F856F4"/>
    <w:rsid w:val="00F85BD2"/>
    <w:rsid w:val="00F85C8B"/>
    <w:rsid w:val="00F861BB"/>
    <w:rsid w:val="00F868AA"/>
    <w:rsid w:val="00F869C1"/>
    <w:rsid w:val="00F87485"/>
    <w:rsid w:val="00F8762A"/>
    <w:rsid w:val="00F87FEE"/>
    <w:rsid w:val="00F904FD"/>
    <w:rsid w:val="00F90542"/>
    <w:rsid w:val="00F908C6"/>
    <w:rsid w:val="00F90DB5"/>
    <w:rsid w:val="00F9124B"/>
    <w:rsid w:val="00F9185C"/>
    <w:rsid w:val="00F919E5"/>
    <w:rsid w:val="00F92DB7"/>
    <w:rsid w:val="00F92FDD"/>
    <w:rsid w:val="00F93E6F"/>
    <w:rsid w:val="00F94736"/>
    <w:rsid w:val="00F94910"/>
    <w:rsid w:val="00F94A26"/>
    <w:rsid w:val="00F94FB0"/>
    <w:rsid w:val="00F950DC"/>
    <w:rsid w:val="00F9575B"/>
    <w:rsid w:val="00F9594A"/>
    <w:rsid w:val="00F97A0F"/>
    <w:rsid w:val="00F97D67"/>
    <w:rsid w:val="00FA0079"/>
    <w:rsid w:val="00FA06A1"/>
    <w:rsid w:val="00FA132B"/>
    <w:rsid w:val="00FA1BD4"/>
    <w:rsid w:val="00FA1F55"/>
    <w:rsid w:val="00FA25D0"/>
    <w:rsid w:val="00FA3986"/>
    <w:rsid w:val="00FA3A51"/>
    <w:rsid w:val="00FA3C65"/>
    <w:rsid w:val="00FA4715"/>
    <w:rsid w:val="00FA4A2E"/>
    <w:rsid w:val="00FA509C"/>
    <w:rsid w:val="00FA5789"/>
    <w:rsid w:val="00FA58EC"/>
    <w:rsid w:val="00FA65ED"/>
    <w:rsid w:val="00FA6839"/>
    <w:rsid w:val="00FA7776"/>
    <w:rsid w:val="00FA7996"/>
    <w:rsid w:val="00FB03EB"/>
    <w:rsid w:val="00FB079C"/>
    <w:rsid w:val="00FB0B25"/>
    <w:rsid w:val="00FB20E7"/>
    <w:rsid w:val="00FB266E"/>
    <w:rsid w:val="00FB2B14"/>
    <w:rsid w:val="00FB2BB4"/>
    <w:rsid w:val="00FB2BE1"/>
    <w:rsid w:val="00FB2C98"/>
    <w:rsid w:val="00FB3654"/>
    <w:rsid w:val="00FB3E06"/>
    <w:rsid w:val="00FB4CDE"/>
    <w:rsid w:val="00FB4D06"/>
    <w:rsid w:val="00FB4E4B"/>
    <w:rsid w:val="00FB567D"/>
    <w:rsid w:val="00FB5964"/>
    <w:rsid w:val="00FB6060"/>
    <w:rsid w:val="00FB67DF"/>
    <w:rsid w:val="00FB735D"/>
    <w:rsid w:val="00FB781C"/>
    <w:rsid w:val="00FB7BDE"/>
    <w:rsid w:val="00FC050A"/>
    <w:rsid w:val="00FC10CF"/>
    <w:rsid w:val="00FC1D41"/>
    <w:rsid w:val="00FC25A1"/>
    <w:rsid w:val="00FC2D8C"/>
    <w:rsid w:val="00FC2F3F"/>
    <w:rsid w:val="00FC2F48"/>
    <w:rsid w:val="00FC2F4C"/>
    <w:rsid w:val="00FC327C"/>
    <w:rsid w:val="00FC3F9D"/>
    <w:rsid w:val="00FC58E3"/>
    <w:rsid w:val="00FC6674"/>
    <w:rsid w:val="00FC6D29"/>
    <w:rsid w:val="00FC785D"/>
    <w:rsid w:val="00FC7B42"/>
    <w:rsid w:val="00FD0525"/>
    <w:rsid w:val="00FD0BB3"/>
    <w:rsid w:val="00FD0D8A"/>
    <w:rsid w:val="00FD0EB0"/>
    <w:rsid w:val="00FD15DD"/>
    <w:rsid w:val="00FD19D0"/>
    <w:rsid w:val="00FD1C88"/>
    <w:rsid w:val="00FD1FB1"/>
    <w:rsid w:val="00FD2089"/>
    <w:rsid w:val="00FD22AF"/>
    <w:rsid w:val="00FD30C2"/>
    <w:rsid w:val="00FD3A8B"/>
    <w:rsid w:val="00FD49A4"/>
    <w:rsid w:val="00FD519E"/>
    <w:rsid w:val="00FD5287"/>
    <w:rsid w:val="00FD5410"/>
    <w:rsid w:val="00FD698D"/>
    <w:rsid w:val="00FE1182"/>
    <w:rsid w:val="00FE1B40"/>
    <w:rsid w:val="00FE2461"/>
    <w:rsid w:val="00FE2B37"/>
    <w:rsid w:val="00FE4DD6"/>
    <w:rsid w:val="00FE4F32"/>
    <w:rsid w:val="00FE59C3"/>
    <w:rsid w:val="00FE5E00"/>
    <w:rsid w:val="00FE6128"/>
    <w:rsid w:val="00FE6A13"/>
    <w:rsid w:val="00FF0552"/>
    <w:rsid w:val="00FF07D1"/>
    <w:rsid w:val="00FF0B1C"/>
    <w:rsid w:val="00FF2CD1"/>
    <w:rsid w:val="00FF4AB8"/>
    <w:rsid w:val="00FF60E2"/>
    <w:rsid w:val="00FF6946"/>
    <w:rsid w:val="00FF69CE"/>
    <w:rsid w:val="0101540C"/>
    <w:rsid w:val="01E1332F"/>
    <w:rsid w:val="02816E87"/>
    <w:rsid w:val="047A4E1B"/>
    <w:rsid w:val="0585490F"/>
    <w:rsid w:val="08337B49"/>
    <w:rsid w:val="086C2CC1"/>
    <w:rsid w:val="09722C15"/>
    <w:rsid w:val="097B5E90"/>
    <w:rsid w:val="09D702D7"/>
    <w:rsid w:val="0AA602F0"/>
    <w:rsid w:val="0CE50446"/>
    <w:rsid w:val="0D0E2060"/>
    <w:rsid w:val="0D4C0A28"/>
    <w:rsid w:val="0DBF789C"/>
    <w:rsid w:val="0EE5368F"/>
    <w:rsid w:val="0EED4BDF"/>
    <w:rsid w:val="0F682DBF"/>
    <w:rsid w:val="108F71B9"/>
    <w:rsid w:val="11D76B59"/>
    <w:rsid w:val="13E34B06"/>
    <w:rsid w:val="141A382C"/>
    <w:rsid w:val="16686479"/>
    <w:rsid w:val="187354E6"/>
    <w:rsid w:val="197A0A3D"/>
    <w:rsid w:val="19CB4F03"/>
    <w:rsid w:val="1B261AD6"/>
    <w:rsid w:val="1D282CBC"/>
    <w:rsid w:val="1D3303E4"/>
    <w:rsid w:val="1DCE3181"/>
    <w:rsid w:val="1ED76D5A"/>
    <w:rsid w:val="205B40CB"/>
    <w:rsid w:val="2081141A"/>
    <w:rsid w:val="227E321A"/>
    <w:rsid w:val="23284A79"/>
    <w:rsid w:val="24F62F7B"/>
    <w:rsid w:val="254A3BC6"/>
    <w:rsid w:val="26887A54"/>
    <w:rsid w:val="269633DF"/>
    <w:rsid w:val="29AA4F7A"/>
    <w:rsid w:val="2A227026"/>
    <w:rsid w:val="2ACD5AC8"/>
    <w:rsid w:val="2B6033BB"/>
    <w:rsid w:val="2DF1750D"/>
    <w:rsid w:val="2EBC7CD1"/>
    <w:rsid w:val="2F064798"/>
    <w:rsid w:val="30001842"/>
    <w:rsid w:val="300D2D46"/>
    <w:rsid w:val="30845058"/>
    <w:rsid w:val="3130473C"/>
    <w:rsid w:val="31730BD1"/>
    <w:rsid w:val="36906376"/>
    <w:rsid w:val="36E33D82"/>
    <w:rsid w:val="372C7254"/>
    <w:rsid w:val="37303A1D"/>
    <w:rsid w:val="393C2747"/>
    <w:rsid w:val="3A0B7571"/>
    <w:rsid w:val="3B063743"/>
    <w:rsid w:val="3CE430E6"/>
    <w:rsid w:val="3D953680"/>
    <w:rsid w:val="3FEA7EDD"/>
    <w:rsid w:val="3FF1441F"/>
    <w:rsid w:val="417B7189"/>
    <w:rsid w:val="421A0DED"/>
    <w:rsid w:val="46E423A1"/>
    <w:rsid w:val="47A81CBA"/>
    <w:rsid w:val="48A00043"/>
    <w:rsid w:val="4ACD4D78"/>
    <w:rsid w:val="4AD403FA"/>
    <w:rsid w:val="4C9C12CD"/>
    <w:rsid w:val="4D4A3848"/>
    <w:rsid w:val="4EAB4865"/>
    <w:rsid w:val="4F1E2C14"/>
    <w:rsid w:val="50FB6608"/>
    <w:rsid w:val="51DC1391"/>
    <w:rsid w:val="5218253A"/>
    <w:rsid w:val="521E3B4E"/>
    <w:rsid w:val="53244529"/>
    <w:rsid w:val="53393A63"/>
    <w:rsid w:val="53C52491"/>
    <w:rsid w:val="546E1BFE"/>
    <w:rsid w:val="54A63BA8"/>
    <w:rsid w:val="54AE4C57"/>
    <w:rsid w:val="5549790F"/>
    <w:rsid w:val="56F06ACB"/>
    <w:rsid w:val="57290920"/>
    <w:rsid w:val="586A51DE"/>
    <w:rsid w:val="586C378E"/>
    <w:rsid w:val="5B9A3CD3"/>
    <w:rsid w:val="5D374BC3"/>
    <w:rsid w:val="5D693492"/>
    <w:rsid w:val="5EDA258C"/>
    <w:rsid w:val="5F4679C8"/>
    <w:rsid w:val="5FE83E10"/>
    <w:rsid w:val="5FF94E8E"/>
    <w:rsid w:val="60124CC1"/>
    <w:rsid w:val="62323B7B"/>
    <w:rsid w:val="62711ED2"/>
    <w:rsid w:val="62D72C39"/>
    <w:rsid w:val="655A38CD"/>
    <w:rsid w:val="667827AE"/>
    <w:rsid w:val="69F26B90"/>
    <w:rsid w:val="6AAA44C1"/>
    <w:rsid w:val="6C9B49B6"/>
    <w:rsid w:val="721163AB"/>
    <w:rsid w:val="72913614"/>
    <w:rsid w:val="75583FED"/>
    <w:rsid w:val="759B5069"/>
    <w:rsid w:val="75C61F7D"/>
    <w:rsid w:val="75E2160A"/>
    <w:rsid w:val="76D729F1"/>
    <w:rsid w:val="77404EDD"/>
    <w:rsid w:val="77C0788A"/>
    <w:rsid w:val="78A053B0"/>
    <w:rsid w:val="7A3F6130"/>
    <w:rsid w:val="7AE65E09"/>
    <w:rsid w:val="7B4F1900"/>
    <w:rsid w:val="7BC7218E"/>
    <w:rsid w:val="7C547DA3"/>
    <w:rsid w:val="7CBB41D3"/>
    <w:rsid w:val="7E431DF9"/>
    <w:rsid w:val="7E5B38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8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6"/>
    <w:qFormat/>
    <w:uiPriority w:val="0"/>
    <w:pPr>
      <w:keepNext/>
      <w:keepLines/>
      <w:tabs>
        <w:tab w:val="left" w:pos="1440"/>
      </w:tabs>
      <w:spacing w:before="260" w:after="260" w:line="413" w:lineRule="auto"/>
      <w:outlineLvl w:val="1"/>
    </w:pPr>
    <w:rPr>
      <w:rFonts w:ascii="Arial" w:hAnsi="Arial" w:eastAsia="黑体"/>
      <w:b/>
      <w:bCs/>
      <w:sz w:val="32"/>
      <w:szCs w:val="32"/>
    </w:rPr>
  </w:style>
  <w:style w:type="paragraph" w:styleId="5">
    <w:name w:val="heading 3"/>
    <w:basedOn w:val="1"/>
    <w:next w:val="1"/>
    <w:link w:val="125"/>
    <w:qFormat/>
    <w:uiPriority w:val="0"/>
    <w:pPr>
      <w:keepNext/>
      <w:keepLines/>
      <w:spacing w:before="260" w:after="260" w:line="413" w:lineRule="auto"/>
      <w:outlineLvl w:val="2"/>
    </w:pPr>
    <w:rPr>
      <w:b/>
      <w:bCs/>
      <w:sz w:val="32"/>
      <w:szCs w:val="32"/>
    </w:rPr>
  </w:style>
  <w:style w:type="paragraph" w:styleId="6">
    <w:name w:val="heading 4"/>
    <w:basedOn w:val="1"/>
    <w:next w:val="1"/>
    <w:link w:val="66"/>
    <w:qFormat/>
    <w:uiPriority w:val="0"/>
    <w:pPr>
      <w:keepNext/>
      <w:keepLines/>
      <w:tabs>
        <w:tab w:val="left" w:pos="436"/>
      </w:tabs>
      <w:spacing w:before="280" w:after="290" w:line="376" w:lineRule="auto"/>
      <w:ind w:left="-284"/>
      <w:outlineLvl w:val="3"/>
    </w:pPr>
    <w:rPr>
      <w:rFonts w:ascii="Arial" w:hAnsi="Arial" w:eastAsia="黑体"/>
      <w:b/>
      <w:bCs/>
      <w:sz w:val="28"/>
      <w:szCs w:val="28"/>
    </w:rPr>
  </w:style>
  <w:style w:type="character" w:default="1" w:styleId="25">
    <w:name w:val="Default Paragraph Font"/>
    <w:unhideWhenUsed/>
    <w:qFormat/>
    <w:uiPriority w:val="1"/>
  </w:style>
  <w:style w:type="table" w:default="1" w:styleId="30">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44"/>
    <w:qFormat/>
    <w:uiPriority w:val="0"/>
    <w:pPr>
      <w:spacing w:after="120"/>
    </w:pPr>
  </w:style>
  <w:style w:type="paragraph" w:styleId="7">
    <w:name w:val="List 3"/>
    <w:basedOn w:val="1"/>
    <w:qFormat/>
    <w:uiPriority w:val="0"/>
    <w:pPr>
      <w:autoSpaceDE w:val="0"/>
      <w:autoSpaceDN w:val="0"/>
      <w:adjustRightInd w:val="0"/>
      <w:spacing w:line="288" w:lineRule="auto"/>
      <w:ind w:left="1260" w:hanging="420"/>
      <w:jc w:val="left"/>
      <w:textAlignment w:val="baseline"/>
    </w:pPr>
    <w:rPr>
      <w:kern w:val="0"/>
      <w:sz w:val="20"/>
      <w:szCs w:val="24"/>
    </w:rPr>
  </w:style>
  <w:style w:type="paragraph" w:styleId="8">
    <w:name w:val="annotation subject"/>
    <w:basedOn w:val="9"/>
    <w:next w:val="9"/>
    <w:qFormat/>
    <w:uiPriority w:val="0"/>
    <w:rPr>
      <w:b/>
      <w:bCs/>
    </w:rPr>
  </w:style>
  <w:style w:type="paragraph" w:styleId="9">
    <w:name w:val="annotation text"/>
    <w:basedOn w:val="1"/>
    <w:link w:val="50"/>
    <w:qFormat/>
    <w:uiPriority w:val="0"/>
    <w:pPr>
      <w:jc w:val="left"/>
    </w:pPr>
  </w:style>
  <w:style w:type="paragraph" w:styleId="10">
    <w:name w:val="Body Text First Indent"/>
    <w:basedOn w:val="1"/>
    <w:link w:val="83"/>
    <w:qFormat/>
    <w:uiPriority w:val="0"/>
    <w:pPr>
      <w:overflowPunct w:val="0"/>
      <w:autoSpaceDE w:val="0"/>
      <w:autoSpaceDN w:val="0"/>
      <w:adjustRightInd w:val="0"/>
      <w:spacing w:line="360" w:lineRule="auto"/>
      <w:ind w:firstLine="539"/>
    </w:pPr>
    <w:rPr>
      <w:kern w:val="0"/>
      <w:sz w:val="28"/>
    </w:rPr>
  </w:style>
  <w:style w:type="paragraph" w:styleId="11">
    <w:name w:val="Normal Indent"/>
    <w:basedOn w:val="1"/>
    <w:link w:val="49"/>
    <w:qFormat/>
    <w:uiPriority w:val="0"/>
    <w:pPr>
      <w:ind w:firstLine="420" w:firstLineChars="200"/>
    </w:pPr>
    <w:rPr>
      <w:rFonts w:ascii="宋体" w:hAnsi="宋体"/>
    </w:rPr>
  </w:style>
  <w:style w:type="paragraph" w:styleId="12">
    <w:name w:val="caption"/>
    <w:basedOn w:val="1"/>
    <w:next w:val="1"/>
    <w:link w:val="55"/>
    <w:qFormat/>
    <w:uiPriority w:val="0"/>
    <w:rPr>
      <w:rFonts w:ascii="Arial" w:hAnsi="Arial" w:eastAsia="黑体"/>
      <w:sz w:val="20"/>
    </w:rPr>
  </w:style>
  <w:style w:type="paragraph" w:styleId="13">
    <w:name w:val="Document Map"/>
    <w:basedOn w:val="1"/>
    <w:qFormat/>
    <w:uiPriority w:val="0"/>
    <w:pPr>
      <w:shd w:val="clear" w:color="auto" w:fill="000080"/>
    </w:pPr>
  </w:style>
  <w:style w:type="paragraph" w:styleId="14">
    <w:name w:val="Body Text 3"/>
    <w:basedOn w:val="1"/>
    <w:qFormat/>
    <w:uiPriority w:val="0"/>
    <w:pPr>
      <w:spacing w:after="120"/>
    </w:pPr>
    <w:rPr>
      <w:sz w:val="16"/>
      <w:szCs w:val="16"/>
    </w:rPr>
  </w:style>
  <w:style w:type="paragraph" w:styleId="15">
    <w:name w:val="Body Text Indent"/>
    <w:basedOn w:val="1"/>
    <w:link w:val="91"/>
    <w:qFormat/>
    <w:uiPriority w:val="0"/>
    <w:pPr>
      <w:spacing w:after="120"/>
      <w:ind w:left="420" w:leftChars="200"/>
    </w:pPr>
    <w:rPr>
      <w:szCs w:val="24"/>
    </w:rPr>
  </w:style>
  <w:style w:type="paragraph" w:styleId="16">
    <w:name w:val="Plain Text"/>
    <w:basedOn w:val="1"/>
    <w:link w:val="87"/>
    <w:qFormat/>
    <w:uiPriority w:val="0"/>
    <w:rPr>
      <w:rFonts w:ascii="宋体" w:hAnsi="Courier New"/>
    </w:rPr>
  </w:style>
  <w:style w:type="paragraph" w:styleId="17">
    <w:name w:val="Body Text Indent 2"/>
    <w:basedOn w:val="1"/>
    <w:qFormat/>
    <w:uiPriority w:val="0"/>
    <w:pPr>
      <w:spacing w:after="120" w:line="480" w:lineRule="auto"/>
      <w:ind w:left="420" w:leftChars="200"/>
    </w:pPr>
    <w:rPr>
      <w:szCs w:val="24"/>
    </w:rPr>
  </w:style>
  <w:style w:type="paragraph" w:styleId="18">
    <w:name w:val="Balloon Text"/>
    <w:basedOn w:val="1"/>
    <w:qFormat/>
    <w:uiPriority w:val="0"/>
    <w:rPr>
      <w:sz w:val="18"/>
      <w:szCs w:val="18"/>
    </w:rPr>
  </w:style>
  <w:style w:type="paragraph" w:styleId="19">
    <w:name w:val="footer"/>
    <w:basedOn w:val="1"/>
    <w:link w:val="85"/>
    <w:qFormat/>
    <w:uiPriority w:val="0"/>
    <w:pPr>
      <w:tabs>
        <w:tab w:val="center" w:pos="4153"/>
        <w:tab w:val="right" w:pos="8306"/>
      </w:tabs>
      <w:snapToGrid w:val="0"/>
      <w:jc w:val="left"/>
    </w:pPr>
    <w:rPr>
      <w:sz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pPr>
      <w:widowControl/>
      <w:spacing w:line="276" w:lineRule="auto"/>
      <w:jc w:val="left"/>
    </w:pPr>
    <w:rPr>
      <w:rFonts w:ascii="Calibri" w:hAnsi="Calibri"/>
      <w:kern w:val="0"/>
      <w:sz w:val="22"/>
      <w:szCs w:val="22"/>
    </w:rPr>
  </w:style>
  <w:style w:type="paragraph" w:styleId="22">
    <w:name w:val="List"/>
    <w:basedOn w:val="1"/>
    <w:qFormat/>
    <w:uiPriority w:val="0"/>
    <w:pPr>
      <w:ind w:left="200" w:hanging="200" w:hangingChars="200"/>
      <w:contextualSpacing/>
    </w:pPr>
  </w:style>
  <w:style w:type="paragraph" w:styleId="23">
    <w:name w:val="Body Text Indent 3"/>
    <w:basedOn w:val="1"/>
    <w:qFormat/>
    <w:uiPriority w:val="0"/>
    <w:pPr>
      <w:spacing w:after="120"/>
      <w:ind w:left="420" w:leftChars="200"/>
    </w:pPr>
    <w:rPr>
      <w:sz w:val="16"/>
      <w:szCs w:val="16"/>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26">
    <w:name w:val="Strong"/>
    <w:qFormat/>
    <w:uiPriority w:val="0"/>
    <w:rPr>
      <w:b/>
      <w:bCs/>
    </w:rPr>
  </w:style>
  <w:style w:type="character" w:styleId="27">
    <w:name w:val="page number"/>
    <w:basedOn w:val="25"/>
    <w:qFormat/>
    <w:uiPriority w:val="0"/>
  </w:style>
  <w:style w:type="character" w:styleId="28">
    <w:name w:val="Hyperlink"/>
    <w:qFormat/>
    <w:uiPriority w:val="99"/>
    <w:rPr>
      <w:color w:val="000000"/>
      <w:u w:val="none"/>
    </w:rPr>
  </w:style>
  <w:style w:type="character" w:styleId="29">
    <w:name w:val="annotation reference"/>
    <w:qFormat/>
    <w:uiPriority w:val="0"/>
    <w:rPr>
      <w:sz w:val="21"/>
      <w:szCs w:val="21"/>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2">
    <w:name w:val="正文首行缩进 2 Char"/>
    <w:link w:val="33"/>
    <w:qFormat/>
    <w:uiPriority w:val="0"/>
    <w:rPr>
      <w:rFonts w:eastAsia="宋体"/>
      <w:kern w:val="2"/>
      <w:sz w:val="21"/>
      <w:szCs w:val="24"/>
      <w:lang w:bidi="ar-SA"/>
    </w:rPr>
  </w:style>
  <w:style w:type="paragraph" w:customStyle="1" w:styleId="33">
    <w:name w:val="正文首行缩进 21"/>
    <w:basedOn w:val="1"/>
    <w:link w:val="32"/>
    <w:qFormat/>
    <w:uiPriority w:val="0"/>
    <w:pPr>
      <w:spacing w:after="120" w:line="360" w:lineRule="auto"/>
      <w:ind w:left="420" w:leftChars="200" w:firstLine="420" w:firstLineChars="200"/>
    </w:pPr>
    <w:rPr>
      <w:szCs w:val="24"/>
    </w:rPr>
  </w:style>
  <w:style w:type="character" w:customStyle="1" w:styleId="34">
    <w:name w:val="表格 Char"/>
    <w:link w:val="35"/>
    <w:qFormat/>
    <w:uiPriority w:val="0"/>
    <w:rPr>
      <w:rFonts w:ascii="昆仑仿宋" w:eastAsia="昆仑仿宋"/>
      <w:sz w:val="24"/>
      <w:lang w:val="en-US" w:eastAsia="zh-CN" w:bidi="ar-SA"/>
    </w:rPr>
  </w:style>
  <w:style w:type="paragraph" w:customStyle="1" w:styleId="35">
    <w:name w:val="表格"/>
    <w:basedOn w:val="1"/>
    <w:link w:val="34"/>
    <w:qFormat/>
    <w:uiPriority w:val="0"/>
    <w:pPr>
      <w:adjustRightInd w:val="0"/>
      <w:spacing w:before="40" w:after="40"/>
      <w:textAlignment w:val="baseline"/>
    </w:pPr>
    <w:rPr>
      <w:rFonts w:ascii="昆仑仿宋" w:eastAsia="昆仑仿宋"/>
      <w:kern w:val="0"/>
      <w:sz w:val="24"/>
    </w:rPr>
  </w:style>
  <w:style w:type="character" w:customStyle="1" w:styleId="36">
    <w:name w:val="样式 题注 + 黑色 Char"/>
    <w:link w:val="37"/>
    <w:qFormat/>
    <w:uiPriority w:val="0"/>
    <w:rPr>
      <w:rFonts w:ascii="Arial" w:hAnsi="Arial" w:cs="Arial"/>
      <w:b/>
      <w:bCs/>
      <w:color w:val="000000"/>
      <w:kern w:val="2"/>
      <w:sz w:val="24"/>
    </w:rPr>
  </w:style>
  <w:style w:type="paragraph" w:customStyle="1" w:styleId="37">
    <w:name w:val="样式 题注 + 黑色"/>
    <w:basedOn w:val="12"/>
    <w:link w:val="36"/>
    <w:qFormat/>
    <w:uiPriority w:val="0"/>
    <w:pPr>
      <w:tabs>
        <w:tab w:val="center" w:pos="10467"/>
        <w:tab w:val="left" w:pos="13095"/>
      </w:tabs>
      <w:spacing w:afterLines="50"/>
      <w:jc w:val="center"/>
    </w:pPr>
    <w:rPr>
      <w:rFonts w:eastAsia="宋体"/>
      <w:b/>
      <w:bCs/>
      <w:color w:val="000000"/>
      <w:sz w:val="24"/>
    </w:rPr>
  </w:style>
  <w:style w:type="character" w:customStyle="1" w:styleId="38">
    <w:name w:val="样式 宋体 小四"/>
    <w:qFormat/>
    <w:uiPriority w:val="0"/>
    <w:rPr>
      <w:rFonts w:ascii="Times New Roman" w:hAnsi="Times New Roman" w:eastAsia="宋体"/>
      <w:kern w:val="0"/>
      <w:sz w:val="24"/>
    </w:rPr>
  </w:style>
  <w:style w:type="character" w:customStyle="1" w:styleId="39">
    <w:name w:val="表格文字2 Char Char"/>
    <w:link w:val="40"/>
    <w:qFormat/>
    <w:uiPriority w:val="0"/>
    <w:rPr>
      <w:sz w:val="21"/>
      <w:szCs w:val="21"/>
    </w:rPr>
  </w:style>
  <w:style w:type="paragraph" w:customStyle="1" w:styleId="40">
    <w:name w:val="表格文字2"/>
    <w:basedOn w:val="1"/>
    <w:link w:val="39"/>
    <w:qFormat/>
    <w:uiPriority w:val="0"/>
    <w:pPr>
      <w:tabs>
        <w:tab w:val="left" w:pos="277"/>
        <w:tab w:val="left" w:pos="600"/>
        <w:tab w:val="left" w:pos="780"/>
        <w:tab w:val="left" w:pos="2517"/>
      </w:tabs>
      <w:adjustRightInd w:val="0"/>
      <w:jc w:val="center"/>
      <w:textAlignment w:val="baseline"/>
    </w:pPr>
    <w:rPr>
      <w:kern w:val="0"/>
      <w:szCs w:val="21"/>
    </w:rPr>
  </w:style>
  <w:style w:type="character" w:customStyle="1" w:styleId="41">
    <w:name w:val="标题1"/>
    <w:basedOn w:val="25"/>
    <w:qFormat/>
    <w:uiPriority w:val="0"/>
  </w:style>
  <w:style w:type="character" w:customStyle="1" w:styleId="42">
    <w:name w:val="Char Char7"/>
    <w:qFormat/>
    <w:uiPriority w:val="0"/>
    <w:rPr>
      <w:rFonts w:eastAsia="宋体"/>
      <w:lang w:val="en-US" w:eastAsia="zh-CN" w:bidi="ar-SA"/>
    </w:rPr>
  </w:style>
  <w:style w:type="character" w:customStyle="1" w:styleId="43">
    <w:name w:val="apple-style-span"/>
    <w:basedOn w:val="25"/>
    <w:qFormat/>
    <w:uiPriority w:val="0"/>
  </w:style>
  <w:style w:type="character" w:customStyle="1" w:styleId="44">
    <w:name w:val="正文文本 Char"/>
    <w:basedOn w:val="25"/>
    <w:link w:val="2"/>
    <w:qFormat/>
    <w:uiPriority w:val="0"/>
    <w:rPr>
      <w:kern w:val="2"/>
      <w:sz w:val="21"/>
    </w:rPr>
  </w:style>
  <w:style w:type="character" w:customStyle="1" w:styleId="45">
    <w:name w:val="中气表头 Char"/>
    <w:link w:val="46"/>
    <w:qFormat/>
    <w:uiPriority w:val="0"/>
    <w:rPr>
      <w:rFonts w:ascii="黑体" w:eastAsia="黑体"/>
      <w:b/>
      <w:kern w:val="2"/>
      <w:sz w:val="21"/>
      <w:lang w:val="en-US" w:eastAsia="zh-CN" w:bidi="ar-SA"/>
    </w:rPr>
  </w:style>
  <w:style w:type="paragraph" w:customStyle="1" w:styleId="46">
    <w:name w:val="中气表头"/>
    <w:basedOn w:val="1"/>
    <w:link w:val="45"/>
    <w:qFormat/>
    <w:uiPriority w:val="0"/>
    <w:pPr>
      <w:jc w:val="center"/>
    </w:pPr>
    <w:rPr>
      <w:rFonts w:ascii="黑体" w:eastAsia="黑体"/>
      <w:b/>
    </w:rPr>
  </w:style>
  <w:style w:type="character" w:customStyle="1" w:styleId="47">
    <w:name w:val="ca-1"/>
    <w:basedOn w:val="25"/>
    <w:qFormat/>
    <w:uiPriority w:val="0"/>
  </w:style>
  <w:style w:type="character" w:customStyle="1" w:styleId="48">
    <w:name w:val="postbody1"/>
    <w:qFormat/>
    <w:uiPriority w:val="0"/>
    <w:rPr>
      <w:sz w:val="21"/>
    </w:rPr>
  </w:style>
  <w:style w:type="character" w:customStyle="1" w:styleId="49">
    <w:name w:val="正文缩进 Char1"/>
    <w:link w:val="11"/>
    <w:qFormat/>
    <w:uiPriority w:val="0"/>
    <w:rPr>
      <w:rFonts w:ascii="宋体" w:hAnsi="宋体" w:eastAsia="宋体"/>
      <w:kern w:val="2"/>
      <w:sz w:val="21"/>
      <w:lang w:val="en-US" w:eastAsia="zh-CN" w:bidi="ar-SA"/>
    </w:rPr>
  </w:style>
  <w:style w:type="character" w:customStyle="1" w:styleId="50">
    <w:name w:val="批注文字 Char"/>
    <w:link w:val="9"/>
    <w:qFormat/>
    <w:uiPriority w:val="0"/>
    <w:rPr>
      <w:rFonts w:eastAsia="宋体"/>
      <w:kern w:val="2"/>
      <w:sz w:val="21"/>
      <w:lang w:val="en-US" w:eastAsia="zh-CN" w:bidi="ar-SA"/>
    </w:rPr>
  </w:style>
  <w:style w:type="character" w:customStyle="1" w:styleId="51">
    <w:name w:val="报告正文 Char"/>
    <w:link w:val="52"/>
    <w:qFormat/>
    <w:uiPriority w:val="0"/>
    <w:rPr>
      <w:rFonts w:ascii="宋体" w:eastAsia="宋体"/>
      <w:kern w:val="2"/>
      <w:sz w:val="24"/>
      <w:lang w:val="en-US" w:eastAsia="zh-CN" w:bidi="ar-SA"/>
    </w:rPr>
  </w:style>
  <w:style w:type="paragraph" w:customStyle="1" w:styleId="52">
    <w:name w:val="报告正文"/>
    <w:basedOn w:val="1"/>
    <w:link w:val="51"/>
    <w:qFormat/>
    <w:uiPriority w:val="0"/>
    <w:pPr>
      <w:adjustRightInd w:val="0"/>
      <w:snapToGrid w:val="0"/>
      <w:spacing w:line="360" w:lineRule="auto"/>
      <w:ind w:firstLine="200" w:firstLineChars="200"/>
    </w:pPr>
    <w:rPr>
      <w:rFonts w:ascii="宋体"/>
      <w:sz w:val="24"/>
    </w:rPr>
  </w:style>
  <w:style w:type="character" w:customStyle="1" w:styleId="53">
    <w:name w:val="样式 (符号) 宋体 小四 行距: 1.5 倍行距 Char"/>
    <w:link w:val="54"/>
    <w:qFormat/>
    <w:uiPriority w:val="0"/>
    <w:rPr>
      <w:rFonts w:hAnsi="宋体" w:cs="宋体"/>
      <w:kern w:val="2"/>
      <w:sz w:val="24"/>
      <w:szCs w:val="24"/>
    </w:rPr>
  </w:style>
  <w:style w:type="paragraph" w:customStyle="1" w:styleId="54">
    <w:name w:val="样式 (符号) 宋体 小四 行距: 1.5 倍行距"/>
    <w:basedOn w:val="1"/>
    <w:link w:val="53"/>
    <w:qFormat/>
    <w:uiPriority w:val="0"/>
    <w:pPr>
      <w:spacing w:line="360" w:lineRule="auto"/>
      <w:ind w:firstLine="480" w:firstLineChars="200"/>
    </w:pPr>
    <w:rPr>
      <w:rFonts w:hAnsi="宋体"/>
      <w:sz w:val="24"/>
      <w:szCs w:val="24"/>
    </w:rPr>
  </w:style>
  <w:style w:type="character" w:customStyle="1" w:styleId="55">
    <w:name w:val="题注 Char"/>
    <w:link w:val="12"/>
    <w:qFormat/>
    <w:uiPriority w:val="0"/>
    <w:rPr>
      <w:rFonts w:ascii="Arial" w:hAnsi="Arial" w:eastAsia="黑体" w:cs="Arial"/>
      <w:kern w:val="2"/>
    </w:rPr>
  </w:style>
  <w:style w:type="character" w:customStyle="1" w:styleId="56">
    <w:name w:val="aa正文 Char"/>
    <w:link w:val="57"/>
    <w:qFormat/>
    <w:uiPriority w:val="0"/>
    <w:rPr>
      <w:kern w:val="2"/>
      <w:sz w:val="24"/>
      <w:szCs w:val="24"/>
    </w:rPr>
  </w:style>
  <w:style w:type="paragraph" w:customStyle="1" w:styleId="57">
    <w:name w:val="aa正文"/>
    <w:basedOn w:val="1"/>
    <w:link w:val="56"/>
    <w:qFormat/>
    <w:uiPriority w:val="0"/>
    <w:pPr>
      <w:spacing w:line="360" w:lineRule="auto"/>
      <w:ind w:firstLine="200" w:firstLineChars="200"/>
    </w:pPr>
    <w:rPr>
      <w:sz w:val="24"/>
      <w:szCs w:val="24"/>
    </w:rPr>
  </w:style>
  <w:style w:type="character" w:customStyle="1" w:styleId="58">
    <w:name w:val="段落 Char1 Char"/>
    <w:link w:val="59"/>
    <w:qFormat/>
    <w:uiPriority w:val="0"/>
    <w:rPr>
      <w:rFonts w:hAnsi="宋体" w:eastAsia="宋体"/>
      <w:bCs/>
      <w:color w:val="000000"/>
      <w:spacing w:val="6"/>
      <w:sz w:val="24"/>
      <w:szCs w:val="28"/>
      <w:lang w:val="en-US" w:eastAsia="zh-CN" w:bidi="ar-SA"/>
    </w:rPr>
  </w:style>
  <w:style w:type="paragraph" w:customStyle="1" w:styleId="59">
    <w:name w:val="段落 Char1"/>
    <w:basedOn w:val="1"/>
    <w:link w:val="58"/>
    <w:qFormat/>
    <w:uiPriority w:val="0"/>
    <w:pPr>
      <w:tabs>
        <w:tab w:val="left" w:pos="1021"/>
      </w:tabs>
      <w:spacing w:line="360" w:lineRule="auto"/>
      <w:ind w:firstLine="504" w:firstLineChars="200"/>
    </w:pPr>
    <w:rPr>
      <w:rFonts w:hAnsi="宋体"/>
      <w:bCs/>
      <w:color w:val="000000"/>
      <w:spacing w:val="6"/>
      <w:kern w:val="0"/>
      <w:sz w:val="24"/>
      <w:szCs w:val="28"/>
    </w:rPr>
  </w:style>
  <w:style w:type="character" w:customStyle="1" w:styleId="60">
    <w:name w:val="font11"/>
    <w:qFormat/>
    <w:uiPriority w:val="0"/>
    <w:rPr>
      <w:rFonts w:hint="default" w:ascii="Times New Roman" w:hAnsi="Times New Roman" w:cs="Times New Roman"/>
      <w:color w:val="000000"/>
      <w:sz w:val="21"/>
      <w:szCs w:val="21"/>
      <w:u w:val="none"/>
      <w:vertAlign w:val="subscript"/>
    </w:rPr>
  </w:style>
  <w:style w:type="character" w:customStyle="1" w:styleId="61">
    <w:name w:val="魏秀珍  报告正文1 Char Char"/>
    <w:link w:val="62"/>
    <w:qFormat/>
    <w:uiPriority w:val="0"/>
    <w:rPr>
      <w:rFonts w:ascii="宋体" w:eastAsia="宋体"/>
      <w:kern w:val="2"/>
      <w:sz w:val="24"/>
      <w:lang w:val="en-US" w:eastAsia="zh-CN" w:bidi="ar-SA"/>
    </w:rPr>
  </w:style>
  <w:style w:type="paragraph" w:customStyle="1" w:styleId="62">
    <w:name w:val="魏秀珍  报告正文1"/>
    <w:basedOn w:val="1"/>
    <w:link w:val="61"/>
    <w:qFormat/>
    <w:uiPriority w:val="0"/>
    <w:pPr>
      <w:adjustRightInd w:val="0"/>
      <w:snapToGrid w:val="0"/>
      <w:spacing w:line="360" w:lineRule="auto"/>
      <w:ind w:firstLine="200" w:firstLineChars="200"/>
    </w:pPr>
    <w:rPr>
      <w:rFonts w:ascii="宋体"/>
      <w:sz w:val="24"/>
    </w:rPr>
  </w:style>
  <w:style w:type="character" w:customStyle="1" w:styleId="63">
    <w:name w:val="正文内容 Char"/>
    <w:link w:val="64"/>
    <w:qFormat/>
    <w:uiPriority w:val="0"/>
    <w:rPr>
      <w:sz w:val="24"/>
      <w:szCs w:val="21"/>
    </w:rPr>
  </w:style>
  <w:style w:type="paragraph" w:customStyle="1" w:styleId="64">
    <w:name w:val="正文内容"/>
    <w:basedOn w:val="1"/>
    <w:link w:val="63"/>
    <w:qFormat/>
    <w:uiPriority w:val="0"/>
    <w:pPr>
      <w:spacing w:line="360" w:lineRule="auto"/>
      <w:ind w:firstLine="200" w:firstLineChars="200"/>
    </w:pPr>
    <w:rPr>
      <w:kern w:val="0"/>
      <w:sz w:val="24"/>
      <w:szCs w:val="21"/>
    </w:rPr>
  </w:style>
  <w:style w:type="character" w:customStyle="1" w:styleId="65">
    <w:name w:val="font41"/>
    <w:qFormat/>
    <w:uiPriority w:val="0"/>
    <w:rPr>
      <w:rFonts w:hint="default" w:ascii="Times New Roman" w:hAnsi="Times New Roman" w:cs="Times New Roman"/>
      <w:color w:val="000000"/>
      <w:sz w:val="21"/>
      <w:szCs w:val="21"/>
      <w:u w:val="none"/>
    </w:rPr>
  </w:style>
  <w:style w:type="character" w:customStyle="1" w:styleId="66">
    <w:name w:val="标题 4 Char"/>
    <w:link w:val="6"/>
    <w:qFormat/>
    <w:uiPriority w:val="0"/>
    <w:rPr>
      <w:rFonts w:ascii="Arial" w:hAnsi="Arial" w:eastAsia="黑体"/>
      <w:b/>
      <w:bCs/>
      <w:kern w:val="2"/>
      <w:sz w:val="28"/>
      <w:szCs w:val="28"/>
    </w:rPr>
  </w:style>
  <w:style w:type="character" w:customStyle="1" w:styleId="67">
    <w:name w:val="Char Char1"/>
    <w:qFormat/>
    <w:uiPriority w:val="0"/>
    <w:rPr>
      <w:rFonts w:ascii="Tahoma" w:hAnsi="Tahoma" w:eastAsia="宋体"/>
      <w:kern w:val="2"/>
      <w:sz w:val="21"/>
      <w:szCs w:val="24"/>
      <w:lang w:val="en-US" w:eastAsia="zh-CN" w:bidi="ar-SA"/>
    </w:rPr>
  </w:style>
  <w:style w:type="character" w:customStyle="1" w:styleId="68">
    <w:name w:val="正文缩进 Char"/>
    <w:qFormat/>
    <w:locked/>
    <w:uiPriority w:val="0"/>
    <w:rPr>
      <w:rFonts w:eastAsia="宋体" w:cs="Times New Roman"/>
      <w:kern w:val="2"/>
      <w:sz w:val="28"/>
      <w:szCs w:val="28"/>
      <w:lang w:val="en-US" w:eastAsia="zh-CN"/>
    </w:rPr>
  </w:style>
  <w:style w:type="character" w:customStyle="1" w:styleId="69">
    <w:name w:val="段落 Char"/>
    <w:link w:val="70"/>
    <w:qFormat/>
    <w:uiPriority w:val="0"/>
    <w:rPr>
      <w:rFonts w:eastAsia="宋体"/>
      <w:spacing w:val="6"/>
      <w:kern w:val="24"/>
      <w:sz w:val="24"/>
      <w:lang w:bidi="ar-SA"/>
    </w:rPr>
  </w:style>
  <w:style w:type="paragraph" w:customStyle="1" w:styleId="70">
    <w:name w:val="段落"/>
    <w:basedOn w:val="1"/>
    <w:link w:val="69"/>
    <w:qFormat/>
    <w:uiPriority w:val="0"/>
    <w:pPr>
      <w:tabs>
        <w:tab w:val="left" w:pos="1021"/>
      </w:tabs>
      <w:spacing w:line="360" w:lineRule="auto"/>
      <w:ind w:firstLine="504"/>
    </w:pPr>
    <w:rPr>
      <w:spacing w:val="6"/>
      <w:kern w:val="24"/>
      <w:sz w:val="24"/>
    </w:rPr>
  </w:style>
  <w:style w:type="character" w:customStyle="1" w:styleId="71">
    <w:name w:val="content1"/>
    <w:qFormat/>
    <w:uiPriority w:val="0"/>
    <w:rPr>
      <w:color w:val="000000"/>
      <w:sz w:val="20"/>
      <w:szCs w:val="20"/>
    </w:rPr>
  </w:style>
  <w:style w:type="character" w:customStyle="1" w:styleId="72">
    <w:name w:val="表格文字 Char"/>
    <w:link w:val="73"/>
    <w:qFormat/>
    <w:uiPriority w:val="0"/>
    <w:rPr>
      <w:rFonts w:ascii="宋体" w:hAnsi="宋体" w:eastAsia="宋体"/>
      <w:kern w:val="2"/>
      <w:sz w:val="21"/>
      <w:lang w:val="en-US" w:eastAsia="zh-CN" w:bidi="ar-SA"/>
    </w:rPr>
  </w:style>
  <w:style w:type="paragraph" w:customStyle="1" w:styleId="73">
    <w:name w:val="表格文字"/>
    <w:basedOn w:val="1"/>
    <w:link w:val="72"/>
    <w:qFormat/>
    <w:uiPriority w:val="0"/>
    <w:pPr>
      <w:adjustRightInd w:val="0"/>
      <w:snapToGrid w:val="0"/>
      <w:jc w:val="center"/>
    </w:pPr>
    <w:rPr>
      <w:rFonts w:ascii="宋体" w:hAnsi="宋体"/>
    </w:rPr>
  </w:style>
  <w:style w:type="character" w:customStyle="1" w:styleId="74">
    <w:name w:val="Default Char"/>
    <w:link w:val="75"/>
    <w:qFormat/>
    <w:uiPriority w:val="0"/>
    <w:rPr>
      <w:rFonts w:ascii="Sim Sun+ 2" w:eastAsia="Sim Sun+ 2"/>
      <w:color w:val="000000"/>
      <w:sz w:val="24"/>
      <w:szCs w:val="24"/>
      <w:lang w:val="en-US" w:eastAsia="zh-CN" w:bidi="ar-SA"/>
    </w:rPr>
  </w:style>
  <w:style w:type="paragraph" w:customStyle="1" w:styleId="75">
    <w:name w:val="Default"/>
    <w:link w:val="74"/>
    <w:qFormat/>
    <w:uiPriority w:val="0"/>
    <w:pPr>
      <w:widowControl w:val="0"/>
      <w:autoSpaceDE w:val="0"/>
      <w:autoSpaceDN w:val="0"/>
      <w:adjustRightInd w:val="0"/>
    </w:pPr>
    <w:rPr>
      <w:rFonts w:ascii="Sim Sun+ 2" w:hAnsi="Times New Roman" w:eastAsia="Sim Sun+ 2" w:cs="Times New Roman"/>
      <w:color w:val="000000"/>
      <w:sz w:val="24"/>
      <w:szCs w:val="24"/>
      <w:lang w:val="en-US" w:eastAsia="zh-CN" w:bidi="ar-SA"/>
    </w:rPr>
  </w:style>
  <w:style w:type="character" w:customStyle="1" w:styleId="76">
    <w:name w:val="正文首行缩进 2 + Times New Roman Char Char"/>
    <w:link w:val="77"/>
    <w:qFormat/>
    <w:uiPriority w:val="0"/>
    <w:rPr>
      <w:sz w:val="24"/>
      <w:szCs w:val="24"/>
      <w:lang w:bidi="ar-SA"/>
    </w:rPr>
  </w:style>
  <w:style w:type="paragraph" w:customStyle="1" w:styleId="77">
    <w:name w:val="正文首行缩进 2 + Times New Roman"/>
    <w:basedOn w:val="1"/>
    <w:link w:val="76"/>
    <w:qFormat/>
    <w:uiPriority w:val="0"/>
    <w:pPr>
      <w:tabs>
        <w:tab w:val="left" w:pos="0"/>
        <w:tab w:val="left" w:pos="870"/>
        <w:tab w:val="left" w:pos="3150"/>
      </w:tabs>
      <w:autoSpaceDE w:val="0"/>
      <w:autoSpaceDN w:val="0"/>
      <w:spacing w:line="360" w:lineRule="auto"/>
      <w:ind w:firstLine="480" w:firstLineChars="200"/>
      <w:jc w:val="left"/>
    </w:pPr>
    <w:rPr>
      <w:kern w:val="0"/>
      <w:sz w:val="24"/>
      <w:szCs w:val="24"/>
    </w:rPr>
  </w:style>
  <w:style w:type="character" w:customStyle="1" w:styleId="78">
    <w:name w:val="C 3级标题 Char"/>
    <w:link w:val="79"/>
    <w:qFormat/>
    <w:uiPriority w:val="0"/>
    <w:rPr>
      <w:b/>
      <w:bCs/>
      <w:color w:val="FF00FF"/>
      <w:kern w:val="2"/>
      <w:sz w:val="24"/>
      <w:szCs w:val="30"/>
    </w:rPr>
  </w:style>
  <w:style w:type="paragraph" w:customStyle="1" w:styleId="79">
    <w:name w:val="C 3级标题"/>
    <w:basedOn w:val="5"/>
    <w:link w:val="78"/>
    <w:qFormat/>
    <w:uiPriority w:val="0"/>
    <w:pPr>
      <w:keepNext w:val="0"/>
      <w:keepLines w:val="0"/>
      <w:tabs>
        <w:tab w:val="left" w:pos="720"/>
      </w:tabs>
      <w:adjustRightInd w:val="0"/>
      <w:snapToGrid w:val="0"/>
      <w:spacing w:before="0" w:after="0" w:line="360" w:lineRule="auto"/>
      <w:ind w:firstLine="482" w:firstLineChars="200"/>
      <w:outlineLvl w:val="9"/>
    </w:pPr>
    <w:rPr>
      <w:color w:val="FF00FF"/>
      <w:sz w:val="24"/>
      <w:szCs w:val="30"/>
    </w:rPr>
  </w:style>
  <w:style w:type="character" w:customStyle="1" w:styleId="80">
    <w:name w:val="报告书正文 Char Char Char Char Char"/>
    <w:link w:val="81"/>
    <w:qFormat/>
    <w:uiPriority w:val="0"/>
    <w:rPr>
      <w:rFonts w:ascii="宋体" w:hAnsi="宋体"/>
      <w:kern w:val="2"/>
      <w:sz w:val="24"/>
      <w:lang w:bidi="ar-SA"/>
    </w:rPr>
  </w:style>
  <w:style w:type="paragraph" w:customStyle="1" w:styleId="81">
    <w:name w:val="报告书正文 Char Char Char"/>
    <w:basedOn w:val="1"/>
    <w:link w:val="80"/>
    <w:qFormat/>
    <w:uiPriority w:val="0"/>
    <w:pPr>
      <w:spacing w:line="300" w:lineRule="auto"/>
      <w:ind w:firstLine="480" w:firstLineChars="200"/>
    </w:pPr>
    <w:rPr>
      <w:rFonts w:ascii="宋体" w:hAnsi="宋体"/>
      <w:sz w:val="24"/>
    </w:rPr>
  </w:style>
  <w:style w:type="character" w:customStyle="1" w:styleId="82">
    <w:name w:val="标题 1 Char"/>
    <w:link w:val="3"/>
    <w:qFormat/>
    <w:uiPriority w:val="0"/>
    <w:rPr>
      <w:b/>
      <w:bCs/>
      <w:kern w:val="44"/>
      <w:sz w:val="44"/>
      <w:szCs w:val="44"/>
    </w:rPr>
  </w:style>
  <w:style w:type="character" w:customStyle="1" w:styleId="83">
    <w:name w:val="正文首行缩进 Char"/>
    <w:link w:val="10"/>
    <w:qFormat/>
    <w:uiPriority w:val="0"/>
    <w:rPr>
      <w:rFonts w:eastAsia="宋体"/>
      <w:sz w:val="28"/>
      <w:lang w:val="en-US" w:eastAsia="zh-CN" w:bidi="ar-SA"/>
    </w:rPr>
  </w:style>
  <w:style w:type="character" w:customStyle="1" w:styleId="84">
    <w:name w:val="font61"/>
    <w:qFormat/>
    <w:uiPriority w:val="0"/>
    <w:rPr>
      <w:rFonts w:hint="eastAsia" w:ascii="宋体" w:hAnsi="宋体" w:eastAsia="宋体"/>
      <w:b/>
      <w:bCs/>
      <w:color w:val="000000"/>
      <w:sz w:val="21"/>
      <w:szCs w:val="21"/>
      <w:u w:val="none"/>
    </w:rPr>
  </w:style>
  <w:style w:type="character" w:customStyle="1" w:styleId="85">
    <w:name w:val="页脚 Char"/>
    <w:link w:val="19"/>
    <w:qFormat/>
    <w:uiPriority w:val="0"/>
    <w:rPr>
      <w:kern w:val="2"/>
      <w:sz w:val="18"/>
    </w:rPr>
  </w:style>
  <w:style w:type="character" w:customStyle="1" w:styleId="86">
    <w:name w:val="标题 2 Char"/>
    <w:link w:val="4"/>
    <w:qFormat/>
    <w:uiPriority w:val="0"/>
    <w:rPr>
      <w:rFonts w:ascii="Arial" w:hAnsi="Arial" w:eastAsia="黑体"/>
      <w:b/>
      <w:bCs/>
      <w:kern w:val="2"/>
      <w:sz w:val="32"/>
      <w:szCs w:val="32"/>
      <w:lang w:val="en-US" w:eastAsia="zh-CN" w:bidi="ar-SA"/>
    </w:rPr>
  </w:style>
  <w:style w:type="character" w:customStyle="1" w:styleId="87">
    <w:name w:val="纯文本 Char"/>
    <w:link w:val="16"/>
    <w:qFormat/>
    <w:uiPriority w:val="0"/>
    <w:rPr>
      <w:rFonts w:ascii="宋体" w:hAnsi="Courier New" w:eastAsia="宋体"/>
      <w:kern w:val="2"/>
      <w:sz w:val="21"/>
      <w:lang w:val="en-US" w:eastAsia="zh-CN" w:bidi="ar-SA"/>
    </w:rPr>
  </w:style>
  <w:style w:type="character" w:customStyle="1" w:styleId="88">
    <w:name w:val="font01"/>
    <w:qFormat/>
    <w:uiPriority w:val="0"/>
    <w:rPr>
      <w:rFonts w:hint="default" w:ascii="Times New Roman" w:hAnsi="Times New Roman" w:cs="Times New Roman"/>
      <w:color w:val="000000"/>
      <w:sz w:val="21"/>
      <w:szCs w:val="21"/>
      <w:u w:val="none"/>
    </w:rPr>
  </w:style>
  <w:style w:type="character" w:customStyle="1" w:styleId="89">
    <w:name w:val="哈哈正文 Char"/>
    <w:link w:val="90"/>
    <w:qFormat/>
    <w:uiPriority w:val="0"/>
    <w:rPr>
      <w:rFonts w:ascii="宋体" w:hAnsi="宋体"/>
      <w:kern w:val="2"/>
      <w:sz w:val="24"/>
      <w:szCs w:val="24"/>
    </w:rPr>
  </w:style>
  <w:style w:type="paragraph" w:customStyle="1" w:styleId="90">
    <w:name w:val="哈哈正文"/>
    <w:basedOn w:val="1"/>
    <w:link w:val="89"/>
    <w:qFormat/>
    <w:uiPriority w:val="0"/>
    <w:pPr>
      <w:tabs>
        <w:tab w:val="left" w:pos="480"/>
      </w:tabs>
      <w:spacing w:line="360" w:lineRule="auto"/>
      <w:ind w:firstLine="200" w:firstLineChars="200"/>
    </w:pPr>
    <w:rPr>
      <w:rFonts w:ascii="宋体" w:hAnsi="宋体"/>
      <w:sz w:val="24"/>
      <w:szCs w:val="24"/>
    </w:rPr>
  </w:style>
  <w:style w:type="character" w:customStyle="1" w:styleId="91">
    <w:name w:val="正文文本缩进 Char"/>
    <w:link w:val="15"/>
    <w:qFormat/>
    <w:uiPriority w:val="0"/>
    <w:rPr>
      <w:rFonts w:eastAsia="宋体"/>
      <w:kern w:val="2"/>
      <w:sz w:val="21"/>
      <w:szCs w:val="24"/>
      <w:lang w:val="en-US" w:eastAsia="zh-CN" w:bidi="ar-SA"/>
    </w:rPr>
  </w:style>
  <w:style w:type="character" w:customStyle="1" w:styleId="92">
    <w:name w:val="font21"/>
    <w:qFormat/>
    <w:uiPriority w:val="0"/>
    <w:rPr>
      <w:rFonts w:hint="default" w:ascii="Times New Roman" w:hAnsi="Times New Roman" w:cs="Times New Roman"/>
      <w:color w:val="000000"/>
      <w:sz w:val="21"/>
      <w:szCs w:val="21"/>
      <w:u w:val="none"/>
      <w:vertAlign w:val="superscript"/>
    </w:rPr>
  </w:style>
  <w:style w:type="character" w:customStyle="1" w:styleId="93">
    <w:name w:val="font31"/>
    <w:qFormat/>
    <w:uiPriority w:val="0"/>
    <w:rPr>
      <w:rFonts w:hint="default" w:ascii="Times New Roman" w:hAnsi="Times New Roman" w:cs="Times New Roman"/>
      <w:b/>
      <w:bCs/>
      <w:color w:val="000000"/>
      <w:sz w:val="21"/>
      <w:szCs w:val="21"/>
      <w:u w:val="none"/>
    </w:rPr>
  </w:style>
  <w:style w:type="character" w:customStyle="1" w:styleId="94">
    <w:name w:val="font51"/>
    <w:qFormat/>
    <w:uiPriority w:val="0"/>
    <w:rPr>
      <w:rFonts w:hint="eastAsia" w:ascii="宋体" w:hAnsi="宋体" w:eastAsia="宋体"/>
      <w:color w:val="000000"/>
      <w:sz w:val="21"/>
      <w:szCs w:val="21"/>
      <w:u w:val="none"/>
    </w:rPr>
  </w:style>
  <w:style w:type="character" w:customStyle="1" w:styleId="95">
    <w:name w:val="标题 3 Char Char"/>
    <w:qFormat/>
    <w:uiPriority w:val="0"/>
    <w:rPr>
      <w:rFonts w:eastAsia="宋体"/>
      <w:b/>
      <w:bCs/>
      <w:kern w:val="2"/>
      <w:sz w:val="32"/>
      <w:szCs w:val="32"/>
      <w:lang w:val="en-US" w:eastAsia="zh-CN" w:bidi="ar-SA"/>
    </w:rPr>
  </w:style>
  <w:style w:type="character" w:customStyle="1" w:styleId="96">
    <w:name w:val="节 Char"/>
    <w:qFormat/>
    <w:uiPriority w:val="0"/>
    <w:rPr>
      <w:rFonts w:ascii="Arial" w:hAnsi="Arial" w:eastAsia="黑体"/>
      <w:b/>
      <w:bCs/>
      <w:kern w:val="2"/>
      <w:sz w:val="32"/>
      <w:szCs w:val="32"/>
      <w:lang w:val="en-US" w:eastAsia="zh-CN" w:bidi="ar-SA"/>
    </w:rPr>
  </w:style>
  <w:style w:type="character" w:customStyle="1" w:styleId="97">
    <w:name w:val="图片标题_"/>
    <w:basedOn w:val="25"/>
    <w:link w:val="98"/>
    <w:qFormat/>
    <w:locked/>
    <w:uiPriority w:val="0"/>
    <w:rPr>
      <w:rFonts w:ascii="MingLiU" w:eastAsia="MingLiU"/>
      <w:spacing w:val="7"/>
      <w:sz w:val="22"/>
      <w:szCs w:val="22"/>
      <w:lang w:bidi="ar-SA"/>
    </w:rPr>
  </w:style>
  <w:style w:type="paragraph" w:customStyle="1" w:styleId="98">
    <w:name w:val="图片标题"/>
    <w:basedOn w:val="1"/>
    <w:link w:val="97"/>
    <w:qFormat/>
    <w:uiPriority w:val="0"/>
    <w:pPr>
      <w:shd w:val="clear" w:color="auto" w:fill="FFFFFF"/>
      <w:spacing w:line="240" w:lineRule="atLeast"/>
      <w:jc w:val="left"/>
    </w:pPr>
    <w:rPr>
      <w:rFonts w:ascii="MingLiU" w:eastAsia="MingLiU"/>
      <w:spacing w:val="7"/>
      <w:kern w:val="0"/>
      <w:sz w:val="22"/>
      <w:szCs w:val="22"/>
    </w:rPr>
  </w:style>
  <w:style w:type="character" w:customStyle="1" w:styleId="99">
    <w:name w:val="图片标题 + Batang"/>
    <w:basedOn w:val="97"/>
    <w:qFormat/>
    <w:uiPriority w:val="0"/>
    <w:rPr>
      <w:rFonts w:ascii="Batang" w:eastAsia="Batang" w:cs="Batang"/>
      <w:spacing w:val="-5"/>
      <w:sz w:val="21"/>
      <w:szCs w:val="21"/>
      <w:lang w:val="en-US" w:eastAsia="en-US" w:bidi="ar-SA"/>
    </w:rPr>
  </w:style>
  <w:style w:type="character" w:customStyle="1" w:styleId="100">
    <w:name w:val="正文文本_"/>
    <w:basedOn w:val="25"/>
    <w:qFormat/>
    <w:locked/>
    <w:uiPriority w:val="0"/>
    <w:rPr>
      <w:rFonts w:ascii="MingLiU" w:eastAsia="MingLiU" w:cs="MingLiU"/>
      <w:spacing w:val="7"/>
      <w:sz w:val="22"/>
      <w:szCs w:val="22"/>
      <w:u w:val="none"/>
    </w:rPr>
  </w:style>
  <w:style w:type="character" w:customStyle="1" w:styleId="101">
    <w:name w:val="正文文本 + Batang"/>
    <w:basedOn w:val="100"/>
    <w:qFormat/>
    <w:uiPriority w:val="0"/>
    <w:rPr>
      <w:rFonts w:ascii="Batang" w:eastAsia="Batang" w:cs="Batang"/>
      <w:spacing w:val="-5"/>
      <w:sz w:val="21"/>
      <w:szCs w:val="21"/>
      <w:u w:val="none"/>
      <w:lang w:val="en-US" w:eastAsia="en-US"/>
    </w:rPr>
  </w:style>
  <w:style w:type="character" w:customStyle="1" w:styleId="102">
    <w:name w:val="表格标题_"/>
    <w:basedOn w:val="25"/>
    <w:link w:val="103"/>
    <w:qFormat/>
    <w:locked/>
    <w:uiPriority w:val="0"/>
    <w:rPr>
      <w:rFonts w:ascii="MingLiU" w:eastAsia="MingLiU"/>
      <w:spacing w:val="7"/>
      <w:sz w:val="22"/>
      <w:szCs w:val="22"/>
      <w:lang w:bidi="ar-SA"/>
    </w:rPr>
  </w:style>
  <w:style w:type="paragraph" w:customStyle="1" w:styleId="103">
    <w:name w:val="表格标题"/>
    <w:basedOn w:val="1"/>
    <w:link w:val="102"/>
    <w:qFormat/>
    <w:uiPriority w:val="0"/>
    <w:pPr>
      <w:shd w:val="clear" w:color="auto" w:fill="FFFFFF"/>
      <w:spacing w:line="240" w:lineRule="atLeast"/>
      <w:jc w:val="left"/>
    </w:pPr>
    <w:rPr>
      <w:rFonts w:ascii="MingLiU" w:eastAsia="MingLiU"/>
      <w:spacing w:val="7"/>
      <w:kern w:val="0"/>
      <w:sz w:val="22"/>
      <w:szCs w:val="22"/>
    </w:rPr>
  </w:style>
  <w:style w:type="character" w:customStyle="1" w:styleId="104">
    <w:name w:val="表格标题 + Batang"/>
    <w:basedOn w:val="102"/>
    <w:qFormat/>
    <w:uiPriority w:val="0"/>
    <w:rPr>
      <w:rFonts w:ascii="Batang" w:eastAsia="Batang" w:cs="Batang"/>
      <w:spacing w:val="-5"/>
      <w:sz w:val="21"/>
      <w:szCs w:val="21"/>
      <w:lang w:val="en-US" w:eastAsia="en-US" w:bidi="ar-SA"/>
    </w:rPr>
  </w:style>
  <w:style w:type="character" w:customStyle="1" w:styleId="105">
    <w:name w:val="正文文本 + Batang4"/>
    <w:basedOn w:val="100"/>
    <w:qFormat/>
    <w:uiPriority w:val="0"/>
    <w:rPr>
      <w:rFonts w:ascii="Batang" w:eastAsia="Batang" w:cs="Batang"/>
      <w:spacing w:val="-5"/>
      <w:sz w:val="21"/>
      <w:szCs w:val="21"/>
      <w:u w:val="none"/>
      <w:lang w:val="en-US" w:eastAsia="en-US"/>
    </w:rPr>
  </w:style>
  <w:style w:type="character" w:customStyle="1" w:styleId="106">
    <w:name w:val="标题 #4_"/>
    <w:basedOn w:val="25"/>
    <w:link w:val="107"/>
    <w:qFormat/>
    <w:locked/>
    <w:uiPriority w:val="0"/>
    <w:rPr>
      <w:rFonts w:ascii="MingLiU" w:eastAsia="MingLiU"/>
      <w:spacing w:val="1"/>
      <w:sz w:val="28"/>
      <w:szCs w:val="28"/>
      <w:lang w:bidi="ar-SA"/>
    </w:rPr>
  </w:style>
  <w:style w:type="paragraph" w:customStyle="1" w:styleId="107">
    <w:name w:val="标题 #4"/>
    <w:basedOn w:val="1"/>
    <w:link w:val="106"/>
    <w:qFormat/>
    <w:uiPriority w:val="0"/>
    <w:pPr>
      <w:shd w:val="clear" w:color="auto" w:fill="FFFFFF"/>
      <w:spacing w:before="720" w:after="480" w:line="240" w:lineRule="atLeast"/>
      <w:jc w:val="left"/>
      <w:outlineLvl w:val="3"/>
    </w:pPr>
    <w:rPr>
      <w:rFonts w:ascii="MingLiU" w:eastAsia="MingLiU"/>
      <w:spacing w:val="1"/>
      <w:kern w:val="0"/>
      <w:sz w:val="28"/>
      <w:szCs w:val="28"/>
    </w:rPr>
  </w:style>
  <w:style w:type="character" w:customStyle="1" w:styleId="108">
    <w:name w:val="标题 #5_"/>
    <w:basedOn w:val="25"/>
    <w:link w:val="109"/>
    <w:qFormat/>
    <w:locked/>
    <w:uiPriority w:val="0"/>
    <w:rPr>
      <w:rFonts w:ascii="MingLiU" w:eastAsia="MingLiU"/>
      <w:spacing w:val="1"/>
      <w:sz w:val="28"/>
      <w:szCs w:val="28"/>
      <w:lang w:bidi="ar-SA"/>
    </w:rPr>
  </w:style>
  <w:style w:type="paragraph" w:customStyle="1" w:styleId="109">
    <w:name w:val="标题 #5"/>
    <w:basedOn w:val="1"/>
    <w:link w:val="108"/>
    <w:qFormat/>
    <w:uiPriority w:val="0"/>
    <w:pPr>
      <w:shd w:val="clear" w:color="auto" w:fill="FFFFFF"/>
      <w:spacing w:before="240" w:after="360" w:line="240" w:lineRule="atLeast"/>
      <w:jc w:val="left"/>
      <w:outlineLvl w:val="4"/>
    </w:pPr>
    <w:rPr>
      <w:rFonts w:ascii="MingLiU" w:eastAsia="MingLiU"/>
      <w:spacing w:val="1"/>
      <w:kern w:val="0"/>
      <w:sz w:val="28"/>
      <w:szCs w:val="28"/>
    </w:rPr>
  </w:style>
  <w:style w:type="character" w:customStyle="1" w:styleId="110">
    <w:name w:val="正文文本 + 10 pt"/>
    <w:basedOn w:val="100"/>
    <w:qFormat/>
    <w:uiPriority w:val="0"/>
    <w:rPr>
      <w:rFonts w:ascii="MingLiU" w:eastAsia="MingLiU" w:cs="MingLiU"/>
      <w:spacing w:val="7"/>
      <w:sz w:val="20"/>
      <w:szCs w:val="20"/>
      <w:u w:val="none"/>
      <w:lang w:val="zh-TW" w:eastAsia="zh-TW"/>
    </w:rPr>
  </w:style>
  <w:style w:type="character" w:customStyle="1" w:styleId="111">
    <w:name w:val="正文文本 + MS Mincho"/>
    <w:basedOn w:val="100"/>
    <w:qFormat/>
    <w:uiPriority w:val="0"/>
    <w:rPr>
      <w:rFonts w:ascii="MS Mincho" w:eastAsia="MS Mincho" w:cs="MS Mincho"/>
      <w:spacing w:val="-10"/>
      <w:sz w:val="18"/>
      <w:szCs w:val="18"/>
      <w:u w:val="none"/>
    </w:rPr>
  </w:style>
  <w:style w:type="character" w:customStyle="1" w:styleId="112">
    <w:name w:val="正文文本 + 间距 0 pt"/>
    <w:basedOn w:val="100"/>
    <w:qFormat/>
    <w:uiPriority w:val="0"/>
    <w:rPr>
      <w:rFonts w:ascii="MingLiU" w:eastAsia="MingLiU" w:cs="MingLiU"/>
      <w:spacing w:val="6"/>
      <w:sz w:val="22"/>
      <w:szCs w:val="22"/>
      <w:u w:val="none"/>
    </w:rPr>
  </w:style>
  <w:style w:type="character" w:customStyle="1" w:styleId="113">
    <w:name w:val="正文文本 + Batang1"/>
    <w:basedOn w:val="100"/>
    <w:qFormat/>
    <w:uiPriority w:val="0"/>
    <w:rPr>
      <w:rFonts w:ascii="Batang" w:eastAsia="Batang" w:cs="Batang"/>
      <w:spacing w:val="-4"/>
      <w:sz w:val="21"/>
      <w:szCs w:val="21"/>
      <w:u w:val="none"/>
      <w:lang w:val="en-US" w:eastAsia="en-US"/>
    </w:rPr>
  </w:style>
  <w:style w:type="character" w:customStyle="1" w:styleId="114">
    <w:name w:val="正文文本 + 间距 2 pt"/>
    <w:basedOn w:val="100"/>
    <w:qFormat/>
    <w:uiPriority w:val="0"/>
    <w:rPr>
      <w:rFonts w:ascii="MingLiU" w:eastAsia="MingLiU" w:cs="MingLiU"/>
      <w:spacing w:val="42"/>
      <w:sz w:val="22"/>
      <w:szCs w:val="22"/>
      <w:u w:val="none"/>
    </w:rPr>
  </w:style>
  <w:style w:type="character" w:customStyle="1" w:styleId="115">
    <w:name w:val="正文文本 + 9 pt"/>
    <w:basedOn w:val="100"/>
    <w:qFormat/>
    <w:uiPriority w:val="0"/>
    <w:rPr>
      <w:rFonts w:ascii="MingLiU" w:eastAsia="MingLiU" w:cs="MingLiU"/>
      <w:spacing w:val="3"/>
      <w:sz w:val="18"/>
      <w:szCs w:val="18"/>
      <w:u w:val="none"/>
    </w:rPr>
  </w:style>
  <w:style w:type="character" w:customStyle="1" w:styleId="116">
    <w:name w:val="正文文本 + Georgia1"/>
    <w:basedOn w:val="100"/>
    <w:qFormat/>
    <w:uiPriority w:val="0"/>
    <w:rPr>
      <w:rFonts w:ascii="Georgia" w:hAnsi="Georgia" w:eastAsia="MingLiU" w:cs="Georgia"/>
      <w:spacing w:val="0"/>
      <w:sz w:val="13"/>
      <w:szCs w:val="13"/>
      <w:u w:val="none"/>
      <w:lang w:val="en-US" w:eastAsia="zh-CN"/>
    </w:rPr>
  </w:style>
  <w:style w:type="character" w:customStyle="1" w:styleId="117">
    <w:name w:val="正文文本 + 10 pt2"/>
    <w:basedOn w:val="100"/>
    <w:qFormat/>
    <w:uiPriority w:val="0"/>
    <w:rPr>
      <w:rFonts w:ascii="MingLiU" w:eastAsia="MingLiU" w:cs="MingLiU"/>
      <w:spacing w:val="10"/>
      <w:sz w:val="20"/>
      <w:szCs w:val="20"/>
      <w:u w:val="none"/>
      <w:lang w:val="zh-TW" w:eastAsia="zh-TW"/>
    </w:rPr>
  </w:style>
  <w:style w:type="character" w:customStyle="1" w:styleId="118">
    <w:name w:val="正文文本 + MS Mincho2"/>
    <w:basedOn w:val="100"/>
    <w:qFormat/>
    <w:uiPriority w:val="0"/>
    <w:rPr>
      <w:rFonts w:ascii="MS Mincho" w:eastAsia="MS Mincho" w:cs="MS Mincho"/>
      <w:spacing w:val="7"/>
      <w:sz w:val="18"/>
      <w:szCs w:val="18"/>
      <w:u w:val="none"/>
    </w:rPr>
  </w:style>
  <w:style w:type="character" w:customStyle="1" w:styleId="119">
    <w:name w:val="正文文本 + AngsanaUPC1"/>
    <w:basedOn w:val="100"/>
    <w:qFormat/>
    <w:uiPriority w:val="0"/>
    <w:rPr>
      <w:rFonts w:ascii="AngsanaUPC" w:hAnsi="AngsanaUPC" w:eastAsia="MingLiU" w:cs="AngsanaUPC"/>
      <w:i/>
      <w:iCs/>
      <w:spacing w:val="20"/>
      <w:sz w:val="23"/>
      <w:szCs w:val="23"/>
      <w:u w:val="none"/>
    </w:rPr>
  </w:style>
  <w:style w:type="character" w:customStyle="1" w:styleId="120">
    <w:name w:val="正文文本 + Batang13"/>
    <w:basedOn w:val="100"/>
    <w:qFormat/>
    <w:uiPriority w:val="0"/>
    <w:rPr>
      <w:rFonts w:ascii="Batang" w:eastAsia="Batang" w:cs="Batang"/>
      <w:spacing w:val="-20"/>
      <w:sz w:val="25"/>
      <w:szCs w:val="25"/>
      <w:u w:val="none"/>
      <w:lang w:val="zh-TW" w:eastAsia="zh-TW"/>
    </w:rPr>
  </w:style>
  <w:style w:type="character" w:customStyle="1" w:styleId="121">
    <w:name w:val="正文（首行缩进两字） Char Char Char"/>
    <w:qFormat/>
    <w:uiPriority w:val="0"/>
    <w:rPr>
      <w:rFonts w:eastAsia="宋体"/>
      <w:kern w:val="2"/>
      <w:sz w:val="21"/>
      <w:lang w:val="en-US" w:eastAsia="zh-CN" w:bidi="ar-SA"/>
    </w:rPr>
  </w:style>
  <w:style w:type="character" w:customStyle="1" w:styleId="122">
    <w:name w:val="页眉或页脚 (3)_"/>
    <w:basedOn w:val="25"/>
    <w:link w:val="123"/>
    <w:qFormat/>
    <w:locked/>
    <w:uiPriority w:val="0"/>
    <w:rPr>
      <w:rFonts w:ascii="MingLiU" w:eastAsia="MingLiU"/>
      <w:spacing w:val="-2"/>
      <w:sz w:val="22"/>
      <w:szCs w:val="22"/>
      <w:lang w:bidi="ar-SA"/>
    </w:rPr>
  </w:style>
  <w:style w:type="paragraph" w:customStyle="1" w:styleId="123">
    <w:name w:val="页眉或页脚 (3)"/>
    <w:basedOn w:val="1"/>
    <w:link w:val="122"/>
    <w:qFormat/>
    <w:uiPriority w:val="0"/>
    <w:pPr>
      <w:shd w:val="clear" w:color="auto" w:fill="FFFFFF"/>
      <w:spacing w:line="240" w:lineRule="atLeast"/>
      <w:jc w:val="left"/>
    </w:pPr>
    <w:rPr>
      <w:rFonts w:ascii="MingLiU" w:eastAsia="MingLiU"/>
      <w:spacing w:val="-2"/>
      <w:kern w:val="0"/>
      <w:sz w:val="22"/>
      <w:szCs w:val="22"/>
    </w:rPr>
  </w:style>
  <w:style w:type="character" w:customStyle="1" w:styleId="124">
    <w:name w:val="页眉或页脚 (3) + 间距 0 pt"/>
    <w:basedOn w:val="122"/>
    <w:qFormat/>
    <w:uiPriority w:val="0"/>
    <w:rPr>
      <w:rFonts w:ascii="MingLiU" w:eastAsia="MingLiU"/>
      <w:spacing w:val="6"/>
      <w:sz w:val="22"/>
      <w:szCs w:val="22"/>
      <w:lang w:bidi="ar-SA"/>
    </w:rPr>
  </w:style>
  <w:style w:type="character" w:customStyle="1" w:styleId="125">
    <w:name w:val="标题 3 Char"/>
    <w:basedOn w:val="25"/>
    <w:link w:val="5"/>
    <w:qFormat/>
    <w:locked/>
    <w:uiPriority w:val="0"/>
    <w:rPr>
      <w:rFonts w:eastAsia="宋体"/>
      <w:b/>
      <w:bCs/>
      <w:kern w:val="2"/>
      <w:sz w:val="32"/>
      <w:szCs w:val="32"/>
      <w:lang w:val="en-US" w:eastAsia="zh-CN" w:bidi="ar-SA"/>
    </w:rPr>
  </w:style>
  <w:style w:type="character" w:customStyle="1" w:styleId="126">
    <w:name w:val="表头 Char"/>
    <w:basedOn w:val="25"/>
    <w:link w:val="127"/>
    <w:qFormat/>
    <w:locked/>
    <w:uiPriority w:val="0"/>
    <w:rPr>
      <w:rFonts w:eastAsia="楷体_GB2312"/>
      <w:sz w:val="28"/>
      <w:szCs w:val="28"/>
      <w:lang w:val="en-US" w:eastAsia="zh-CN" w:bidi="ar-SA"/>
    </w:rPr>
  </w:style>
  <w:style w:type="paragraph" w:customStyle="1" w:styleId="127">
    <w:name w:val="表头"/>
    <w:basedOn w:val="7"/>
    <w:next w:val="35"/>
    <w:link w:val="126"/>
    <w:qFormat/>
    <w:uiPriority w:val="0"/>
    <w:pPr>
      <w:keepNext/>
      <w:spacing w:before="240" w:line="360" w:lineRule="auto"/>
      <w:ind w:left="0" w:firstLine="0"/>
      <w:jc w:val="center"/>
    </w:pPr>
    <w:rPr>
      <w:rFonts w:eastAsia="楷体_GB2312"/>
      <w:sz w:val="28"/>
      <w:szCs w:val="28"/>
    </w:rPr>
  </w:style>
  <w:style w:type="character" w:customStyle="1" w:styleId="128">
    <w:name w:val="words-outer-wrap"/>
    <w:basedOn w:val="25"/>
    <w:qFormat/>
    <w:uiPriority w:val="0"/>
  </w:style>
  <w:style w:type="character" w:customStyle="1" w:styleId="129">
    <w:name w:val="split-word"/>
    <w:basedOn w:val="25"/>
    <w:qFormat/>
    <w:uiPriority w:val="0"/>
  </w:style>
  <w:style w:type="paragraph" w:customStyle="1" w:styleId="130">
    <w:name w:val="Char Char Char Char Char Char Char Char Char Char Char Char1 Char"/>
    <w:basedOn w:val="1"/>
    <w:qFormat/>
    <w:uiPriority w:val="0"/>
    <w:pPr>
      <w:spacing w:line="360" w:lineRule="auto"/>
      <w:ind w:firstLine="200" w:firstLineChars="200"/>
    </w:pPr>
    <w:rPr>
      <w:sz w:val="24"/>
    </w:rPr>
  </w:style>
  <w:style w:type="paragraph" w:customStyle="1" w:styleId="131">
    <w:name w:val="reader-word-layer reader-word-s12-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表1表2"/>
    <w:basedOn w:val="1"/>
    <w:qFormat/>
    <w:uiPriority w:val="0"/>
    <w:pPr>
      <w:autoSpaceDE w:val="0"/>
      <w:autoSpaceDN w:val="0"/>
      <w:adjustRightInd w:val="0"/>
      <w:jc w:val="center"/>
      <w:textAlignment w:val="center"/>
    </w:pPr>
    <w:rPr>
      <w:rFonts w:eastAsia="仿宋体"/>
      <w:kern w:val="0"/>
      <w:sz w:val="24"/>
    </w:rPr>
  </w:style>
  <w:style w:type="paragraph" w:customStyle="1" w:styleId="133">
    <w:name w:val="Char"/>
    <w:basedOn w:val="1"/>
    <w:qFormat/>
    <w:uiPriority w:val="0"/>
  </w:style>
  <w:style w:type="paragraph" w:customStyle="1" w:styleId="134">
    <w:name w:val="Char Char6"/>
    <w:basedOn w:val="1"/>
    <w:qFormat/>
    <w:uiPriority w:val="0"/>
    <w:rPr>
      <w:szCs w:val="24"/>
    </w:rPr>
  </w:style>
  <w:style w:type="paragraph" w:customStyle="1" w:styleId="135">
    <w:name w:val="reader-word-layer reader-word-s13-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6">
    <w:name w:val="reader-word-layer reader-word-s13-0 reader-word-s13-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7">
    <w:name w:val="reader-word-layer reader-word-s12-3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8">
    <w:name w:val="标题 41"/>
    <w:basedOn w:val="1"/>
    <w:qFormat/>
    <w:uiPriority w:val="0"/>
    <w:pPr>
      <w:tabs>
        <w:tab w:val="left" w:pos="454"/>
        <w:tab w:val="left" w:pos="2160"/>
      </w:tabs>
      <w:spacing w:line="360" w:lineRule="auto"/>
      <w:ind w:left="2160" w:hanging="420"/>
    </w:pPr>
    <w:rPr>
      <w:sz w:val="24"/>
      <w:szCs w:val="24"/>
    </w:rPr>
  </w:style>
  <w:style w:type="paragraph" w:customStyle="1" w:styleId="139">
    <w:name w:val="表格正文"/>
    <w:basedOn w:val="1"/>
    <w:qFormat/>
    <w:uiPriority w:val="0"/>
    <w:pPr>
      <w:spacing w:line="360" w:lineRule="exact"/>
      <w:jc w:val="center"/>
    </w:pPr>
  </w:style>
  <w:style w:type="paragraph" w:customStyle="1" w:styleId="140">
    <w:name w:val="第3级标题"/>
    <w:basedOn w:val="5"/>
    <w:next w:val="1"/>
    <w:qFormat/>
    <w:uiPriority w:val="0"/>
    <w:pPr>
      <w:tabs>
        <w:tab w:val="left" w:pos="720"/>
      </w:tabs>
      <w:spacing w:before="100" w:beforeAutospacing="1" w:after="100" w:afterAutospacing="1" w:line="440" w:lineRule="exact"/>
      <w:ind w:left="720" w:hanging="720"/>
    </w:pPr>
    <w:rPr>
      <w:rFonts w:eastAsia="华文中宋"/>
      <w:sz w:val="30"/>
      <w:szCs w:val="30"/>
    </w:rPr>
  </w:style>
  <w:style w:type="paragraph" w:customStyle="1" w:styleId="141">
    <w:name w:val="环正文"/>
    <w:basedOn w:val="1"/>
    <w:qFormat/>
    <w:uiPriority w:val="0"/>
    <w:pPr>
      <w:widowControl/>
      <w:suppressAutoHyphens/>
      <w:adjustRightInd w:val="0"/>
      <w:spacing w:line="312" w:lineRule="atLeast"/>
      <w:ind w:firstLine="567"/>
      <w:textAlignment w:val="baseline"/>
    </w:pPr>
    <w:rPr>
      <w:rFonts w:ascii="宋体" w:hAnsi="宋体"/>
      <w:kern w:val="0"/>
      <w:sz w:val="24"/>
    </w:rPr>
  </w:style>
  <w:style w:type="paragraph" w:customStyle="1" w:styleId="142">
    <w:name w:val="p0"/>
    <w:basedOn w:val="1"/>
    <w:qFormat/>
    <w:uiPriority w:val="0"/>
    <w:pPr>
      <w:widowControl/>
    </w:pPr>
    <w:rPr>
      <w:kern w:val="0"/>
      <w:szCs w:val="21"/>
    </w:rPr>
  </w:style>
  <w:style w:type="paragraph" w:customStyle="1" w:styleId="143">
    <w:name w:val="表文"/>
    <w:basedOn w:val="1"/>
    <w:qFormat/>
    <w:uiPriority w:val="0"/>
    <w:pPr>
      <w:tabs>
        <w:tab w:val="left" w:pos="1021"/>
      </w:tabs>
      <w:jc w:val="center"/>
    </w:pPr>
    <w:rPr>
      <w:color w:val="000000"/>
      <w:kern w:val="0"/>
      <w:position w:val="-24"/>
      <w:szCs w:val="21"/>
    </w:rPr>
  </w:style>
  <w:style w:type="paragraph" w:customStyle="1" w:styleId="144">
    <w:name w:val="reader-word-layer reader-word-s12-2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5">
    <w:name w:val="reader-word-layer reader-word-s12-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6">
    <w:name w:val="样式 第3级标题 + (中文) 宋体"/>
    <w:basedOn w:val="140"/>
    <w:qFormat/>
    <w:uiPriority w:val="0"/>
    <w:pPr>
      <w:tabs>
        <w:tab w:val="left" w:pos="840"/>
        <w:tab w:val="clear" w:pos="720"/>
      </w:tabs>
      <w:spacing w:beforeLines="50" w:beforeAutospacing="0" w:afterLines="50" w:afterAutospacing="0"/>
    </w:pPr>
    <w:rPr>
      <w:rFonts w:eastAsia="宋体"/>
    </w:rPr>
  </w:style>
  <w:style w:type="paragraph" w:customStyle="1" w:styleId="147">
    <w:name w:val="reader-word-layer reader-word-s12-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8">
    <w:name w:val="表格2"/>
    <w:basedOn w:val="149"/>
    <w:next w:val="1"/>
    <w:qFormat/>
    <w:uiPriority w:val="0"/>
    <w:rPr>
      <w:position w:val="-28"/>
      <w:sz w:val="21"/>
    </w:rPr>
  </w:style>
  <w:style w:type="paragraph" w:customStyle="1" w:styleId="149">
    <w:name w:val="表格1"/>
    <w:basedOn w:val="1"/>
    <w:next w:val="1"/>
    <w:qFormat/>
    <w:uiPriority w:val="0"/>
    <w:pPr>
      <w:topLinePunct/>
      <w:autoSpaceDE w:val="0"/>
      <w:autoSpaceDN w:val="0"/>
      <w:adjustRightInd w:val="0"/>
      <w:jc w:val="center"/>
      <w:textAlignment w:val="baseline"/>
    </w:pPr>
    <w:rPr>
      <w:rFonts w:ascii="宋体" w:hAnsi="Impact"/>
      <w:kern w:val="24"/>
      <w:sz w:val="28"/>
    </w:rPr>
  </w:style>
  <w:style w:type="paragraph" w:customStyle="1" w:styleId="150">
    <w:name w:val="正文缩进1"/>
    <w:basedOn w:val="1"/>
    <w:qFormat/>
    <w:uiPriority w:val="0"/>
    <w:pPr>
      <w:spacing w:line="360" w:lineRule="auto"/>
      <w:ind w:firstLine="420"/>
    </w:pPr>
    <w:rPr>
      <w:szCs w:val="24"/>
    </w:rPr>
  </w:style>
  <w:style w:type="paragraph" w:customStyle="1" w:styleId="151">
    <w:name w:val="reader-word-layer reader-word-s12-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2">
    <w:name w:val="表格 32"/>
    <w:basedOn w:val="1"/>
    <w:qFormat/>
    <w:uiPriority w:val="0"/>
    <w:pPr>
      <w:autoSpaceDE w:val="0"/>
      <w:autoSpaceDN w:val="0"/>
      <w:adjustRightInd w:val="0"/>
      <w:jc w:val="center"/>
      <w:textAlignment w:val="baseline"/>
    </w:pPr>
    <w:rPr>
      <w:rFonts w:ascii="宋体" w:hAnsi="Impact"/>
      <w:kern w:val="24"/>
    </w:rPr>
  </w:style>
  <w:style w:type="paragraph" w:customStyle="1" w:styleId="153">
    <w:name w:val="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54">
    <w:name w:val="Char Char Char Char Char Char"/>
    <w:basedOn w:val="1"/>
    <w:qFormat/>
    <w:uiPriority w:val="0"/>
    <w:rPr>
      <w:sz w:val="24"/>
      <w:szCs w:val="24"/>
    </w:rPr>
  </w:style>
  <w:style w:type="paragraph" w:customStyle="1" w:styleId="155">
    <w:name w:val="reader-word-layer reader-word-s1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6">
    <w:name w:val="reader-word-layer reader-word-s12-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7">
    <w:name w:val="Char Char Char Char Char Char Char Char Char Char Char Char Char Char Char Char Char Char Char Char Char Char Char Char Char Char Char Char Char Char2 Char Char Char Char Char Char Char Char Char Char Char Char Char Char Char Char"/>
    <w:basedOn w:val="1"/>
    <w:qFormat/>
    <w:uiPriority w:val="0"/>
    <w:rPr>
      <w:sz w:val="24"/>
      <w:szCs w:val="24"/>
    </w:rPr>
  </w:style>
  <w:style w:type="paragraph" w:customStyle="1" w:styleId="158">
    <w:name w:val="reader-word-layer reader-word-s12-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9">
    <w:name w:val="reader-word-layer reader-word-s12-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0">
    <w:name w:val="reader-word-layer reader-word-s3-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Char Char Char Char Char Char Char Char Char Char Char Char Char Char Char Char Char Char Char"/>
    <w:basedOn w:val="1"/>
    <w:qFormat/>
    <w:uiPriority w:val="0"/>
    <w:pPr>
      <w:tabs>
        <w:tab w:val="left" w:pos="907"/>
      </w:tabs>
      <w:ind w:left="907" w:hanging="453"/>
    </w:pPr>
    <w:rPr>
      <w:spacing w:val="-2"/>
      <w:sz w:val="24"/>
      <w:szCs w:val="24"/>
    </w:rPr>
  </w:style>
  <w:style w:type="paragraph" w:customStyle="1" w:styleId="162">
    <w:name w:val="reader-word-layer reader-word-s13-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3">
    <w:name w:val="C 1级标题"/>
    <w:basedOn w:val="3"/>
    <w:qFormat/>
    <w:uiPriority w:val="0"/>
    <w:pPr>
      <w:tabs>
        <w:tab w:val="left" w:pos="360"/>
      </w:tabs>
      <w:spacing w:before="120" w:after="120" w:line="360" w:lineRule="auto"/>
      <w:jc w:val="center"/>
    </w:pPr>
    <w:rPr>
      <w:sz w:val="36"/>
      <w:szCs w:val="36"/>
    </w:rPr>
  </w:style>
  <w:style w:type="paragraph" w:customStyle="1" w:styleId="164">
    <w:name w:val="reader-word-layer reader-word-s12-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5">
    <w:name w:val="表头格式1"/>
    <w:basedOn w:val="1"/>
    <w:qFormat/>
    <w:uiPriority w:val="0"/>
    <w:pPr>
      <w:spacing w:line="360" w:lineRule="auto"/>
      <w:jc w:val="center"/>
    </w:pPr>
    <w:rPr>
      <w:rFonts w:hAnsi="宋体"/>
      <w:b/>
      <w:bCs/>
      <w:sz w:val="24"/>
      <w:szCs w:val="24"/>
    </w:rPr>
  </w:style>
  <w:style w:type="paragraph" w:customStyle="1" w:styleId="166">
    <w:name w:val="目录4"/>
    <w:basedOn w:val="1"/>
    <w:qFormat/>
    <w:uiPriority w:val="0"/>
    <w:pPr>
      <w:widowControl/>
      <w:tabs>
        <w:tab w:val="left" w:leader="dot" w:pos="7370"/>
      </w:tabs>
      <w:spacing w:line="317" w:lineRule="atLeast"/>
      <w:ind w:firstLine="629"/>
      <w:textAlignment w:val="baseline"/>
    </w:pPr>
    <w:rPr>
      <w:color w:val="000000"/>
      <w:kern w:val="0"/>
      <w:szCs w:val="21"/>
      <w:u w:color="000000"/>
    </w:rPr>
  </w:style>
  <w:style w:type="paragraph" w:customStyle="1" w:styleId="167">
    <w:name w:val="Char1"/>
    <w:basedOn w:val="1"/>
    <w:qFormat/>
    <w:uiPriority w:val="0"/>
    <w:pPr>
      <w:spacing w:line="360" w:lineRule="auto"/>
      <w:ind w:firstLine="200" w:firstLineChars="200"/>
    </w:pPr>
    <w:rPr>
      <w:rFonts w:ascii="宋体"/>
      <w:sz w:val="24"/>
      <w:szCs w:val="24"/>
    </w:rPr>
  </w:style>
  <w:style w:type="paragraph" w:customStyle="1" w:styleId="168">
    <w:name w:val="reader-word-layer reader-word-s12-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9">
    <w:name w:val="缩进"/>
    <w:basedOn w:val="1"/>
    <w:qFormat/>
    <w:uiPriority w:val="0"/>
    <w:pPr>
      <w:tabs>
        <w:tab w:val="left" w:pos="-52"/>
      </w:tabs>
      <w:spacing w:line="400" w:lineRule="atLeast"/>
      <w:ind w:right="-4"/>
    </w:pPr>
    <w:rPr>
      <w:rFonts w:ascii="宋体" w:hAnsi="宋体"/>
      <w:szCs w:val="24"/>
    </w:rPr>
  </w:style>
  <w:style w:type="paragraph" w:customStyle="1" w:styleId="170">
    <w:name w:val="页面 7"/>
    <w:basedOn w:val="1"/>
    <w:qFormat/>
    <w:uiPriority w:val="0"/>
    <w:pPr>
      <w:autoSpaceDE w:val="0"/>
      <w:autoSpaceDN w:val="0"/>
      <w:adjustRightInd w:val="0"/>
      <w:spacing w:before="120" w:after="120"/>
      <w:jc w:val="center"/>
      <w:textAlignment w:val="baseline"/>
    </w:pPr>
    <w:rPr>
      <w:rFonts w:ascii="宋体" w:hAnsi="Impact"/>
      <w:kern w:val="24"/>
      <w:sz w:val="32"/>
    </w:rPr>
  </w:style>
  <w:style w:type="paragraph" w:customStyle="1" w:styleId="171">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172">
    <w:name w:val="reader-word-layer reader-word-s4-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3">
    <w:name w:val="Char2"/>
    <w:basedOn w:val="1"/>
    <w:qFormat/>
    <w:uiPriority w:val="0"/>
    <w:pPr>
      <w:spacing w:line="360" w:lineRule="auto"/>
      <w:ind w:firstLine="200" w:firstLineChars="200"/>
    </w:pPr>
    <w:rPr>
      <w:rFonts w:ascii="宋体" w:hAnsi="宋体" w:cs="宋体"/>
      <w:sz w:val="24"/>
      <w:szCs w:val="24"/>
    </w:rPr>
  </w:style>
  <w:style w:type="paragraph" w:customStyle="1" w:styleId="174">
    <w:name w:val="reader-word-layer reader-word-s13-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5">
    <w:name w:val="reader-word-layer reader-word-s12-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6">
    <w:name w:val="表文2"/>
    <w:basedOn w:val="1"/>
    <w:qFormat/>
    <w:uiPriority w:val="0"/>
    <w:pPr>
      <w:overflowPunct w:val="0"/>
      <w:autoSpaceDE w:val="0"/>
      <w:autoSpaceDN w:val="0"/>
      <w:adjustRightInd w:val="0"/>
      <w:spacing w:line="240" w:lineRule="atLeast"/>
      <w:jc w:val="center"/>
      <w:textAlignment w:val="baseline"/>
    </w:pPr>
    <w:rPr>
      <w:kern w:val="0"/>
      <w:szCs w:val="24"/>
      <w:lang w:val="sq-AL"/>
    </w:rPr>
  </w:style>
  <w:style w:type="paragraph" w:customStyle="1" w:styleId="177">
    <w:name w:val="reader-word-layer reader-word-s12-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8">
    <w:name w:val="reader-word-layer reader-word-s1-0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9">
    <w:name w:val="正文(首行缩进2字)"/>
    <w:basedOn w:val="1"/>
    <w:next w:val="1"/>
    <w:qFormat/>
    <w:uiPriority w:val="0"/>
    <w:pPr>
      <w:adjustRightInd w:val="0"/>
      <w:spacing w:line="360" w:lineRule="auto"/>
      <w:ind w:firstLine="200" w:firstLineChars="200"/>
      <w:jc w:val="left"/>
      <w:textAlignment w:val="baseline"/>
    </w:pPr>
    <w:rPr>
      <w:color w:val="000000"/>
      <w:kern w:val="0"/>
      <w:sz w:val="24"/>
    </w:rPr>
  </w:style>
  <w:style w:type="paragraph" w:customStyle="1" w:styleId="180">
    <w:name w:val="Char Char1 Char Char Char Char Char Char Char Char Char Char Char Char Char Char Char Char Char Char Char Char1 Char"/>
    <w:basedOn w:val="1"/>
    <w:qFormat/>
    <w:uiPriority w:val="0"/>
    <w:pPr>
      <w:spacing w:line="360" w:lineRule="auto"/>
      <w:ind w:firstLine="200" w:firstLineChars="200"/>
    </w:pPr>
  </w:style>
  <w:style w:type="paragraph" w:customStyle="1" w:styleId="181">
    <w:name w:val="reader-word-layer reader-word-s12-3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2">
    <w:name w:val="reader-word-layer reader-word-s3-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3">
    <w:name w:val="表文1"/>
    <w:basedOn w:val="1"/>
    <w:qFormat/>
    <w:uiPriority w:val="0"/>
    <w:pPr>
      <w:adjustRightInd w:val="0"/>
      <w:jc w:val="center"/>
      <w:textAlignment w:val="baseline"/>
    </w:pPr>
    <w:rPr>
      <w:kern w:val="0"/>
      <w:szCs w:val="24"/>
    </w:rPr>
  </w:style>
  <w:style w:type="paragraph" w:customStyle="1" w:styleId="184">
    <w:name w:val="reader-word-layer reader-word-s2-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5">
    <w:name w:val="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86">
    <w:name w:val="reader-word-layer reader-word-s12-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7">
    <w:name w:val="reader-word-layer reader-word-s12-11 reader-word-s12-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8">
    <w:name w:val="reader-word-layer reader-word-s3-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9">
    <w:name w:val="reader-word-layer reader-word-s12-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0">
    <w:name w:val="reader-word-layer reader-word-s13-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1">
    <w:name w:val="_Style 26"/>
    <w:basedOn w:val="1"/>
    <w:qFormat/>
    <w:uiPriority w:val="0"/>
    <w:rPr>
      <w:rFonts w:ascii="Tahoma" w:hAnsi="Tahoma"/>
      <w:sz w:val="24"/>
    </w:rPr>
  </w:style>
  <w:style w:type="paragraph" w:customStyle="1" w:styleId="192">
    <w:name w:val="reader-word-layer reader-word-s13-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3">
    <w:name w:val="表文字"/>
    <w:basedOn w:val="1"/>
    <w:qFormat/>
    <w:uiPriority w:val="0"/>
    <w:pPr>
      <w:spacing w:line="360" w:lineRule="auto"/>
      <w:jc w:val="center"/>
    </w:pPr>
    <w:rPr>
      <w:kern w:val="10"/>
      <w:sz w:val="24"/>
    </w:rPr>
  </w:style>
  <w:style w:type="paragraph" w:customStyle="1" w:styleId="194">
    <w:name w:val="reader-word-layer reader-word-s3-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5">
    <w:name w:val="reader-word-layer reader-word-s13-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6">
    <w:name w:val="reader-word-layer reader-word-s4-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7">
    <w:name w:val="reader-word-layer reader-word-s13-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8">
    <w:name w:val="reader-word-layer reader-word-s12-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9">
    <w:name w:val="reader-word-layer reader-word-s12-2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0">
    <w:name w:val="reader-word-layer reader-word-s12-8 reader-word-s12-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1">
    <w:name w:val="reader-word-layer reader-word-s12-2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2">
    <w:name w:val="1正文缩进"/>
    <w:basedOn w:val="1"/>
    <w:qFormat/>
    <w:uiPriority w:val="0"/>
    <w:pPr>
      <w:adjustRightInd w:val="0"/>
      <w:spacing w:line="360" w:lineRule="auto"/>
      <w:ind w:firstLine="200" w:firstLineChars="200"/>
    </w:pPr>
    <w:rPr>
      <w:sz w:val="24"/>
      <w:szCs w:val="24"/>
    </w:rPr>
  </w:style>
  <w:style w:type="paragraph" w:customStyle="1" w:styleId="203">
    <w:name w:val="reader-word-layer reader-word-s13-1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4">
    <w:name w:val="reader-word-layer reader-word-s12-6 reader-word-s12-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5">
    <w:name w:val="默认段落字体 Para Char Char Char Char"/>
    <w:basedOn w:val="1"/>
    <w:qFormat/>
    <w:uiPriority w:val="0"/>
    <w:rPr>
      <w:szCs w:val="24"/>
    </w:rPr>
  </w:style>
  <w:style w:type="paragraph" w:customStyle="1" w:styleId="206">
    <w:name w:val="reader-word-layer reader-word-s13-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7">
    <w:name w:val="Char Char Char Char Char Char1 Char"/>
    <w:basedOn w:val="1"/>
    <w:qFormat/>
    <w:uiPriority w:val="0"/>
    <w:pPr>
      <w:spacing w:line="360" w:lineRule="auto"/>
    </w:pPr>
    <w:rPr>
      <w:sz w:val="24"/>
      <w:szCs w:val="24"/>
    </w:rPr>
  </w:style>
  <w:style w:type="paragraph" w:customStyle="1" w:styleId="208">
    <w:name w:val="reader-word-layer reader-word-s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9">
    <w:name w:val="reader-word-layer reader-word-s1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0">
    <w:name w:val="reader-word-layer reader-word-s12-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2">
    <w:name w:val="reader-word-layer reader-word-s3-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3">
    <w:name w:val="表格内容"/>
    <w:unhideWhenUsed/>
    <w:qFormat/>
    <w:uiPriority w:val="0"/>
    <w:pPr>
      <w:spacing w:line="360" w:lineRule="auto"/>
      <w:jc w:val="center"/>
    </w:pPr>
    <w:rPr>
      <w:rFonts w:hint="eastAsia" w:ascii="宋体" w:hAnsi="Times New Roman" w:eastAsia="宋体" w:cs="Times New Roman"/>
      <w:sz w:val="21"/>
      <w:lang w:val="en-US" w:eastAsia="zh-CN" w:bidi="ar-SA"/>
    </w:rPr>
  </w:style>
  <w:style w:type="paragraph" w:customStyle="1" w:styleId="214">
    <w:name w:val="正文（用）"/>
    <w:basedOn w:val="1"/>
    <w:qFormat/>
    <w:uiPriority w:val="0"/>
    <w:pPr>
      <w:spacing w:line="360" w:lineRule="auto"/>
      <w:ind w:firstLine="480" w:firstLineChars="200"/>
      <w:jc w:val="left"/>
    </w:pPr>
    <w:rPr>
      <w:rFonts w:ascii="宋体" w:hAnsi="宋体" w:cs="宋体"/>
      <w:sz w:val="24"/>
    </w:rPr>
  </w:style>
  <w:style w:type="paragraph" w:customStyle="1" w:styleId="215">
    <w:name w:val="正文五"/>
    <w:basedOn w:val="1"/>
    <w:qFormat/>
    <w:uiPriority w:val="0"/>
    <w:pPr>
      <w:snapToGrid w:val="0"/>
      <w:jc w:val="center"/>
    </w:pPr>
    <w:rPr>
      <w:szCs w:val="28"/>
    </w:rPr>
  </w:style>
  <w:style w:type="paragraph" w:customStyle="1" w:styleId="216">
    <w:name w:val="中文报告书样式"/>
    <w:basedOn w:val="1"/>
    <w:qFormat/>
    <w:uiPriority w:val="0"/>
    <w:pPr>
      <w:adjustRightInd w:val="0"/>
      <w:spacing w:line="480" w:lineRule="atLeast"/>
      <w:ind w:firstLine="482"/>
      <w:textAlignment w:val="baseline"/>
    </w:pPr>
    <w:rPr>
      <w:kern w:val="24"/>
      <w:sz w:val="24"/>
    </w:rPr>
  </w:style>
  <w:style w:type="paragraph" w:customStyle="1" w:styleId="217">
    <w:name w:val="reader-word-layer reader-word-s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8">
    <w:name w:val="【表格】"/>
    <w:next w:val="10"/>
    <w:qFormat/>
    <w:uiPriority w:val="0"/>
    <w:pPr>
      <w:framePr w:wrap="around" w:vAnchor="text" w:hAnchor="text" w:y="1"/>
      <w:jc w:val="center"/>
    </w:pPr>
    <w:rPr>
      <w:rFonts w:ascii="Times New Roman" w:hAnsi="Times New Roman" w:eastAsia="宋体" w:cs="Times New Roman"/>
      <w:sz w:val="21"/>
      <w:szCs w:val="24"/>
      <w:lang w:val="en-US" w:eastAsia="zh-CN" w:bidi="ar-SA"/>
    </w:rPr>
  </w:style>
  <w:style w:type="paragraph" w:customStyle="1" w:styleId="219">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0">
    <w:name w:val="表格rjf"/>
    <w:qFormat/>
    <w:uiPriority w:val="0"/>
    <w:pPr>
      <w:spacing w:line="320" w:lineRule="exact"/>
      <w:jc w:val="center"/>
    </w:pPr>
    <w:rPr>
      <w:rFonts w:ascii="Times New Roman" w:hAnsi="Times New Roman" w:eastAsia="宋体" w:cs="Times New Roman"/>
      <w:sz w:val="21"/>
      <w:szCs w:val="21"/>
      <w:lang w:val="en-US" w:eastAsia="zh-CN" w:bidi="ar-SA"/>
    </w:rPr>
  </w:style>
  <w:style w:type="paragraph" w:customStyle="1" w:styleId="221">
    <w:name w:val="Char Char Char Char Char Char1 Char Char Char Char Char Char Char Char Char Char Char Char Char Char Char Char"/>
    <w:basedOn w:val="1"/>
    <w:qFormat/>
    <w:uiPriority w:val="0"/>
    <w:rPr>
      <w:sz w:val="24"/>
      <w:szCs w:val="24"/>
    </w:rPr>
  </w:style>
  <w:style w:type="paragraph" w:customStyle="1" w:styleId="222">
    <w:name w:val="reader-word-layer reader-word-s1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3">
    <w:name w:val="reader-word-layer reader-word-s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4">
    <w:name w:val="正文1"/>
    <w:basedOn w:val="1"/>
    <w:qFormat/>
    <w:uiPriority w:val="0"/>
    <w:pPr>
      <w:spacing w:line="360" w:lineRule="auto"/>
      <w:ind w:firstLine="200" w:firstLineChars="200"/>
    </w:pPr>
    <w:rPr>
      <w:sz w:val="24"/>
      <w:szCs w:val="24"/>
    </w:rPr>
  </w:style>
  <w:style w:type="paragraph" w:customStyle="1" w:styleId="225">
    <w:name w:val="Char Char Char Char1"/>
    <w:basedOn w:val="13"/>
    <w:qFormat/>
    <w:uiPriority w:val="0"/>
    <w:pPr>
      <w:adjustRightInd w:val="0"/>
      <w:spacing w:line="436" w:lineRule="exact"/>
      <w:ind w:left="357"/>
      <w:jc w:val="left"/>
      <w:outlineLvl w:val="3"/>
    </w:pPr>
    <w:rPr>
      <w:rFonts w:ascii="Tahoma" w:hAnsi="Tahoma"/>
      <w:b/>
      <w:sz w:val="44"/>
      <w:szCs w:val="24"/>
    </w:rPr>
  </w:style>
  <w:style w:type="character" w:customStyle="1" w:styleId="226">
    <w:name w:val="正文文本 (5)_"/>
    <w:basedOn w:val="25"/>
    <w:link w:val="227"/>
    <w:qFormat/>
    <w:locked/>
    <w:uiPriority w:val="0"/>
    <w:rPr>
      <w:rFonts w:ascii="MingLiU" w:eastAsia="MingLiU"/>
      <w:spacing w:val="1"/>
      <w:sz w:val="28"/>
      <w:szCs w:val="28"/>
      <w:lang w:bidi="ar-SA"/>
    </w:rPr>
  </w:style>
  <w:style w:type="paragraph" w:customStyle="1" w:styleId="227">
    <w:name w:val="正文文本 (5)"/>
    <w:basedOn w:val="1"/>
    <w:link w:val="226"/>
    <w:qFormat/>
    <w:uiPriority w:val="0"/>
    <w:pPr>
      <w:shd w:val="clear" w:color="auto" w:fill="FFFFFF"/>
      <w:spacing w:after="60" w:line="240" w:lineRule="atLeast"/>
      <w:jc w:val="center"/>
    </w:pPr>
    <w:rPr>
      <w:rFonts w:ascii="MingLiU" w:eastAsia="MingLiU"/>
      <w:spacing w:val="1"/>
      <w:kern w:val="0"/>
      <w:sz w:val="28"/>
      <w:szCs w:val="28"/>
    </w:rPr>
  </w:style>
  <w:style w:type="character" w:customStyle="1" w:styleId="228">
    <w:name w:val="正文文本 (5) + 间距 0 pt"/>
    <w:basedOn w:val="226"/>
    <w:qFormat/>
    <w:uiPriority w:val="0"/>
    <w:rPr>
      <w:rFonts w:ascii="MingLiU" w:eastAsia="MingLiU"/>
      <w:spacing w:val="0"/>
      <w:sz w:val="28"/>
      <w:szCs w:val="28"/>
      <w:lang w:bidi="ar-SA"/>
    </w:rPr>
  </w:style>
  <w:style w:type="character" w:customStyle="1" w:styleId="229">
    <w:name w:val="页眉或页脚 (4)_"/>
    <w:basedOn w:val="25"/>
    <w:link w:val="230"/>
    <w:qFormat/>
    <w:locked/>
    <w:uiPriority w:val="0"/>
    <w:rPr>
      <w:rFonts w:ascii="MingLiU" w:eastAsia="MingLiU"/>
      <w:spacing w:val="2"/>
      <w:sz w:val="27"/>
      <w:szCs w:val="27"/>
      <w:lang w:bidi="ar-SA"/>
    </w:rPr>
  </w:style>
  <w:style w:type="paragraph" w:customStyle="1" w:styleId="230">
    <w:name w:val="页眉或页脚 (4)"/>
    <w:basedOn w:val="1"/>
    <w:link w:val="229"/>
    <w:qFormat/>
    <w:uiPriority w:val="0"/>
    <w:pPr>
      <w:shd w:val="clear" w:color="auto" w:fill="FFFFFF"/>
      <w:spacing w:line="240" w:lineRule="atLeast"/>
      <w:jc w:val="left"/>
    </w:pPr>
    <w:rPr>
      <w:rFonts w:ascii="MingLiU" w:eastAsia="MingLiU"/>
      <w:spacing w:val="2"/>
      <w:kern w:val="0"/>
      <w:sz w:val="27"/>
      <w:szCs w:val="27"/>
    </w:rPr>
  </w:style>
  <w:style w:type="character" w:customStyle="1" w:styleId="231">
    <w:name w:val="正文文本 + 间距 3 pt"/>
    <w:basedOn w:val="100"/>
    <w:qFormat/>
    <w:uiPriority w:val="0"/>
    <w:rPr>
      <w:rFonts w:ascii="MingLiU" w:eastAsia="MingLiU" w:cs="MingLiU"/>
      <w:spacing w:val="65"/>
      <w:sz w:val="22"/>
      <w:szCs w:val="22"/>
      <w:u w:val="none"/>
    </w:rPr>
  </w:style>
  <w:style w:type="character" w:customStyle="1" w:styleId="232">
    <w:name w:val="正文文本 + 4 pt"/>
    <w:basedOn w:val="100"/>
    <w:qFormat/>
    <w:uiPriority w:val="0"/>
    <w:rPr>
      <w:rFonts w:ascii="MingLiU" w:eastAsia="MingLiU" w:cs="MingLiU"/>
      <w:spacing w:val="0"/>
      <w:sz w:val="8"/>
      <w:szCs w:val="8"/>
      <w:u w:val="none"/>
      <w:lang w:val="en-US" w:eastAsia="en-US"/>
    </w:rPr>
  </w:style>
  <w:style w:type="character" w:customStyle="1" w:styleId="233">
    <w:name w:val="正文文本 + Georgia2"/>
    <w:basedOn w:val="100"/>
    <w:qFormat/>
    <w:uiPriority w:val="0"/>
    <w:rPr>
      <w:rFonts w:ascii="Georgia" w:hAnsi="Georgia" w:eastAsia="MingLiU" w:cs="Georgia"/>
      <w:b/>
      <w:bCs/>
      <w:spacing w:val="22"/>
      <w:sz w:val="8"/>
      <w:szCs w:val="8"/>
      <w:u w:val="none"/>
      <w:lang w:val="en-US" w:eastAsia="en-US"/>
    </w:rPr>
  </w:style>
  <w:style w:type="character" w:customStyle="1" w:styleId="234">
    <w:name w:val="页眉或页脚 (3) + Angsana New"/>
    <w:basedOn w:val="122"/>
    <w:qFormat/>
    <w:uiPriority w:val="0"/>
    <w:rPr>
      <w:rFonts w:ascii="Angsana New" w:hAnsi="Angsana New" w:eastAsia="MingLiU" w:cs="Angsana New"/>
      <w:spacing w:val="6"/>
      <w:sz w:val="33"/>
      <w:szCs w:val="33"/>
      <w:u w:val="none"/>
      <w:lang w:val="en-US" w:eastAsia="en-US" w:bidi="ar-SA"/>
    </w:rPr>
  </w:style>
  <w:style w:type="character" w:customStyle="1" w:styleId="235">
    <w:name w:val="正文文本 (9)_"/>
    <w:basedOn w:val="25"/>
    <w:link w:val="236"/>
    <w:qFormat/>
    <w:locked/>
    <w:uiPriority w:val="0"/>
    <w:rPr>
      <w:rFonts w:ascii="Batang" w:eastAsia="Batang"/>
      <w:spacing w:val="-5"/>
      <w:sz w:val="21"/>
      <w:szCs w:val="21"/>
      <w:lang w:val="en-US" w:eastAsia="en-US" w:bidi="ar-SA"/>
    </w:rPr>
  </w:style>
  <w:style w:type="paragraph" w:customStyle="1" w:styleId="236">
    <w:name w:val="正文文本 (9)"/>
    <w:basedOn w:val="1"/>
    <w:link w:val="235"/>
    <w:qFormat/>
    <w:uiPriority w:val="0"/>
    <w:pPr>
      <w:shd w:val="clear" w:color="auto" w:fill="FFFFFF"/>
      <w:spacing w:line="461" w:lineRule="exact"/>
      <w:jc w:val="left"/>
    </w:pPr>
    <w:rPr>
      <w:rFonts w:ascii="Batang" w:eastAsia="Batang"/>
      <w:spacing w:val="-5"/>
      <w:kern w:val="0"/>
      <w:szCs w:val="21"/>
      <w:lang w:eastAsia="en-US"/>
    </w:rPr>
  </w:style>
  <w:style w:type="character" w:customStyle="1" w:styleId="237">
    <w:name w:val="正文文本 (9) + MingLiU"/>
    <w:basedOn w:val="235"/>
    <w:qFormat/>
    <w:uiPriority w:val="0"/>
    <w:rPr>
      <w:rFonts w:ascii="MingLiU" w:eastAsia="MingLiU" w:cs="MingLiU"/>
      <w:spacing w:val="7"/>
      <w:sz w:val="22"/>
      <w:szCs w:val="22"/>
      <w:lang w:val="en-US" w:eastAsia="en-US" w:bidi="ar-SA"/>
    </w:rPr>
  </w:style>
  <w:style w:type="character" w:customStyle="1" w:styleId="238">
    <w:name w:val="正文文本 (9) + Georgia"/>
    <w:basedOn w:val="235"/>
    <w:qFormat/>
    <w:uiPriority w:val="0"/>
    <w:rPr>
      <w:rFonts w:ascii="Georgia" w:hAnsi="Georgia" w:eastAsia="Batang" w:cs="Georgia"/>
      <w:spacing w:val="4"/>
      <w:sz w:val="13"/>
      <w:szCs w:val="13"/>
      <w:lang w:val="en-US" w:eastAsia="en-US" w:bidi="ar-SA"/>
    </w:rPr>
  </w:style>
  <w:style w:type="character" w:customStyle="1" w:styleId="239">
    <w:name w:val="正文文本 + Batang5"/>
    <w:basedOn w:val="100"/>
    <w:qFormat/>
    <w:uiPriority w:val="0"/>
    <w:rPr>
      <w:rFonts w:ascii="Batang" w:eastAsia="Batang" w:cs="Batang"/>
      <w:spacing w:val="-29"/>
      <w:sz w:val="21"/>
      <w:szCs w:val="21"/>
      <w:u w:val="none"/>
      <w:lang w:val="en-US" w:eastAsia="en-US"/>
    </w:rPr>
  </w:style>
  <w:style w:type="paragraph" w:customStyle="1" w:styleId="240">
    <w:name w:val="Char Char Char Char1 Char Char"/>
    <w:basedOn w:val="13"/>
    <w:qFormat/>
    <w:uiPriority w:val="0"/>
    <w:pPr>
      <w:adjustRightInd w:val="0"/>
      <w:spacing w:line="436" w:lineRule="exact"/>
      <w:ind w:left="357"/>
      <w:jc w:val="left"/>
      <w:outlineLvl w:val="3"/>
    </w:pPr>
    <w:rPr>
      <w:rFonts w:ascii="Tahoma" w:hAnsi="Tahoma"/>
      <w:b/>
      <w:sz w:val="44"/>
      <w:szCs w:val="24"/>
    </w:rPr>
  </w:style>
  <w:style w:type="paragraph" w:customStyle="1" w:styleId="241">
    <w:name w:val="List Paragraph"/>
    <w:basedOn w:val="1"/>
    <w:qFormat/>
    <w:uiPriority w:val="34"/>
    <w:pPr>
      <w:ind w:firstLine="420" w:firstLineChars="200"/>
    </w:pPr>
  </w:style>
  <w:style w:type="paragraph" w:customStyle="1" w:styleId="242">
    <w:name w:val="Char Char Char Char Char Char Char Char Char Char Char Char1 Char1"/>
    <w:basedOn w:val="1"/>
    <w:qFormat/>
    <w:uiPriority w:val="0"/>
    <w:pPr>
      <w:spacing w:line="360" w:lineRule="auto"/>
      <w:ind w:firstLine="200" w:firstLineChars="200"/>
    </w:pPr>
    <w:rPr>
      <w:sz w:val="24"/>
    </w:rPr>
  </w:style>
  <w:style w:type="character" w:customStyle="1" w:styleId="243">
    <w:name w:val="15"/>
    <w:basedOn w:val="25"/>
    <w:qFormat/>
    <w:uiPriority w:val="0"/>
    <w:rPr>
      <w:rFonts w:hint="default" w:ascii="Times New Roman" w:hAnsi="Times New Roman" w:cs="Times New Roman"/>
      <w:sz w:val="20"/>
      <w:szCs w:val="20"/>
    </w:rPr>
  </w:style>
  <w:style w:type="character" w:customStyle="1" w:styleId="244">
    <w:name w:val="fontstyle31"/>
    <w:basedOn w:val="25"/>
    <w:qFormat/>
    <w:uiPriority w:val="0"/>
    <w:rPr>
      <w:rFonts w:ascii="新宋体" w:hAnsi="新宋体" w:eastAsia="新宋体" w:cs="新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emf"/><Relationship Id="rId17" Type="http://schemas.openxmlformats.org/officeDocument/2006/relationships/oleObject" Target="embeddings/oleObject2.bin"/><Relationship Id="rId16" Type="http://schemas.openxmlformats.org/officeDocument/2006/relationships/image" Target="media/image10.emf"/><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B3558A-AE83-47F2-BB47-F4FCED99FCAC}">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57</Pages>
  <Words>6469</Words>
  <Characters>36876</Characters>
  <Lines>307</Lines>
  <Paragraphs>86</Paragraphs>
  <ScaleCrop>false</ScaleCrop>
  <LinksUpToDate>false</LinksUpToDate>
  <CharactersWithSpaces>43259</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2017-11-07T08:18:00Z</dcterms:created>
  <dc:creator>微软中国</dc:creator>
  <cp:lastModifiedBy>Administrator</cp:lastModifiedBy>
  <cp:lastPrinted>2017-09-08T01:37:00Z</cp:lastPrinted>
  <dcterms:modified xsi:type="dcterms:W3CDTF">2017-12-08T08:41:18Z</dcterms:modified>
  <dc:title>国环评证乙字第2834号</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