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附件3：</w:t>
      </w:r>
    </w:p>
    <w:p>
      <w:pPr>
        <w:widowControl/>
        <w:autoSpaceDE w:val="0"/>
        <w:spacing w:line="640" w:lineRule="exact"/>
        <w:jc w:val="center"/>
        <w:textAlignment w:val="baseline"/>
        <w:rPr>
          <w:rFonts w:hint="eastAsia" w:ascii="方正大标宋简体" w:hAnsi="ˎ̥" w:eastAsia="方正大标宋简体" w:cs="宋体"/>
          <w:spacing w:val="-6"/>
          <w:sz w:val="44"/>
          <w:szCs w:val="44"/>
          <w:u w:val="none"/>
        </w:rPr>
      </w:pPr>
      <w:r>
        <w:rPr>
          <w:rFonts w:hint="eastAsia" w:ascii="方正大标宋简体" w:hAnsi="ˎ̥" w:eastAsia="方正大标宋简体" w:cs="宋体"/>
          <w:spacing w:val="-6"/>
          <w:sz w:val="44"/>
          <w:szCs w:val="44"/>
          <w:u w:val="none"/>
        </w:rPr>
        <w:t>平江县中小学生研学实践教育承办企业</w:t>
      </w:r>
    </w:p>
    <w:p>
      <w:pPr>
        <w:widowControl/>
        <w:autoSpaceDE w:val="0"/>
        <w:spacing w:line="640" w:lineRule="exact"/>
        <w:jc w:val="center"/>
        <w:textAlignment w:val="baseline"/>
        <w:rPr>
          <w:rFonts w:hint="eastAsia" w:ascii="方正大标宋简体" w:hAnsi="ˎ̥" w:eastAsia="方正大标宋简体" w:cs="宋体"/>
          <w:spacing w:val="-6"/>
          <w:sz w:val="44"/>
          <w:szCs w:val="44"/>
          <w:u w:val="none"/>
        </w:rPr>
      </w:pPr>
      <w:r>
        <w:rPr>
          <w:rFonts w:hint="eastAsia" w:ascii="方正大标宋简体" w:hAnsi="ˎ̥" w:eastAsia="方正大标宋简体" w:cs="宋体"/>
          <w:spacing w:val="-6"/>
          <w:sz w:val="44"/>
          <w:szCs w:val="44"/>
          <w:u w:val="none"/>
        </w:rPr>
        <w:t>（机构）准入退出管理办法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　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承办企业（机构）指资质完备、社会信誉度高、无安全责任事故的旅行社或面向青少年的校外教育基地（企业、机构）。研学实践教育承办企业（机构）实行准入制，目录管理。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研学实践教育承办企业（机构）准入标准：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1.经工商行政管理部门登记注册成立，具备旅游行政部门批准的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经营许可资质（营业执照和旅行社业务经营许可证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关键信息相符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经营范围原则上应明确包含“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研学”等内容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2.有固定的经营和办公场所，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00平方米（含）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县外公司需在平江县境内有授权的营业部门或办公场所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。旅行社须符合《旅行社国内旅游服务规范》（LB/T 004 -2013）和《旅行社服务通则》（GB/T31385-2015）的要求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3.有明确的安全防控措施，连续三年内无重大质量投诉、不良诚信记录、经济纠纷及重大安全责任事故。</w:t>
      </w:r>
    </w:p>
    <w:p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4.有健全的组织管理机构，设有研学实践教育的专业部门或专职人员应根据LB/T 054的要求，为研学实践教育活动配置项目管理人员、安全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救护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员、研学导师、导游人员、校外教育专家，分别负责统筹协调、安全教育和防控、制定研学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实践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教育工作计划、提供沿途导引和讲解服务等工作，开展安全教育和防控工作，为中小学生提供研学实践教育服务和生活保障服务。从业人员应具有应急救护的基本常识和基本技能。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原则上每家企业须有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具备资质的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专业导游、与业务范围相应的专职研学导师、安全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救护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员、医师等。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5.有多次承接教育部门大规模中小学生活动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和优秀案例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6.有完备的研学实践教育课程体系和精心设计的研学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实践教育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线路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每条线路需明码标价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原则上每家承办企业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应提供多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已签订完整服务协议的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研学实践教育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线路，每条线路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都要与相关学段对应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，配套相应的研学实践手册，并在自身申报线路范围内开展研学实践活动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7.产权明晰、资产优良，能够承受市场管理风险。购买意外伤害险单人单次不低于25万元。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8.选用具有道路旅客运输经营资质企业的旅游包车，并已向公安交警部门和交通运输部门报备。</w:t>
      </w:r>
    </w:p>
    <w:p>
      <w:pPr>
        <w:ind w:firstLine="647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9.与基地（营地）签订旅游服务合同，并有基地（营地）提供合法有效的相关证照资料，切实按照合同约定履行义务。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研学实践教育承办企业（机构）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公开评审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进入目录管理按以下程序进行：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1.书面申请。凡符合“第二条”要求的机构，可向平江县教育局提出书面申请。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2.资格初审。对企业（机构）申报资料进行初审，确定进入目录管理考察名单。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3.考察评估。组织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相关部门和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专家对初选入围的企业（机构）进行实地考察评估，实地考察主要考核企业（机构）的资质证照、企业实力、经营水平、制度建设、管理能力、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课程资源、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员工队伍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、办公场馆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等方面的情况。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4.专家评审。机构负责人陈述相关情况，专家组对申报材料、陈述情况、承办企业（机构）条件、线路与课程设计等进行评审；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5.结果公示。平江县教育局根据专家组意见确定目录企业（机构）公示名单，无异议后最终确定进入目录的企业（机构）。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研学实践教育承办企业（机构）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实行划片经营管理制度。由县教育局根据中小学校课程需要、学生人数、承办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企业（机构）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课程线路和经营实力等情况划定公开评审进入目录的承办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企业（机构）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经营区域，原则上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1-2年调整一次。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建立研学实践教育承办企业（机构）退出机制。研学实践教育承办企业（机构）采取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公开集中审核准入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动态管理，每两年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审一次。期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有下列情况之一者，取消研学实践教育承办资格。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1.机构停止运营或失去相应经营资质的；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2.落实安全措施不力，发生安全责任事故和重大服务质量投诉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3.学校、家长投诉超过3例或满意率在80%以下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4.擅自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改变线路或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提高收费标准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5.弄虚作假获得目录管理资格；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6.不履行合同，造成一定损失并侵犯学生权益的；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7.进行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u w:val="none"/>
          <w:shd w:val="clear" w:color="auto" w:fill="FFFFFF"/>
        </w:rPr>
        <w:t>商业贿赂和输送回扣的。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由县教育局牵头，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县纪委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监委派驻教育纪检组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全程监督，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县文旅广体局和县发改局共同审核承办企业（机构）资质，并联合公布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准入目录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宋体"/>
          <w:spacing w:val="-2"/>
          <w:sz w:val="32"/>
          <w:szCs w:val="32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pgNumType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27"/>
    <w:rsid w:val="00097576"/>
    <w:rsid w:val="002353B8"/>
    <w:rsid w:val="00446B45"/>
    <w:rsid w:val="004F2CDF"/>
    <w:rsid w:val="005E3D72"/>
    <w:rsid w:val="005E4A8E"/>
    <w:rsid w:val="0070620A"/>
    <w:rsid w:val="007750FB"/>
    <w:rsid w:val="0086476B"/>
    <w:rsid w:val="008B464C"/>
    <w:rsid w:val="00951C0E"/>
    <w:rsid w:val="009B1851"/>
    <w:rsid w:val="009D29E9"/>
    <w:rsid w:val="009F30EB"/>
    <w:rsid w:val="00D0125C"/>
    <w:rsid w:val="00E51C1A"/>
    <w:rsid w:val="00E85C23"/>
    <w:rsid w:val="00EE2F27"/>
    <w:rsid w:val="02DD2025"/>
    <w:rsid w:val="048C617A"/>
    <w:rsid w:val="057A2188"/>
    <w:rsid w:val="05B41335"/>
    <w:rsid w:val="063464D5"/>
    <w:rsid w:val="0643114E"/>
    <w:rsid w:val="071B5B43"/>
    <w:rsid w:val="072A2AB0"/>
    <w:rsid w:val="077E760E"/>
    <w:rsid w:val="078B4AFB"/>
    <w:rsid w:val="0882107A"/>
    <w:rsid w:val="08AF091B"/>
    <w:rsid w:val="09727580"/>
    <w:rsid w:val="0AE709A3"/>
    <w:rsid w:val="0B0C56B6"/>
    <w:rsid w:val="0CE30C09"/>
    <w:rsid w:val="0D6E3BFE"/>
    <w:rsid w:val="0EFF493C"/>
    <w:rsid w:val="0F2B78C6"/>
    <w:rsid w:val="105B2670"/>
    <w:rsid w:val="11AC5077"/>
    <w:rsid w:val="11C036C3"/>
    <w:rsid w:val="125069F4"/>
    <w:rsid w:val="12BB195C"/>
    <w:rsid w:val="1340515C"/>
    <w:rsid w:val="13FB0312"/>
    <w:rsid w:val="143A4AE7"/>
    <w:rsid w:val="149E1EE1"/>
    <w:rsid w:val="15722B14"/>
    <w:rsid w:val="15967154"/>
    <w:rsid w:val="191252D3"/>
    <w:rsid w:val="19126CD5"/>
    <w:rsid w:val="19CF28DB"/>
    <w:rsid w:val="1B383ECD"/>
    <w:rsid w:val="1C4E3D72"/>
    <w:rsid w:val="1CC74D72"/>
    <w:rsid w:val="1D0A2EEA"/>
    <w:rsid w:val="1DD41D1C"/>
    <w:rsid w:val="1E9A3337"/>
    <w:rsid w:val="1EA81EF2"/>
    <w:rsid w:val="1EC12A60"/>
    <w:rsid w:val="1F5C155B"/>
    <w:rsid w:val="20CC78BB"/>
    <w:rsid w:val="221611D9"/>
    <w:rsid w:val="22B651B5"/>
    <w:rsid w:val="25C52E24"/>
    <w:rsid w:val="25E551CD"/>
    <w:rsid w:val="263F214B"/>
    <w:rsid w:val="26512C2D"/>
    <w:rsid w:val="26863160"/>
    <w:rsid w:val="2A182B89"/>
    <w:rsid w:val="2ACC0FE1"/>
    <w:rsid w:val="2B28268F"/>
    <w:rsid w:val="2B6803E2"/>
    <w:rsid w:val="2F87434C"/>
    <w:rsid w:val="31600D2C"/>
    <w:rsid w:val="32727289"/>
    <w:rsid w:val="33B5593A"/>
    <w:rsid w:val="34CD7CD8"/>
    <w:rsid w:val="35553927"/>
    <w:rsid w:val="35604BD7"/>
    <w:rsid w:val="374A22DB"/>
    <w:rsid w:val="37631C3B"/>
    <w:rsid w:val="379F11CA"/>
    <w:rsid w:val="388E321C"/>
    <w:rsid w:val="38B53A9D"/>
    <w:rsid w:val="38EC44D2"/>
    <w:rsid w:val="3A3454F8"/>
    <w:rsid w:val="3AE55824"/>
    <w:rsid w:val="3C4269E5"/>
    <w:rsid w:val="3CC345CA"/>
    <w:rsid w:val="3E322800"/>
    <w:rsid w:val="3E8E0E0F"/>
    <w:rsid w:val="3F2610BB"/>
    <w:rsid w:val="422F6C1E"/>
    <w:rsid w:val="42F4525D"/>
    <w:rsid w:val="449A79CD"/>
    <w:rsid w:val="45212C4A"/>
    <w:rsid w:val="464B5F99"/>
    <w:rsid w:val="466820A2"/>
    <w:rsid w:val="47651EA7"/>
    <w:rsid w:val="48176D02"/>
    <w:rsid w:val="48432DC0"/>
    <w:rsid w:val="49CB642C"/>
    <w:rsid w:val="4BDA579E"/>
    <w:rsid w:val="4C0F2726"/>
    <w:rsid w:val="4DBC7E04"/>
    <w:rsid w:val="4E4A79F7"/>
    <w:rsid w:val="4E8325B1"/>
    <w:rsid w:val="4FA936DB"/>
    <w:rsid w:val="511201CF"/>
    <w:rsid w:val="539A7177"/>
    <w:rsid w:val="5523330A"/>
    <w:rsid w:val="55321830"/>
    <w:rsid w:val="557A7388"/>
    <w:rsid w:val="571F1130"/>
    <w:rsid w:val="57B65A8C"/>
    <w:rsid w:val="58DC0FFD"/>
    <w:rsid w:val="591A0F2A"/>
    <w:rsid w:val="5A043BE0"/>
    <w:rsid w:val="5C502B82"/>
    <w:rsid w:val="5D1B3508"/>
    <w:rsid w:val="5D205263"/>
    <w:rsid w:val="5D405559"/>
    <w:rsid w:val="5D763895"/>
    <w:rsid w:val="5F5A3834"/>
    <w:rsid w:val="620649A1"/>
    <w:rsid w:val="62090ABF"/>
    <w:rsid w:val="63390C3E"/>
    <w:rsid w:val="64CD3226"/>
    <w:rsid w:val="66164216"/>
    <w:rsid w:val="669F7DF3"/>
    <w:rsid w:val="68ED60A0"/>
    <w:rsid w:val="699816FD"/>
    <w:rsid w:val="6AF16BDC"/>
    <w:rsid w:val="6B312539"/>
    <w:rsid w:val="6D13753B"/>
    <w:rsid w:val="6DA938EC"/>
    <w:rsid w:val="6EDF5106"/>
    <w:rsid w:val="6FF36385"/>
    <w:rsid w:val="705B12FE"/>
    <w:rsid w:val="71B741D8"/>
    <w:rsid w:val="728F00D6"/>
    <w:rsid w:val="73B37EA9"/>
    <w:rsid w:val="73F778EC"/>
    <w:rsid w:val="743331BD"/>
    <w:rsid w:val="75D37C5B"/>
    <w:rsid w:val="75DD41FD"/>
    <w:rsid w:val="76044BC8"/>
    <w:rsid w:val="77666B77"/>
    <w:rsid w:val="79231A8D"/>
    <w:rsid w:val="79CB31A7"/>
    <w:rsid w:val="7B034591"/>
    <w:rsid w:val="7BA3561B"/>
    <w:rsid w:val="7C2139AF"/>
    <w:rsid w:val="7CD57B47"/>
    <w:rsid w:val="7DE62FCD"/>
    <w:rsid w:val="7F1D2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13493</Words>
  <Characters>13640</Characters>
  <Lines>77</Lines>
  <Paragraphs>21</Paragraphs>
  <TotalTime>3</TotalTime>
  <ScaleCrop>false</ScaleCrop>
  <LinksUpToDate>false</LinksUpToDate>
  <CharactersWithSpaces>13816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2018-03-20T13:14:00Z</dcterms:created>
  <dc:creator>Administrator</dc:creator>
  <cp:lastModifiedBy>01PC</cp:lastModifiedBy>
  <cp:lastPrinted>2019-11-01T06:50:00Z</cp:lastPrinted>
  <dcterms:modified xsi:type="dcterms:W3CDTF">2019-12-13T08:27:11Z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