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平江县向家镇亿旺石材厂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92430626MA4R03N70J001U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92430626MA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151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湖南省岳阳市平江县向家镇北街居委会二组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151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2023-01-06 09:18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叶劲松,刘娟,易鑫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湘06051100029,431483,18060015153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现场检查时，该厂因临近春节已停产放假。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加强停产期间巡查及各项设施设备的维护检修，杜绝环境安全事故，确保复工复产后各项设施设备正常运行。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C82293B"/>
    <w:rsid w:val="35F6346F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2023-08-30T01:00:07Z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F4E8698A75F04144A1BA215590147F0F_13</vt:lpwstr>
  </property>
</Properties>
</file>