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18"/>
        </w:tabs>
        <w:spacing w:before="191" w:line="166" w:lineRule="auto"/>
        <w:ind w:firstLine="1746"/>
        <w:rPr>
          <w:rFonts w:ascii="Malgun Gothic" w:hAnsi="Malgun Gothic" w:eastAsia="Malgun Gothic" w:cs="Malgun Gothic"/>
          <w:sz w:val="44"/>
          <w:szCs w:val="44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市</w:t>
      </w:r>
      <w:r>
        <w:rPr>
          <w:rFonts w:ascii="Microsoft JhengHei" w:hAnsi="Microsoft JhengHei" w:eastAsia="Microsoft JhengHei" w:cs="Microsoft JhengHei"/>
          <w:spacing w:val="-2"/>
          <w:sz w:val="44"/>
          <w:szCs w:val="44"/>
        </w:rPr>
        <w:t>场监</w:t>
      </w:r>
      <w:r>
        <w:rPr>
          <w:rFonts w:ascii="Malgun Gothic" w:hAnsi="Malgun Gothic" w:eastAsia="Malgun Gothic" w:cs="Malgun Gothic"/>
          <w:spacing w:val="-2"/>
          <w:sz w:val="44"/>
          <w:szCs w:val="44"/>
        </w:rPr>
        <w:t>督管理局</w:t>
      </w:r>
    </w:p>
    <w:p>
      <w:pPr>
        <w:spacing w:before="2" w:line="204" w:lineRule="auto"/>
        <w:ind w:firstLine="2191"/>
        <w:rPr>
          <w:rFonts w:ascii="Microsoft JhengHei" w:hAnsi="Microsoft JhengHei" w:eastAsia="Microsoft JhengHei" w:cs="Microsoft JhengHei"/>
          <w:sz w:val="44"/>
          <w:szCs w:val="44"/>
        </w:rPr>
      </w:pPr>
      <w:bookmarkStart w:id="0" w:name="_GoBack"/>
      <w:r>
        <w:rPr>
          <w:rFonts w:ascii="Malgun Gothic" w:hAnsi="Malgun Gothic" w:eastAsia="Malgun Gothic" w:cs="Malgun Gothic"/>
          <w:spacing w:val="-1"/>
          <w:sz w:val="44"/>
          <w:szCs w:val="44"/>
        </w:rPr>
        <w:t>不予</w:t>
      </w:r>
      <w:bookmarkEnd w:id="0"/>
      <w:r>
        <w:rPr>
          <w:rFonts w:ascii="Malgun Gothic" w:hAnsi="Malgun Gothic" w:eastAsia="Malgun Gothic" w:cs="Malgun Gothic"/>
          <w:spacing w:val="-1"/>
          <w:sz w:val="44"/>
          <w:szCs w:val="44"/>
        </w:rPr>
        <w:t>行政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处罚决</w:t>
      </w:r>
      <w:r>
        <w:rPr>
          <w:rFonts w:ascii="Malgun Gothic" w:hAnsi="Malgun Gothic" w:eastAsia="Malgun Gothic" w:cs="Malgun Gothic"/>
          <w:spacing w:val="-1"/>
          <w:sz w:val="44"/>
          <w:szCs w:val="44"/>
        </w:rPr>
        <w:t>定</w:t>
      </w:r>
      <w:r>
        <w:rPr>
          <w:rFonts w:ascii="Microsoft JhengHei" w:hAnsi="Microsoft JhengHei" w:eastAsia="Microsoft JhengHei" w:cs="Microsoft JhengHei"/>
          <w:spacing w:val="-1"/>
          <w:sz w:val="44"/>
          <w:szCs w:val="44"/>
        </w:rPr>
        <w:t>书</w:t>
      </w:r>
    </w:p>
    <w:p>
      <w:pPr>
        <w:tabs>
          <w:tab w:val="left" w:pos="2725"/>
        </w:tabs>
        <w:spacing w:before="31" w:line="185" w:lineRule="auto"/>
        <w:ind w:firstLine="2219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7"/>
          <w:sz w:val="32"/>
          <w:szCs w:val="32"/>
        </w:rPr>
        <w:t>市监不罚〔</w:t>
      </w:r>
      <w:r>
        <w:rPr>
          <w:rFonts w:ascii="仿宋" w:hAnsi="仿宋" w:eastAsia="仿宋" w:cs="仿宋"/>
          <w:spacing w:val="18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ascii="仿宋" w:hAnsi="仿宋" w:eastAsia="仿宋" w:cs="仿宋"/>
          <w:spacing w:val="68"/>
          <w:sz w:val="32"/>
          <w:szCs w:val="32"/>
          <w:u w:val="single" w:color="auto"/>
        </w:rPr>
        <w:t xml:space="preserve"> 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284" w:lineRule="auto"/>
        <w:rPr>
          <w:rFonts w:ascii="Malgun Gothic"/>
          <w:sz w:val="21"/>
        </w:rPr>
      </w:pPr>
    </w:p>
    <w:p>
      <w:pPr>
        <w:spacing w:before="104" w:line="312" w:lineRule="auto"/>
        <w:ind w:left="35" w:right="16" w:firstLine="3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8"/>
          <w:w w:val="89"/>
          <w:sz w:val="32"/>
          <w:szCs w:val="32"/>
        </w:rPr>
        <w:t>当事人：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     </w:t>
      </w:r>
      <w:r>
        <w:rPr>
          <w:rFonts w:ascii="仿宋" w:hAnsi="仿宋" w:eastAsia="仿宋" w:cs="仿宋"/>
          <w:spacing w:val="22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主体资格证照名称：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28"/>
          <w:sz w:val="32"/>
          <w:szCs w:val="32"/>
        </w:rPr>
        <w:t>统一社会信用代码：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4"/>
          <w:sz w:val="32"/>
          <w:szCs w:val="32"/>
        </w:rPr>
        <w:t>住所（住址</w:t>
      </w:r>
      <w:r>
        <w:rPr>
          <w:rFonts w:ascii="仿宋" w:hAnsi="仿宋" w:eastAsia="仿宋" w:cs="仿宋"/>
          <w:spacing w:val="-131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               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法定代表人（负责人、经营者</w:t>
      </w:r>
      <w:r>
        <w:rPr>
          <w:rFonts w:ascii="仿宋" w:hAnsi="仿宋" w:eastAsia="仿宋" w:cs="仿宋"/>
          <w:spacing w:val="-96"/>
          <w:w w:val="67"/>
          <w:sz w:val="32"/>
          <w:szCs w:val="32"/>
        </w:rPr>
        <w:t>）：</w:t>
      </w:r>
      <w:r>
        <w:rPr>
          <w:rFonts w:ascii="仿宋" w:hAnsi="仿宋" w:eastAsia="仿宋" w:cs="仿宋"/>
          <w:spacing w:val="1"/>
          <w:sz w:val="32"/>
          <w:szCs w:val="32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21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1"/>
          <w:w w:val="98"/>
          <w:sz w:val="32"/>
          <w:szCs w:val="32"/>
        </w:rPr>
        <w:t>身份证件号码：</w:t>
      </w:r>
      <w:r>
        <w:rPr>
          <w:rFonts w:ascii="仿宋" w:hAnsi="仿宋" w:eastAsia="仿宋" w:cs="仿宋"/>
          <w:sz w:val="32"/>
          <w:szCs w:val="32"/>
          <w:u w:val="single" w:color="auto"/>
        </w:rPr>
        <w:t xml:space="preserve">                                        </w:t>
      </w:r>
    </w:p>
    <w:p>
      <w:pPr>
        <w:spacing w:line="264" w:lineRule="auto"/>
        <w:rPr>
          <w:rFonts w:ascii="Malgun Gothic"/>
          <w:sz w:val="21"/>
        </w:rPr>
      </w:pPr>
    </w:p>
    <w:p>
      <w:pPr>
        <w:spacing w:before="104" w:line="183" w:lineRule="auto"/>
        <w:ind w:firstLine="642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257810</wp:posOffset>
            </wp:positionV>
            <wp:extent cx="4874260" cy="8890"/>
            <wp:effectExtent l="0" t="0" r="0" b="0"/>
            <wp:wrapNone/>
            <wp:docPr id="235" name="IM 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 23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案件来源及调查经过</w:t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）</w:t>
      </w: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line="250" w:lineRule="auto"/>
        <w:rPr>
          <w:rFonts w:ascii="Malgun Gothic"/>
          <w:sz w:val="21"/>
        </w:rPr>
      </w:pPr>
    </w:p>
    <w:p>
      <w:pPr>
        <w:spacing w:before="104" w:line="185" w:lineRule="auto"/>
        <w:ind w:firstLine="662"/>
        <w:rPr>
          <w:rFonts w:ascii="楷体" w:hAnsi="楷体" w:eastAsia="楷体" w:cs="楷体"/>
          <w:sz w:val="32"/>
          <w:szCs w:val="32"/>
        </w:rPr>
      </w:pPr>
      <w:r>
        <w:rPr>
          <w:rFonts w:ascii="仿宋" w:hAnsi="仿宋" w:eastAsia="仿宋" w:cs="仿宋"/>
          <w:spacing w:val="15"/>
          <w:sz w:val="32"/>
          <w:szCs w:val="32"/>
        </w:rPr>
        <w:t>经查</w:t>
      </w:r>
      <w:r>
        <w:rPr>
          <w:rFonts w:ascii="仿宋" w:hAnsi="仿宋" w:eastAsia="仿宋" w:cs="仿宋"/>
          <w:spacing w:val="-44"/>
          <w:sz w:val="32"/>
          <w:szCs w:val="32"/>
        </w:rPr>
        <w:t>，</w:t>
      </w:r>
      <w:r>
        <w:rPr>
          <w:rFonts w:ascii="楷体" w:hAnsi="楷体" w:eastAsia="楷体" w:cs="楷体"/>
          <w:color w:val="231F20"/>
          <w:spacing w:val="-44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15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案件事实）</w:t>
      </w:r>
      <w:r>
        <w:rPr>
          <w:rFonts w:ascii="楷体" w:hAnsi="楷体" w:eastAsia="楷体" w:cs="楷体"/>
          <w:color w:val="231F20"/>
          <w:sz w:val="32"/>
          <w:szCs w:val="32"/>
          <w:u w:val="single" w:color="auto"/>
        </w:rPr>
        <w:t xml:space="preserve">                              </w:t>
      </w:r>
    </w:p>
    <w:p/>
    <w:p/>
    <w:p/>
    <w:p/>
    <w:p>
      <w:pPr>
        <w:spacing w:line="65" w:lineRule="exact"/>
      </w:pPr>
    </w:p>
    <w:tbl>
      <w:tblPr>
        <w:tblStyle w:val="4"/>
        <w:tblW w:w="8302" w:type="dxa"/>
        <w:tblInd w:w="16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42"/>
        <w:gridCol w:w="2560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5742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before="197" w:line="183" w:lineRule="auto"/>
              <w:ind w:firstLine="661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ascii="仿宋" w:hAnsi="仿宋" w:eastAsia="仿宋" w:cs="仿宋"/>
                <w:spacing w:val="-2"/>
                <w:sz w:val="32"/>
                <w:szCs w:val="32"/>
              </w:rPr>
              <w:t>上述事实，主要有以下证据证明：</w:t>
            </w:r>
          </w:p>
        </w:tc>
        <w:tc>
          <w:tcPr>
            <w:tcW w:w="2560" w:type="dxa"/>
            <w:tcBorders>
              <w:top w:val="single" w:color="000000" w:sz="6" w:space="0"/>
              <w:bottom w:val="single" w:color="231F20" w:sz="4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742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60" w:type="dxa"/>
            <w:tcBorders>
              <w:top w:val="single" w:color="231F20" w:sz="4" w:space="0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742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before="195" w:line="239" w:lineRule="auto"/>
              <w:ind w:left="20" w:right="20" w:firstLine="620"/>
              <w:rPr>
                <w:rFonts w:ascii="楷体" w:hAnsi="楷体" w:eastAsia="楷体" w:cs="楷体"/>
                <w:sz w:val="32"/>
                <w:szCs w:val="32"/>
              </w:rPr>
            </w:pPr>
            <w:r>
              <w:rPr>
                <w:rFonts w:ascii="楷体" w:hAnsi="楷体" w:eastAsia="楷体" w:cs="楷体"/>
                <w:color w:val="231F20"/>
                <w:spacing w:val="-3"/>
                <w:sz w:val="32"/>
                <w:szCs w:val="32"/>
                <w14:textOutline w14:w="5721" w14:cap="sq" w14:cmpd="sng">
                  <w14:solidFill>
                    <w14:srgbClr w14:val="231F20"/>
                  </w14:solidFill>
                  <w14:prstDash w14:val="solid"/>
                  <w14:bevel/>
                </w14:textOutline>
              </w:rPr>
              <w:t>（行政处罚告知情况，当事人陈述、</w:t>
            </w:r>
            <w:r>
              <w:rPr>
                <w:rFonts w:ascii="楷体" w:hAnsi="楷体" w:eastAsia="楷体" w:cs="楷体"/>
                <w:color w:val="231F20"/>
                <w:spacing w:val="8"/>
                <w:sz w:val="32"/>
                <w:szCs w:val="32"/>
              </w:rPr>
              <w:t xml:space="preserve"> </w:t>
            </w:r>
            <w:r>
              <w:rPr>
                <w:rFonts w:ascii="楷体" w:hAnsi="楷体" w:eastAsia="楷体" w:cs="楷体"/>
                <w:color w:val="231F20"/>
                <w:spacing w:val="-1"/>
                <w:sz w:val="32"/>
                <w:szCs w:val="32"/>
                <w14:textOutline w14:w="5721" w14:cap="sq" w14:cmpd="sng">
                  <w14:solidFill>
                    <w14:srgbClr w14:val="231F20"/>
                  </w14:solidFill>
                  <w14:prstDash w14:val="solid"/>
                  <w14:bevel/>
                </w14:textOutline>
              </w:rPr>
              <w:t>复核以及采纳情况和理由）</w:t>
            </w:r>
          </w:p>
        </w:tc>
        <w:tc>
          <w:tcPr>
            <w:tcW w:w="2560" w:type="dxa"/>
            <w:tcBorders>
              <w:top w:val="single" w:color="000000" w:sz="6" w:space="0"/>
              <w:bottom w:val="single" w:color="231F20" w:sz="4" w:space="0"/>
            </w:tcBorders>
            <w:vAlign w:val="top"/>
          </w:tcPr>
          <w:p>
            <w:pPr>
              <w:spacing w:before="199" w:line="182" w:lineRule="auto"/>
              <w:ind w:firstLine="86"/>
              <w:rPr>
                <w:rFonts w:ascii="楷体" w:hAnsi="楷体" w:eastAsia="楷体" w:cs="楷体"/>
                <w:sz w:val="30"/>
                <w:szCs w:val="30"/>
              </w:rPr>
            </w:pPr>
            <w:r>
              <w:rPr>
                <w:rFonts w:ascii="楷体" w:hAnsi="楷体" w:eastAsia="楷体" w:cs="楷体"/>
                <w:color w:val="231F20"/>
                <w:spacing w:val="4"/>
                <w:sz w:val="30"/>
                <w:szCs w:val="30"/>
                <w14:textOutline w14:w="5408" w14:cap="sq" w14:cmpd="sng">
                  <w14:solidFill>
                    <w14:srgbClr w14:val="231F20"/>
                  </w14:solidFill>
                  <w14:prstDash w14:val="solid"/>
                  <w14:bevel/>
                </w14:textOutline>
              </w:rPr>
              <w:t>申辩、听证意见，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742" w:type="dxa"/>
            <w:vMerge w:val="continue"/>
            <w:tcBorders>
              <w:top w:val="nil"/>
              <w:bottom w:val="single" w:color="231F2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  <w:tc>
          <w:tcPr>
            <w:tcW w:w="2560" w:type="dxa"/>
            <w:tcBorders>
              <w:top w:val="single" w:color="231F20" w:sz="4" w:space="0"/>
              <w:bottom w:val="single" w:color="000000" w:sz="6" w:space="0"/>
            </w:tcBorders>
            <w:vAlign w:val="top"/>
          </w:tcPr>
          <w:p>
            <w:pPr>
              <w:rPr>
                <w:rFonts w:ascii="Malgun Gothic"/>
                <w:sz w:val="21"/>
              </w:rPr>
            </w:pPr>
          </w:p>
        </w:tc>
      </w:tr>
    </w:tbl>
    <w:p>
      <w:pPr>
        <w:spacing w:line="416" w:lineRule="auto"/>
        <w:rPr>
          <w:rFonts w:ascii="Malgun Gothic"/>
          <w:sz w:val="21"/>
        </w:rPr>
      </w:pPr>
    </w:p>
    <w:p>
      <w:pPr>
        <w:tabs>
          <w:tab w:val="left" w:pos="801"/>
        </w:tabs>
        <w:spacing w:before="104" w:line="183" w:lineRule="auto"/>
        <w:ind w:firstLine="642"/>
        <w:rPr>
          <w:rFonts w:ascii="楷体" w:hAnsi="楷体" w:eastAsia="楷体" w:cs="楷体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color w:val="231F20"/>
          <w:spacing w:val="-13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-13"/>
          <w:sz w:val="32"/>
          <w:szCs w:val="32"/>
          <w:u w:val="single" w:color="auto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违法行为性质、不予行政处罚的决定和理由）</w:t>
      </w:r>
      <w:r>
        <w:rPr>
          <w:rFonts w:ascii="楷体" w:hAnsi="楷体" w:eastAsia="楷体" w:cs="楷体"/>
          <w:color w:val="231F20"/>
          <w:sz w:val="32"/>
          <w:szCs w:val="32"/>
          <w:u w:val="single" w:color="auto"/>
        </w:rPr>
        <w:t xml:space="preserve">       </w:t>
      </w:r>
    </w:p>
    <w:p>
      <w:pPr>
        <w:spacing w:line="264" w:lineRule="auto"/>
        <w:rPr>
          <w:rFonts w:ascii="Malgun Gothic"/>
          <w:sz w:val="21"/>
        </w:rPr>
      </w:pPr>
    </w:p>
    <w:p>
      <w:pPr>
        <w:spacing w:line="264" w:lineRule="auto"/>
        <w:rPr>
          <w:rFonts w:ascii="Malgun Gothic"/>
          <w:sz w:val="21"/>
        </w:rPr>
      </w:pPr>
    </w:p>
    <w:p>
      <w:pPr>
        <w:spacing w:line="264" w:lineRule="auto"/>
        <w:rPr>
          <w:rFonts w:ascii="Malgun Gothic"/>
          <w:sz w:val="21"/>
        </w:rPr>
      </w:pPr>
    </w:p>
    <w:p>
      <w:pPr>
        <w:spacing w:before="105" w:line="183" w:lineRule="auto"/>
        <w:ind w:firstLine="642"/>
        <w:rPr>
          <w:rFonts w:ascii="仿宋" w:hAnsi="仿宋" w:eastAsia="仿宋" w:cs="仿宋"/>
          <w:sz w:val="32"/>
          <w:szCs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407670</wp:posOffset>
            </wp:positionH>
            <wp:positionV relativeFrom="paragraph">
              <wp:posOffset>257810</wp:posOffset>
            </wp:positionV>
            <wp:extent cx="4874260" cy="8890"/>
            <wp:effectExtent l="0" t="0" r="0" b="0"/>
            <wp:wrapNone/>
            <wp:docPr id="236" name="IM 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 23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（</w:t>
      </w:r>
      <w:r>
        <w:rPr>
          <w:rFonts w:ascii="楷体" w:hAnsi="楷体" w:eastAsia="楷体" w:cs="楷体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救济途径和期限</w:t>
      </w:r>
      <w:r>
        <w:rPr>
          <w:rFonts w:ascii="仿宋" w:hAnsi="仿宋" w:eastAsia="仿宋" w:cs="仿宋"/>
          <w:color w:val="231F20"/>
          <w:spacing w:val="1"/>
          <w:sz w:val="32"/>
          <w:szCs w:val="32"/>
          <w14:textOutline w14:w="5793" w14:cap="sq" w14:cmpd="sng">
            <w14:solidFill>
              <w14:srgbClr w14:val="231F20"/>
            </w14:solidFill>
            <w14:prstDash w14:val="solid"/>
            <w14:bevel/>
          </w14:textOutline>
        </w:rPr>
        <w:t>）</w:t>
      </w:r>
    </w:p>
    <w:p>
      <w:pPr>
        <w:sectPr>
          <w:headerReference r:id="rId5" w:type="default"/>
          <w:footerReference r:id="rId6" w:type="default"/>
          <w:pgSz w:w="11906" w:h="16839"/>
          <w:pgMar w:top="400" w:right="1785" w:bottom="1126" w:left="1785" w:header="0" w:footer="929" w:gutter="0"/>
          <w:cols w:space="720" w:num="1"/>
        </w:sectPr>
      </w:pPr>
    </w:p>
    <w:p>
      <w:pPr>
        <w:spacing w:line="287" w:lineRule="auto"/>
        <w:rPr>
          <w:rFonts w:ascii="Malgun Gothic"/>
          <w:sz w:val="21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1210310</wp:posOffset>
            </wp:positionV>
            <wp:extent cx="5271770" cy="10795"/>
            <wp:effectExtent l="0" t="0" r="0" b="0"/>
            <wp:wrapNone/>
            <wp:docPr id="237" name="IM 2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IM 23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1143635</wp:posOffset>
            </wp:positionH>
            <wp:positionV relativeFrom="page">
              <wp:posOffset>1553210</wp:posOffset>
            </wp:positionV>
            <wp:extent cx="5271770" cy="10795"/>
            <wp:effectExtent l="0" t="0" r="0" b="0"/>
            <wp:wrapNone/>
            <wp:docPr id="238" name="IM 2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 23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1541780</wp:posOffset>
            </wp:positionH>
            <wp:positionV relativeFrom="page">
              <wp:posOffset>2578100</wp:posOffset>
            </wp:positionV>
            <wp:extent cx="4874260" cy="8890"/>
            <wp:effectExtent l="0" t="0" r="0" b="0"/>
            <wp:wrapNone/>
            <wp:docPr id="239" name="IM 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 23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1541780</wp:posOffset>
            </wp:positionH>
            <wp:positionV relativeFrom="page">
              <wp:posOffset>2921000</wp:posOffset>
            </wp:positionV>
            <wp:extent cx="4874260" cy="8890"/>
            <wp:effectExtent l="0" t="0" r="0" b="0"/>
            <wp:wrapNone/>
            <wp:docPr id="240" name="IM 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 24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7" w:lineRule="auto"/>
        <w:rPr>
          <w:rFonts w:ascii="Malgun Gothic"/>
          <w:sz w:val="21"/>
        </w:rPr>
      </w:pPr>
    </w:p>
    <w:p>
      <w:pPr>
        <w:spacing w:line="287" w:lineRule="auto"/>
        <w:rPr>
          <w:rFonts w:ascii="Malgun Gothic"/>
          <w:sz w:val="21"/>
        </w:rPr>
      </w:pPr>
    </w:p>
    <w:p>
      <w:pPr>
        <w:spacing w:line="288" w:lineRule="auto"/>
        <w:rPr>
          <w:rFonts w:ascii="Malgun Gothic"/>
          <w:sz w:val="21"/>
        </w:rPr>
      </w:pPr>
    </w:p>
    <w:p>
      <w:pPr>
        <w:spacing w:line="288" w:lineRule="auto"/>
        <w:rPr>
          <w:rFonts w:ascii="Malgun Gothic"/>
          <w:sz w:val="21"/>
        </w:rPr>
      </w:pPr>
    </w:p>
    <w:p>
      <w:pPr>
        <w:spacing w:before="104" w:line="312" w:lineRule="auto"/>
        <w:ind w:left="255" w:right="222" w:firstLine="598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color w:val="231F20"/>
          <w:spacing w:val="-8"/>
          <w:sz w:val="32"/>
          <w:szCs w:val="32"/>
        </w:rPr>
        <w:t>依据《中华人民共和国行政处罚法》</w:t>
      </w:r>
      <w:r>
        <w:rPr>
          <w:rFonts w:ascii="黑体" w:hAnsi="黑体" w:eastAsia="黑体" w:cs="黑体"/>
          <w:color w:val="231F20"/>
          <w:spacing w:val="15"/>
          <w:sz w:val="32"/>
          <w:szCs w:val="32"/>
        </w:rPr>
        <w:t xml:space="preserve"> </w:t>
      </w:r>
      <w:r>
        <w:rPr>
          <w:rFonts w:ascii="黑体" w:hAnsi="黑体" w:eastAsia="黑体" w:cs="黑体"/>
          <w:color w:val="231F20"/>
          <w:spacing w:val="-8"/>
          <w:sz w:val="32"/>
          <w:szCs w:val="32"/>
        </w:rPr>
        <w:t>第三十三条第三款</w:t>
      </w:r>
      <w:r>
        <w:rPr>
          <w:rFonts w:ascii="黑体" w:hAnsi="黑体" w:eastAsia="黑体" w:cs="黑体"/>
          <w:color w:val="231F20"/>
          <w:sz w:val="32"/>
          <w:szCs w:val="32"/>
        </w:rPr>
        <w:t xml:space="preserve"> </w:t>
      </w:r>
      <w:r>
        <w:rPr>
          <w:rFonts w:ascii="黑体" w:hAnsi="黑体" w:eastAsia="黑体" w:cs="黑体"/>
          <w:color w:val="231F20"/>
          <w:spacing w:val="-9"/>
          <w:sz w:val="32"/>
          <w:szCs w:val="32"/>
        </w:rPr>
        <w:t>的规定，对你（单位）</w:t>
      </w:r>
      <w:r>
        <w:rPr>
          <w:rFonts w:ascii="黑体" w:hAnsi="黑体" w:eastAsia="黑体" w:cs="黑体"/>
          <w:color w:val="231F20"/>
          <w:spacing w:val="1"/>
          <w:sz w:val="32"/>
          <w:szCs w:val="32"/>
        </w:rPr>
        <w:t xml:space="preserve"> </w:t>
      </w:r>
      <w:r>
        <w:rPr>
          <w:rFonts w:ascii="黑体" w:hAnsi="黑体" w:eastAsia="黑体" w:cs="黑体"/>
          <w:color w:val="231F20"/>
          <w:spacing w:val="-9"/>
          <w:sz w:val="32"/>
          <w:szCs w:val="32"/>
        </w:rPr>
        <w:t>进行教育，具体内容如下：</w:t>
      </w:r>
    </w:p>
    <w:p>
      <w:pPr>
        <w:spacing w:before="40" w:line="180" w:lineRule="auto"/>
        <w:ind w:firstLine="878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8"/>
          <w:sz w:val="32"/>
          <w:szCs w:val="32"/>
        </w:rPr>
        <w:t>1.</w:t>
      </w:r>
    </w:p>
    <w:p>
      <w:pPr>
        <w:spacing w:before="227" w:line="180" w:lineRule="auto"/>
        <w:ind w:firstLine="87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4"/>
          <w:sz w:val="32"/>
          <w:szCs w:val="32"/>
        </w:rPr>
        <w:t>2.</w:t>
      </w:r>
    </w:p>
    <w:p>
      <w:pPr>
        <w:spacing w:before="228" w:line="180" w:lineRule="auto"/>
        <w:ind w:firstLine="883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color w:val="231F20"/>
          <w:spacing w:val="-15"/>
          <w:w w:val="97"/>
          <w:sz w:val="32"/>
          <w:szCs w:val="32"/>
          <w:u w:val="single" w:color="auto"/>
        </w:rPr>
        <w:t>3.</w:t>
      </w:r>
      <w:r>
        <w:rPr>
          <w:rFonts w:ascii="仿宋" w:hAnsi="仿宋" w:eastAsia="仿宋" w:cs="仿宋"/>
          <w:color w:val="231F20"/>
          <w:sz w:val="32"/>
          <w:szCs w:val="32"/>
          <w:u w:val="single" w:color="auto"/>
        </w:rPr>
        <w:t xml:space="preserve">                                              </w:t>
      </w:r>
    </w:p>
    <w:p>
      <w:pPr>
        <w:spacing w:line="290" w:lineRule="auto"/>
        <w:rPr>
          <w:rFonts w:ascii="Malgun Gothic"/>
          <w:sz w:val="21"/>
        </w:rPr>
      </w:pPr>
    </w:p>
    <w:p>
      <w:pPr>
        <w:spacing w:line="290" w:lineRule="auto"/>
        <w:rPr>
          <w:rFonts w:ascii="Malgun Gothic"/>
          <w:sz w:val="21"/>
        </w:rPr>
      </w:pPr>
    </w:p>
    <w:p>
      <w:pPr>
        <w:spacing w:line="290" w:lineRule="auto"/>
        <w:rPr>
          <w:rFonts w:ascii="Malgun Gothic"/>
          <w:sz w:val="21"/>
        </w:rPr>
      </w:pPr>
    </w:p>
    <w:p>
      <w:pPr>
        <w:spacing w:line="291" w:lineRule="auto"/>
        <w:rPr>
          <w:rFonts w:ascii="Malgun Gothic"/>
          <w:sz w:val="21"/>
        </w:rPr>
      </w:pPr>
    </w:p>
    <w:p>
      <w:pPr>
        <w:tabs>
          <w:tab w:val="left" w:pos="5667"/>
        </w:tabs>
        <w:spacing w:before="104" w:line="254" w:lineRule="auto"/>
        <w:ind w:left="5789" w:right="861" w:hanging="1910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sz w:val="21"/>
          <w:szCs w:val="21"/>
          <w:u w:val="single" w:color="auto"/>
        </w:rPr>
        <w:tab/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（</w:t>
      </w:r>
      <w:r>
        <w:rPr>
          <w:rFonts w:ascii="仿宋" w:hAnsi="仿宋" w:eastAsia="仿宋" w:cs="仿宋"/>
          <w:spacing w:val="-65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印</w:t>
      </w:r>
      <w:r>
        <w:rPr>
          <w:rFonts w:ascii="仿宋" w:hAnsi="仿宋" w:eastAsia="仿宋" w:cs="仿宋"/>
          <w:spacing w:val="23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章</w:t>
      </w:r>
      <w:r>
        <w:rPr>
          <w:rFonts w:ascii="仿宋" w:hAnsi="仿宋" w:eastAsia="仿宋" w:cs="仿宋"/>
          <w:spacing w:val="-119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30"/>
          <w:sz w:val="32"/>
          <w:szCs w:val="32"/>
        </w:rPr>
        <w:t>）</w:t>
      </w:r>
    </w:p>
    <w:p>
      <w:pPr>
        <w:spacing w:before="242" w:line="183" w:lineRule="auto"/>
        <w:ind w:firstLine="533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2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43" w:lineRule="auto"/>
        <w:rPr>
          <w:rFonts w:ascii="Malgun Gothic"/>
          <w:sz w:val="21"/>
        </w:rPr>
      </w:pPr>
    </w:p>
    <w:p>
      <w:pPr>
        <w:spacing w:line="26" w:lineRule="exact"/>
        <w:textAlignment w:val="center"/>
      </w:pPr>
      <w:r>
        <w:drawing>
          <wp:inline distT="0" distB="0" distL="0" distR="0">
            <wp:extent cx="5550535" cy="15875"/>
            <wp:effectExtent l="0" t="0" r="0" b="0"/>
            <wp:docPr id="241" name="IM 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 24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6" w:line="183" w:lineRule="auto"/>
        <w:ind w:firstLine="231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0"/>
          <w:sz w:val="32"/>
          <w:szCs w:val="32"/>
        </w:rPr>
        <w:t>本文书一式</w:t>
      </w:r>
      <w:r>
        <w:rPr>
          <w:rFonts w:ascii="仿宋" w:hAnsi="仿宋" w:eastAsia="仿宋" w:cs="仿宋"/>
          <w:spacing w:val="6"/>
          <w:sz w:val="32"/>
          <w:szCs w:val="32"/>
          <w:u w:val="single" w:color="auto"/>
        </w:rPr>
        <w:t xml:space="preserve">    </w:t>
      </w:r>
      <w:r>
        <w:rPr>
          <w:rFonts w:ascii="仿宋" w:hAnsi="仿宋" w:eastAsia="仿宋" w:cs="仿宋"/>
          <w:spacing w:val="-10"/>
          <w:sz w:val="32"/>
          <w:szCs w:val="32"/>
        </w:rPr>
        <w:t>份，</w:t>
      </w:r>
      <w:r>
        <w:rPr>
          <w:rFonts w:ascii="仿宋" w:hAnsi="仿宋" w:eastAsia="仿宋" w:cs="仿宋"/>
          <w:spacing w:val="20"/>
          <w:sz w:val="32"/>
          <w:szCs w:val="32"/>
          <w:u w:val="single" w:color="auto"/>
        </w:rPr>
        <w:t xml:space="preserve">   </w:t>
      </w:r>
      <w:r>
        <w:rPr>
          <w:rFonts w:ascii="仿宋" w:hAnsi="仿宋" w:eastAsia="仿宋" w:cs="仿宋"/>
          <w:spacing w:val="-10"/>
          <w:sz w:val="32"/>
          <w:szCs w:val="32"/>
        </w:rPr>
        <w:t>份送达，一份归档，</w:t>
      </w:r>
      <w:r>
        <w:rPr>
          <w:rFonts w:ascii="仿宋" w:hAnsi="仿宋" w:eastAsia="仿宋" w:cs="仿宋"/>
          <w:spacing w:val="3"/>
          <w:sz w:val="32"/>
          <w:szCs w:val="32"/>
          <w:u w:val="single" w:color="auto"/>
        </w:rPr>
        <w:t xml:space="preserve">            </w:t>
      </w:r>
      <w:r>
        <w:rPr>
          <w:rFonts w:ascii="仿宋" w:hAnsi="仿宋" w:eastAsia="仿宋" w:cs="仿宋"/>
          <w:spacing w:val="-10"/>
          <w:sz w:val="32"/>
          <w:szCs w:val="32"/>
        </w:rPr>
        <w:t>。</w:t>
      </w:r>
    </w:p>
    <w:p>
      <w:pPr>
        <w:sectPr>
          <w:headerReference r:id="rId7" w:type="default"/>
          <w:footerReference r:id="rId8" w:type="default"/>
          <w:pgSz w:w="11906" w:h="16839"/>
          <w:pgMar w:top="400" w:right="1581" w:bottom="1126" w:left="1583" w:header="0" w:footer="929" w:gutter="0"/>
          <w:cols w:space="720" w:num="1"/>
        </w:sectPr>
      </w:pPr>
    </w:p>
    <w:p/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16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66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7400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67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  <w:r>
      <w:rPr>
        <w:rFonts w:ascii="宋体" w:hAnsi="宋体" w:eastAsia="宋体" w:cs="宋体"/>
        <w:spacing w:val="15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28</w:t>
    </w:r>
    <w:r>
      <w:rPr>
        <w:rFonts w:ascii="宋体" w:hAnsi="宋体" w:eastAsia="宋体" w:cs="宋体"/>
        <w:spacing w:val="-2"/>
        <w:position w:val="-4"/>
        <w:sz w:val="28"/>
        <w:szCs w:val="28"/>
      </w:rPr>
      <w:t xml:space="preserve"> </w:t>
    </w:r>
    <w:r>
      <w:rPr>
        <w:rFonts w:ascii="宋体" w:hAnsi="宋体" w:eastAsia="宋体" w:cs="宋体"/>
        <w:spacing w:val="-3"/>
        <w:position w:val="-4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45C61"/>
    <w:rsid w:val="03CD51B9"/>
    <w:rsid w:val="07187AC2"/>
    <w:rsid w:val="0C350AD1"/>
    <w:rsid w:val="0E5D49FE"/>
    <w:rsid w:val="0E6B31A6"/>
    <w:rsid w:val="1139142B"/>
    <w:rsid w:val="12B14FE2"/>
    <w:rsid w:val="1A4446E9"/>
    <w:rsid w:val="22043500"/>
    <w:rsid w:val="2A816856"/>
    <w:rsid w:val="2E167879"/>
    <w:rsid w:val="358D4217"/>
    <w:rsid w:val="3D2A017E"/>
    <w:rsid w:val="3DAA2BDE"/>
    <w:rsid w:val="3F62246A"/>
    <w:rsid w:val="40C45C61"/>
    <w:rsid w:val="411F0E08"/>
    <w:rsid w:val="48E847AE"/>
    <w:rsid w:val="4A282339"/>
    <w:rsid w:val="4B0C26C1"/>
    <w:rsid w:val="53F63AFE"/>
    <w:rsid w:val="549D6B60"/>
    <w:rsid w:val="58F71674"/>
    <w:rsid w:val="6494772F"/>
    <w:rsid w:val="663866E1"/>
    <w:rsid w:val="6D836A6F"/>
    <w:rsid w:val="734E6F61"/>
    <w:rsid w:val="76B1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2021-07-22T01:01:00Z</dcterms:created>
  <dc:creator>Administrator</dc:creator>
  <cp:lastModifiedBy>Administrator</cp:lastModifiedBy>
  <dcterms:modified xsi:type="dcterms:W3CDTF">2021-07-22T01:13:33Z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2BCF64122E914A50A037570AA5C0F25A</vt:lpwstr>
  </property>
</Properties>
</file>