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617"/>
        </w:tabs>
        <w:spacing w:before="190" w:line="173" w:lineRule="auto"/>
        <w:ind w:firstLine="1844"/>
        <w:rPr>
          <w:rFonts w:ascii="Malgun Gothic" w:hAnsi="Malgun Gothic" w:eastAsia="Malgun Gothic" w:cs="Malgun Gothic"/>
          <w:sz w:val="44"/>
          <w:szCs w:val="44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市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场监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督管理局</w:t>
      </w:r>
    </w:p>
    <w:p>
      <w:pPr>
        <w:spacing w:before="1" w:line="204" w:lineRule="auto"/>
        <w:ind w:firstLine="2268"/>
        <w:rPr>
          <w:rFonts w:ascii="Microsoft JhengHei" w:hAnsi="Microsoft JhengHei" w:eastAsia="Microsoft JhengHei" w:cs="Microsoft JhengHei"/>
          <w:sz w:val="44"/>
          <w:szCs w:val="44"/>
        </w:rPr>
      </w:pPr>
      <w:bookmarkStart w:id="0" w:name="_GoBack"/>
      <w:r>
        <w:rPr>
          <w:rFonts w:ascii="Malgun Gothic" w:hAnsi="Malgun Gothic" w:eastAsia="Malgun Gothic" w:cs="Malgun Gothic"/>
          <w:spacing w:val="-2"/>
          <w:sz w:val="44"/>
          <w:szCs w:val="44"/>
        </w:rPr>
        <w:t>先行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处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置物品确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认书</w:t>
      </w:r>
      <w:bookmarkEnd w:id="0"/>
    </w:p>
    <w:p/>
    <w:p>
      <w:pPr>
        <w:spacing w:line="21" w:lineRule="exact"/>
      </w:pPr>
    </w:p>
    <w:tbl>
      <w:tblPr>
        <w:tblStyle w:val="4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5"/>
        <w:gridCol w:w="742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1105" w:type="dxa"/>
            <w:vAlign w:val="top"/>
          </w:tcPr>
          <w:p>
            <w:pPr>
              <w:spacing w:before="187" w:line="184" w:lineRule="auto"/>
              <w:ind w:firstLine="20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权利人</w:t>
            </w:r>
          </w:p>
        </w:tc>
        <w:tc>
          <w:tcPr>
            <w:tcW w:w="7421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4" w:hRule="atLeast"/>
        </w:trPr>
        <w:tc>
          <w:tcPr>
            <w:tcW w:w="1105" w:type="dxa"/>
            <w:textDirection w:val="tbRlV"/>
            <w:vAlign w:val="top"/>
          </w:tcPr>
          <w:p>
            <w:pPr>
              <w:spacing w:before="430" w:line="180" w:lineRule="auto"/>
              <w:ind w:firstLine="63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告</w:t>
            </w:r>
            <w:r>
              <w:rPr>
                <w:rFonts w:ascii="仿宋" w:hAnsi="仿宋" w:eastAsia="仿宋" w:cs="仿宋"/>
                <w:spacing w:val="-37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知</w:t>
            </w:r>
            <w:r>
              <w:rPr>
                <w:rFonts w:ascii="仿宋" w:hAnsi="仿宋" w:eastAsia="仿宋" w:cs="仿宋"/>
                <w:spacing w:val="-4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事</w:t>
            </w:r>
            <w:r>
              <w:rPr>
                <w:rFonts w:ascii="仿宋" w:hAnsi="仿宋" w:eastAsia="仿宋" w:cs="仿宋"/>
                <w:spacing w:val="-3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项</w:t>
            </w:r>
          </w:p>
        </w:tc>
        <w:tc>
          <w:tcPr>
            <w:tcW w:w="7421" w:type="dxa"/>
            <w:vAlign w:val="top"/>
          </w:tcPr>
          <w:p>
            <w:pPr>
              <w:spacing w:before="52" w:line="184" w:lineRule="auto"/>
              <w:ind w:firstLine="58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依据《市场监督管理行政处罚程序规定》</w:t>
            </w:r>
            <w:r>
              <w:rPr>
                <w:rFonts w:ascii="仿宋" w:hAnsi="仿宋" w:eastAsia="仿宋" w:cs="仿宋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第四十一条第三款的规</w:t>
            </w:r>
          </w:p>
          <w:p>
            <w:pPr>
              <w:spacing w:before="80" w:line="184" w:lineRule="auto"/>
              <w:ind w:firstLine="11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定，告知如下：</w:t>
            </w:r>
          </w:p>
          <w:p>
            <w:pPr>
              <w:spacing w:before="65" w:line="184" w:lineRule="auto"/>
              <w:ind w:firstLine="59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对于查封、扣押的场所、设施或者财物，除法律、法规另有规定</w:t>
            </w:r>
          </w:p>
          <w:p>
            <w:pPr>
              <w:spacing w:before="60" w:line="231" w:lineRule="auto"/>
              <w:ind w:left="116" w:right="106" w:firstLine="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外，容易损毁、灭失、变质、保管困难或者保管费用过高、季节性商</w:t>
            </w:r>
            <w:r>
              <w:rPr>
                <w:rFonts w:ascii="仿宋" w:hAnsi="仿宋" w:eastAsia="仿宋" w:cs="仿宋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品等不宜长期保存的物品，在确定为罚没财物前，经权利人同意或者</w:t>
            </w:r>
            <w:r>
              <w:rPr>
                <w:rFonts w:ascii="仿宋" w:hAnsi="仿宋" w:eastAsia="仿宋" w:cs="仿宋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申请，并经市场监督管理部门负责人批准，在采取相关措施留存证据</w:t>
            </w:r>
            <w:r>
              <w:rPr>
                <w:rFonts w:ascii="仿宋" w:hAnsi="仿宋" w:eastAsia="仿宋" w:cs="仿宋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后，可以依法先行处置。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4" w:hRule="atLeast"/>
        </w:trPr>
        <w:tc>
          <w:tcPr>
            <w:tcW w:w="1105" w:type="dxa"/>
            <w:vAlign w:val="top"/>
          </w:tcPr>
          <w:p>
            <w:pPr>
              <w:spacing w:line="406" w:lineRule="auto"/>
              <w:rPr>
                <w:rFonts w:ascii="Malgun Gothic"/>
                <w:sz w:val="21"/>
              </w:rPr>
            </w:pPr>
          </w:p>
          <w:p>
            <w:pPr>
              <w:spacing w:before="78" w:line="319" w:lineRule="exact"/>
              <w:ind w:firstLine="32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7"/>
                <w:position w:val="4"/>
                <w:sz w:val="24"/>
                <w:szCs w:val="24"/>
              </w:rPr>
              <w:t>先行</w:t>
            </w:r>
          </w:p>
          <w:p>
            <w:pPr>
              <w:spacing w:line="204" w:lineRule="auto"/>
              <w:ind w:firstLine="32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处置</w:t>
            </w:r>
          </w:p>
          <w:p>
            <w:pPr>
              <w:spacing w:before="55" w:line="184" w:lineRule="auto"/>
              <w:ind w:firstLine="32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物品</w:t>
            </w:r>
          </w:p>
          <w:p>
            <w:pPr>
              <w:spacing w:before="79" w:line="184" w:lineRule="auto"/>
              <w:ind w:firstLine="33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5"/>
                <w:sz w:val="24"/>
                <w:szCs w:val="24"/>
              </w:rPr>
              <w:t>范围</w:t>
            </w:r>
          </w:p>
        </w:tc>
        <w:tc>
          <w:tcPr>
            <w:tcW w:w="7421" w:type="dxa"/>
            <w:vAlign w:val="top"/>
          </w:tcPr>
          <w:p>
            <w:pPr>
              <w:spacing w:before="53" w:line="246" w:lineRule="auto"/>
              <w:ind w:left="113" w:right="109" w:firstLine="28"/>
              <w:rPr>
                <w:rFonts w:ascii="仿宋" w:hAnsi="仿宋" w:eastAsia="仿宋" w:cs="仿宋"/>
                <w:sz w:val="24"/>
                <w:szCs w:val="24"/>
              </w:rPr>
            </w:pPr>
            <w:r>
              <w:drawing>
                <wp:anchor distT="0" distB="0" distL="0" distR="0" simplePos="0" relativeHeight="251659264" behindDoc="0" locked="0" layoutInCell="1" allowOverlap="1">
                  <wp:simplePos x="0" y="0"/>
                  <wp:positionH relativeFrom="rightMargin">
                    <wp:posOffset>-4643120</wp:posOffset>
                  </wp:positionH>
                  <wp:positionV relativeFrom="topMargin">
                    <wp:posOffset>1397635</wp:posOffset>
                  </wp:positionV>
                  <wp:extent cx="4575175" cy="7620"/>
                  <wp:effectExtent l="0" t="0" r="0" b="0"/>
                  <wp:wrapNone/>
                  <wp:docPr id="101" name="IM 1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" name="IM 10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5175" cy="76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□依据《实施行政强制措施决定书》（</w:t>
            </w:r>
            <w:r>
              <w:rPr>
                <w:rFonts w:ascii="仿宋" w:hAnsi="仿宋" w:eastAsia="仿宋" w:cs="仿宋"/>
                <w:spacing w:val="17"/>
                <w:sz w:val="24"/>
                <w:szCs w:val="24"/>
                <w:u w:val="single" w:color="auto"/>
              </w:rPr>
              <w:t xml:space="preserve">   </w:t>
            </w: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市监强制〔</w:t>
            </w:r>
            <w:r>
              <w:rPr>
                <w:rFonts w:ascii="仿宋" w:hAnsi="仿宋" w:eastAsia="仿宋" w:cs="仿宋"/>
                <w:spacing w:val="13"/>
                <w:sz w:val="24"/>
                <w:szCs w:val="24"/>
                <w:u w:val="single" w:color="auto"/>
              </w:rPr>
              <w:t xml:space="preserve">    </w:t>
            </w: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〕</w:t>
            </w:r>
            <w:r>
              <w:rPr>
                <w:rFonts w:ascii="仿宋" w:hAnsi="仿宋" w:eastAsia="仿宋" w:cs="仿宋"/>
                <w:spacing w:val="51"/>
                <w:sz w:val="24"/>
                <w:szCs w:val="24"/>
                <w:u w:val="single" w:color="auto"/>
              </w:rPr>
              <w:t xml:space="preserve">  </w:t>
            </w: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号</w:t>
            </w:r>
            <w:r>
              <w:rPr>
                <w:rFonts w:ascii="仿宋" w:hAnsi="仿宋" w:eastAsia="仿宋" w:cs="仿宋"/>
                <w:spacing w:val="-61"/>
                <w:sz w:val="24"/>
                <w:szCs w:val="24"/>
              </w:rPr>
              <w:t>），</w:t>
            </w:r>
            <w:r>
              <w:rPr>
                <w:rFonts w:ascii="仿宋" w:hAnsi="仿宋" w:eastAsia="仿宋" w:cs="仿宋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12"/>
                <w:sz w:val="24"/>
                <w:szCs w:val="24"/>
                <w:u w:val="single" w:color="auto"/>
              </w:rPr>
              <w:t>查封</w:t>
            </w:r>
            <w:r>
              <w:rPr>
                <w:rFonts w:ascii="仿宋" w:hAnsi="仿宋" w:eastAsia="仿宋" w:cs="仿宋"/>
                <w:spacing w:val="-67"/>
                <w:sz w:val="24"/>
                <w:szCs w:val="24"/>
                <w:u w:val="single" w:color="auto"/>
              </w:rPr>
              <w:t xml:space="preserve"> </w:t>
            </w:r>
            <w:r>
              <w:rPr>
                <w:rFonts w:ascii="仿宋" w:hAnsi="仿宋" w:eastAsia="仿宋" w:cs="仿宋"/>
                <w:spacing w:val="12"/>
                <w:sz w:val="24"/>
                <w:szCs w:val="24"/>
                <w:u w:val="single" w:color="auto"/>
              </w:rPr>
              <w:t>/扣押</w:t>
            </w:r>
            <w:r>
              <w:rPr>
                <w:rFonts w:ascii="仿宋" w:hAnsi="仿宋" w:eastAsia="仿宋" w:cs="仿宋"/>
                <w:spacing w:val="12"/>
                <w:sz w:val="24"/>
                <w:szCs w:val="24"/>
              </w:rPr>
              <w:t>的全部物品（</w:t>
            </w:r>
            <w:r>
              <w:rPr>
                <w:rFonts w:ascii="仿宋" w:hAnsi="仿宋" w:eastAsia="仿宋" w:cs="仿宋"/>
                <w:spacing w:val="-4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12"/>
                <w:sz w:val="24"/>
                <w:szCs w:val="24"/>
              </w:rPr>
              <w:t>详</w:t>
            </w:r>
            <w:r>
              <w:rPr>
                <w:rFonts w:ascii="仿宋" w:hAnsi="仿宋" w:eastAsia="仿宋" w:cs="仿宋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12"/>
                <w:sz w:val="24"/>
                <w:szCs w:val="24"/>
              </w:rPr>
              <w:t>见《</w:t>
            </w:r>
            <w:r>
              <w:rPr>
                <w:rFonts w:ascii="仿宋" w:hAnsi="仿宋" w:eastAsia="仿宋" w:cs="仿宋"/>
                <w:spacing w:val="-62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12"/>
                <w:sz w:val="24"/>
                <w:szCs w:val="24"/>
              </w:rPr>
              <w:t>场所</w:t>
            </w:r>
            <w:r>
              <w:rPr>
                <w:rFonts w:ascii="仿宋" w:hAnsi="仿宋" w:eastAsia="仿宋" w:cs="仿宋"/>
                <w:spacing w:val="-7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12"/>
                <w:sz w:val="24"/>
                <w:szCs w:val="24"/>
              </w:rPr>
              <w:t>/设施</w:t>
            </w:r>
            <w:r>
              <w:rPr>
                <w:rFonts w:ascii="仿宋" w:hAnsi="仿宋" w:eastAsia="仿宋" w:cs="仿宋"/>
                <w:spacing w:val="-7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12"/>
                <w:sz w:val="24"/>
                <w:szCs w:val="24"/>
              </w:rPr>
              <w:t>/财物</w:t>
            </w:r>
            <w:r>
              <w:rPr>
                <w:rFonts w:ascii="仿宋" w:hAnsi="仿宋" w:eastAsia="仿宋" w:cs="仿宋"/>
                <w:spacing w:val="-68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12"/>
                <w:sz w:val="24"/>
                <w:szCs w:val="24"/>
              </w:rPr>
              <w:t>清单</w:t>
            </w:r>
            <w:r>
              <w:rPr>
                <w:rFonts w:ascii="仿宋" w:hAnsi="仿宋" w:eastAsia="仿宋" w:cs="仿宋"/>
                <w:spacing w:val="-7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12"/>
                <w:sz w:val="24"/>
                <w:szCs w:val="24"/>
              </w:rPr>
              <w:t>》文</w:t>
            </w:r>
            <w:r>
              <w:rPr>
                <w:rFonts w:ascii="仿宋" w:hAnsi="仿宋" w:eastAsia="仿宋" w:cs="仿宋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12"/>
                <w:sz w:val="24"/>
                <w:szCs w:val="24"/>
              </w:rPr>
              <w:t>书编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号</w:t>
            </w:r>
            <w:r>
              <w:rPr>
                <w:rFonts w:ascii="仿宋" w:hAnsi="仿宋" w:eastAsia="仿宋" w:cs="仿宋"/>
                <w:spacing w:val="-104"/>
                <w:w w:val="96"/>
                <w:sz w:val="24"/>
                <w:szCs w:val="24"/>
              </w:rPr>
              <w:t>：</w:t>
            </w:r>
            <w:r>
              <w:rPr>
                <w:rFonts w:ascii="仿宋" w:hAnsi="仿宋" w:eastAsia="仿宋" w:cs="仿宋"/>
                <w:spacing w:val="7"/>
                <w:sz w:val="24"/>
                <w:szCs w:val="24"/>
                <w:u w:val="single" w:color="auto"/>
              </w:rPr>
              <w:t xml:space="preserve">             </w:t>
            </w:r>
            <w:r>
              <w:rPr>
                <w:rFonts w:ascii="仿宋" w:hAnsi="仿宋" w:eastAsia="仿宋" w:cs="仿宋"/>
                <w:spacing w:val="-104"/>
                <w:w w:val="96"/>
                <w:sz w:val="24"/>
                <w:szCs w:val="24"/>
              </w:rPr>
              <w:t>）；</w:t>
            </w:r>
          </w:p>
          <w:p>
            <w:pPr>
              <w:spacing w:before="319" w:line="246" w:lineRule="auto"/>
              <w:ind w:left="113" w:right="107" w:firstLine="2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□依据《实施行政强制措施决定书》（</w:t>
            </w:r>
            <w:r>
              <w:rPr>
                <w:rFonts w:ascii="仿宋" w:hAnsi="仿宋" w:eastAsia="仿宋" w:cs="仿宋"/>
                <w:spacing w:val="17"/>
                <w:sz w:val="24"/>
                <w:szCs w:val="24"/>
                <w:u w:val="single" w:color="auto"/>
              </w:rPr>
              <w:t xml:space="preserve">   </w:t>
            </w: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市监强制〔</w:t>
            </w:r>
            <w:r>
              <w:rPr>
                <w:rFonts w:ascii="仿宋" w:hAnsi="仿宋" w:eastAsia="仿宋" w:cs="仿宋"/>
                <w:spacing w:val="13"/>
                <w:sz w:val="24"/>
                <w:szCs w:val="24"/>
                <w:u w:val="single" w:color="auto"/>
              </w:rPr>
              <w:t xml:space="preserve">    </w:t>
            </w: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〕</w:t>
            </w:r>
            <w:r>
              <w:rPr>
                <w:rFonts w:ascii="仿宋" w:hAnsi="仿宋" w:eastAsia="仿宋" w:cs="仿宋"/>
                <w:spacing w:val="51"/>
                <w:sz w:val="24"/>
                <w:szCs w:val="24"/>
                <w:u w:val="single" w:color="auto"/>
              </w:rPr>
              <w:t xml:space="preserve">  </w:t>
            </w: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号</w:t>
            </w:r>
            <w:r>
              <w:rPr>
                <w:rFonts w:ascii="仿宋" w:hAnsi="仿宋" w:eastAsia="仿宋" w:cs="仿宋"/>
                <w:spacing w:val="-60"/>
                <w:sz w:val="24"/>
                <w:szCs w:val="24"/>
              </w:rPr>
              <w:t>），</w:t>
            </w:r>
            <w:r>
              <w:rPr>
                <w:rFonts w:ascii="仿宋" w:hAnsi="仿宋" w:eastAsia="仿宋" w:cs="仿宋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1"/>
                <w:w w:val="98"/>
                <w:sz w:val="24"/>
                <w:szCs w:val="24"/>
                <w:u w:val="single" w:color="auto"/>
              </w:rPr>
              <w:t>查封/扣押</w:t>
            </w:r>
            <w:r>
              <w:rPr>
                <w:rFonts w:ascii="仿宋" w:hAnsi="仿宋" w:eastAsia="仿宋" w:cs="仿宋"/>
                <w:spacing w:val="-11"/>
                <w:w w:val="98"/>
                <w:sz w:val="24"/>
                <w:szCs w:val="24"/>
              </w:rPr>
              <w:t>物品中的下列物品：</w:t>
            </w:r>
            <w:r>
              <w:rPr>
                <w:rFonts w:ascii="仿宋" w:hAnsi="仿宋" w:eastAsia="仿宋" w:cs="仿宋"/>
                <w:sz w:val="24"/>
                <w:szCs w:val="24"/>
                <w:u w:val="single" w:color="auto"/>
              </w:rPr>
              <w:t xml:space="preserve">                                  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2" w:hRule="atLeast"/>
        </w:trPr>
        <w:tc>
          <w:tcPr>
            <w:tcW w:w="1105" w:type="dxa"/>
            <w:vAlign w:val="top"/>
          </w:tcPr>
          <w:p>
            <w:pPr>
              <w:spacing w:before="436" w:line="322" w:lineRule="exact"/>
              <w:ind w:firstLine="32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7"/>
                <w:position w:val="5"/>
                <w:sz w:val="24"/>
                <w:szCs w:val="24"/>
              </w:rPr>
              <w:t>先行</w:t>
            </w:r>
          </w:p>
          <w:p>
            <w:pPr>
              <w:spacing w:line="204" w:lineRule="auto"/>
              <w:ind w:firstLine="32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处置</w:t>
            </w:r>
          </w:p>
          <w:p>
            <w:pPr>
              <w:spacing w:before="52" w:line="184" w:lineRule="auto"/>
              <w:ind w:firstLine="32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方式</w:t>
            </w:r>
          </w:p>
        </w:tc>
        <w:tc>
          <w:tcPr>
            <w:tcW w:w="7421" w:type="dxa"/>
            <w:vAlign w:val="top"/>
          </w:tcPr>
          <w:p>
            <w:pPr>
              <w:spacing w:before="374" w:line="184" w:lineRule="auto"/>
              <w:ind w:firstLine="141"/>
              <w:rPr>
                <w:rFonts w:ascii="仿宋" w:hAnsi="仿宋" w:eastAsia="仿宋" w:cs="仿宋"/>
                <w:sz w:val="24"/>
                <w:szCs w:val="24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page">
                        <wp:posOffset>525145</wp:posOffset>
                      </wp:positionH>
                      <wp:positionV relativeFrom="page">
                        <wp:posOffset>383540</wp:posOffset>
                      </wp:positionV>
                      <wp:extent cx="2286000" cy="7620"/>
                      <wp:effectExtent l="0" t="0" r="0" b="0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0" cy="7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>
                                  <a:alpha val="8549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41.35pt;margin-top:30.2pt;height:0.6pt;width:180pt;mso-position-horizontal-relative:page;mso-position-vertical-relative:page;z-index:251661312;mso-width-relative:page;mso-height-relative:page;" fillcolor="#000000" filled="t" stroked="f" coordsize="21600,21600" o:gfxdata="UEsDBAoAAAAAAIdO4kAAAAAAAAAAAAAAAAAEAAAAZHJzL1BLAwQUAAAACACHTuJArdPjedcAAAAI&#10;AQAADwAAAGRycy9kb3ducmV2LnhtbE2PwU7DMBBE70j8g7VI3KidKg1tiFMhEEg5QQMXbm68TSLi&#10;dRS7bfh7tic47sxo9k2xnd0gTjiF3pOGZKFAIDXe9tRq+Px4uVuDCNGQNYMn1PCDAbbl9VVhcuvP&#10;tMNTHVvBJRRyo6GLccylDE2HzoSFH5HYO/jJmcjn1Eo7mTOXu0EulcqkMz3xh86M+NRh810fnYb6&#10;fVWtXn31uHl+y3a2mvvN4avX+vYmUQ8gIs7xLwwXfEaHkpn2/kg2iEHDennPSQ2ZSkGwn6YXYc9C&#10;koEsC/l/QPkLUEsDBBQAAAAIAIdO4kBGXWOGvAEAAH4DAAAOAAAAZHJzL2Uyb0RvYy54bWytU0tu&#10;2zAQ3RfIHQjua8lC6zqC5SxiJJuiDZDmADRFSQT4wwxt2acp0F0P0eMUvUaHlOOk6SaLaEHNj2/m&#10;vZFWVwdr2F4Bau8aPp+VnCknfatd3/CHbzfvl5xhFK4VxjvV8KNCfrW+eLcaQ60qP3jTKmAE4rAe&#10;Q8OHGENdFCgHZQXOfFCOkp0HKyK50BctiJHQrSmqslwUo4c2gJcKkaKbKclPiPAaQN91WqqNlzur&#10;XJxQQRkRiRIOOiBf52m7Tsn4tetQRWYaTkxjPqkJ2dt0FuuVqHsQYdDyNIJ4zQgvOFmhHTU9Q21E&#10;FGwH+j8oqyV49F2cSW+LiUhWhFjMyxfa3A8iqMyFpMZwFh3fDlZ+2d8B023DK86csLTwP99//v71&#10;g1VJmzFgTSX34Q5OHpKZiB46sOlNFNgh63k866kOkUkKVtVyUZYktaTcp0WV5S6e7gbAeKu8Zclo&#10;ONC2sohi/xkj9aPSx5LUCr3R7Y02JjvQb68NsL1Im83PdNeEQUzR5ccPl48tcSrPmP/gGJfQnE+4&#10;U8sUKRLxiWqytr49kky7ALofaNJ50ibX0Foy5ukTSnt/7ueqp99m/R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t0+N51wAAAAgBAAAPAAAAAAAAAAEAIAAAACIAAABkcnMvZG93bnJldi54bWxQSwEC&#10;FAAUAAAACACHTuJARl1jhrwBAAB+AwAADgAAAAAAAAABACAAAAAmAQAAZHJzL2Uyb0RvYy54bWxQ&#10;SwUGAAAAAAYABgBZAQAAVAUAAAAA&#10;">
                      <v:path/>
                      <v:fill on="t" opacity="56027f" focussize="0,0"/>
                      <v:stroke on="f"/>
                      <v:imagedata o:title=""/>
                      <o:lock v:ext="edit"/>
                    </v:rect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page">
                        <wp:posOffset>525145</wp:posOffset>
                      </wp:positionH>
                      <wp:positionV relativeFrom="page">
                        <wp:posOffset>587375</wp:posOffset>
                      </wp:positionV>
                      <wp:extent cx="2286000" cy="7620"/>
                      <wp:effectExtent l="0" t="0" r="0" b="0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0" cy="7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>
                                  <a:alpha val="80392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41.35pt;margin-top:46.25pt;height:0.6pt;width:180pt;mso-position-horizontal-relative:page;mso-position-vertical-relative:page;z-index:251660288;mso-width-relative:page;mso-height-relative:page;" fillcolor="#000000" filled="t" stroked="f" coordsize="21600,21600" o:gfxdata="UEsDBAoAAAAAAIdO4kAAAAAAAAAAAAAAAAAEAAAAZHJzL1BLAwQUAAAACACHTuJAtyUiUtcAAAAI&#10;AQAADwAAAGRycy9kb3ducmV2LnhtbE2PzWrDMBCE74W+g9hCb40cx01S13IohUJOgfwcclxbW8vE&#10;koyl2Onbd3NqjzszfDtTbG62EyMNofVOwXyWgCBXe926RsHp+PWyBhEiOo2dd6TghwJsyseHAnPt&#10;J7en8RAbwRAXclRgYuxzKUNtyGKY+Z4ce99+sBj5HBqpB5wYbjuZJslSWmwdfzDY06eh+nK4WgXr&#10;XYaXbLsb99W0OH+Y9Lwcjlulnp/myTuISLf4F4Z7fa4OJXeq/NXpIDpmpCtOKnhLX0Gwn2V3oWJh&#10;sQJZFvL/gPIXUEsDBBQAAAAIAIdO4kBghD4FvQEAAH4DAAAOAAAAZHJzL2Uyb0RvYy54bWytU0tu&#10;2zAQ3RfIHQjuY8ky4LiC5SxqpJuiCZD2ADRFSQT4wwxt2acpkF0O0eMUvUaHlOsE6SaLakHNj2/m&#10;vZHWt0dr2EEBau8aPp+VnCknfatd3/Dv3+6uV5xhFK4VxjvV8JNCfru5+rAeQ60qP3jTKmAE4rAe&#10;Q8OHGENdFCgHZQXOfFCOkp0HKyK50BctiJHQrSmqslwWo4c2gJcKkaLbKcnPiPAeQN91Wqqtl3ur&#10;XJxQQRkRiRIOOiDf5Gm7Tsl433WoIjMNJ6Yxn9SE7F06i81a1D2IMGh5HkG8Z4Q3nKzQjppeoLYi&#10;CrYH/Q+U1RI8+i7OpLfFRCQrQizm5RttHgcRVOZCUmO4iI7/D1Z+PTwA023DF5w5YWnhv388//r5&#10;xBZJmzFgTSWP4QHOHpKZiB47sOlNFNgx63m66KmOkUkKVtVqWZYktaTczbLKchcvdwNg/Ky8Zclo&#10;ONC2soji8AUj9aPSvyWpFXqj2zttTHag330ywA4ibTY/010TBjFFV+XiY5VYEA5O5ZP9Gse4hOZ8&#10;wp1KU6RIxCeqydr59kQy7QPofqBJ5xk1ZWgtGfP8CaW9v/Yz0stvs/k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tyUiUtcAAAAIAQAADwAAAAAAAAABACAAAAAiAAAAZHJzL2Rvd25yZXYueG1sUEsB&#10;AhQAFAAAAAgAh07iQGCEPgW9AQAAfgMAAA4AAAAAAAAAAQAgAAAAJgEAAGRycy9lMm9Eb2MueG1s&#10;UEsFBgAAAAAGAAYAWQEAAFUFAAAAAA==&#10;">
                      <v:path/>
                      <v:fill on="t" opacity="52686f" focussize="0,0"/>
                      <v:stroke on="f"/>
                      <v:imagedata o:title=""/>
                      <o:lock v:ext="edit"/>
                    </v:rect>
                  </w:pict>
                </mc:Fallback>
              </mc:AlternateContent>
            </w: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□委托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                          </w:t>
            </w: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依法进行拍卖；</w:t>
            </w:r>
          </w:p>
          <w:p>
            <w:pPr>
              <w:spacing w:before="79" w:line="184" w:lineRule="auto"/>
              <w:ind w:firstLine="14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□通过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                          </w:t>
            </w: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方式进行变卖；</w:t>
            </w:r>
          </w:p>
          <w:p>
            <w:pPr>
              <w:spacing w:before="79" w:line="184" w:lineRule="auto"/>
              <w:ind w:firstLine="14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9"/>
                <w:sz w:val="24"/>
                <w:szCs w:val="24"/>
              </w:rPr>
              <w:t>□</w:t>
            </w:r>
            <w:r>
              <w:rPr>
                <w:rFonts w:ascii="仿宋" w:hAnsi="仿宋" w:eastAsia="仿宋" w:cs="仿宋"/>
                <w:spacing w:val="2"/>
                <w:sz w:val="24"/>
                <w:szCs w:val="24"/>
                <w:u w:val="single" w:color="auto"/>
              </w:rPr>
              <w:t xml:space="preserve">                                             </w:t>
            </w:r>
            <w:r>
              <w:rPr>
                <w:rFonts w:ascii="仿宋" w:hAnsi="仿宋" w:eastAsia="仿宋" w:cs="仿宋"/>
                <w:spacing w:val="-19"/>
                <w:sz w:val="24"/>
                <w:szCs w:val="24"/>
              </w:rPr>
              <w:t>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4" w:hRule="atLeast"/>
        </w:trPr>
        <w:tc>
          <w:tcPr>
            <w:tcW w:w="1105" w:type="dxa"/>
            <w:vAlign w:val="top"/>
          </w:tcPr>
          <w:p>
            <w:pPr>
              <w:spacing w:before="53" w:line="322" w:lineRule="exact"/>
              <w:ind w:firstLine="32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8"/>
                <w:position w:val="5"/>
                <w:sz w:val="24"/>
                <w:szCs w:val="24"/>
              </w:rPr>
              <w:t>执法</w:t>
            </w:r>
          </w:p>
          <w:p>
            <w:pPr>
              <w:spacing w:line="204" w:lineRule="auto"/>
              <w:ind w:firstLine="32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人员</w:t>
            </w:r>
          </w:p>
          <w:p>
            <w:pPr>
              <w:spacing w:before="52" w:line="184" w:lineRule="auto"/>
              <w:ind w:firstLine="31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联系</w:t>
            </w:r>
          </w:p>
          <w:p>
            <w:pPr>
              <w:spacing w:before="80" w:line="184" w:lineRule="auto"/>
              <w:ind w:firstLine="32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方式</w:t>
            </w:r>
          </w:p>
        </w:tc>
        <w:tc>
          <w:tcPr>
            <w:tcW w:w="7421" w:type="dxa"/>
            <w:vAlign w:val="top"/>
          </w:tcPr>
          <w:p>
            <w:pPr>
              <w:spacing w:before="338" w:line="184" w:lineRule="auto"/>
              <w:ind w:firstLine="11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1"/>
                <w:w w:val="90"/>
                <w:sz w:val="24"/>
                <w:szCs w:val="24"/>
              </w:rPr>
              <w:t>联</w:t>
            </w:r>
            <w:r>
              <w:rPr>
                <w:rFonts w:ascii="仿宋" w:hAnsi="仿宋" w:eastAsia="仿宋" w:cs="仿宋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21"/>
                <w:w w:val="90"/>
                <w:sz w:val="24"/>
                <w:szCs w:val="24"/>
              </w:rPr>
              <w:t>系</w:t>
            </w:r>
            <w:r>
              <w:rPr>
                <w:rFonts w:ascii="仿宋" w:hAnsi="仿宋" w:eastAsia="仿宋" w:cs="仿宋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21"/>
                <w:w w:val="90"/>
                <w:sz w:val="24"/>
                <w:szCs w:val="24"/>
              </w:rPr>
              <w:t>人：</w:t>
            </w:r>
            <w:r>
              <w:rPr>
                <w:rFonts w:ascii="仿宋" w:hAnsi="仿宋" w:eastAsia="仿宋" w:cs="仿宋"/>
                <w:spacing w:val="4"/>
                <w:sz w:val="24"/>
                <w:szCs w:val="24"/>
                <w:u w:val="single" w:color="auto"/>
              </w:rPr>
              <w:t xml:space="preserve">             </w:t>
            </w:r>
            <w:r>
              <w:rPr>
                <w:rFonts w:ascii="仿宋" w:hAnsi="仿宋" w:eastAsia="仿宋" w:cs="仿宋"/>
                <w:spacing w:val="-21"/>
                <w:w w:val="90"/>
                <w:sz w:val="24"/>
                <w:szCs w:val="24"/>
              </w:rPr>
              <w:t>联系电话：</w:t>
            </w:r>
            <w:r>
              <w:rPr>
                <w:rFonts w:ascii="仿宋" w:hAnsi="仿宋" w:eastAsia="仿宋" w:cs="仿宋"/>
                <w:sz w:val="24"/>
                <w:szCs w:val="24"/>
                <w:u w:val="single" w:color="auto"/>
              </w:rPr>
              <w:t xml:space="preserve">                     </w:t>
            </w:r>
          </w:p>
          <w:p>
            <w:pPr>
              <w:spacing w:before="60" w:line="184" w:lineRule="auto"/>
              <w:ind w:firstLine="11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2"/>
                <w:w w:val="93"/>
                <w:sz w:val="24"/>
                <w:szCs w:val="24"/>
              </w:rPr>
              <w:t>联系地址：</w:t>
            </w:r>
            <w:r>
              <w:rPr>
                <w:rFonts w:ascii="仿宋" w:hAnsi="仿宋" w:eastAsia="仿宋" w:cs="仿宋"/>
                <w:sz w:val="24"/>
                <w:szCs w:val="24"/>
                <w:u w:val="single" w:color="auto"/>
              </w:rPr>
              <w:t xml:space="preserve">                                          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4" w:hRule="atLeast"/>
        </w:trPr>
        <w:tc>
          <w:tcPr>
            <w:tcW w:w="1105" w:type="dxa"/>
            <w:textDirection w:val="tbRlV"/>
            <w:vAlign w:val="top"/>
          </w:tcPr>
          <w:p>
            <w:pPr>
              <w:spacing w:before="429" w:line="180" w:lineRule="auto"/>
              <w:ind w:firstLine="59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权</w:t>
            </w:r>
            <w:r>
              <w:rPr>
                <w:rFonts w:ascii="仿宋" w:hAnsi="仿宋" w:eastAsia="仿宋" w:cs="仿宋"/>
                <w:spacing w:val="-4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利</w:t>
            </w:r>
            <w:r>
              <w:rPr>
                <w:rFonts w:ascii="仿宋" w:hAnsi="仿宋" w:eastAsia="仿宋" w:cs="仿宋"/>
                <w:spacing w:val="-37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人</w:t>
            </w:r>
            <w:r>
              <w:rPr>
                <w:rFonts w:ascii="仿宋" w:hAnsi="仿宋" w:eastAsia="仿宋" w:cs="仿宋"/>
                <w:spacing w:val="-40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确</w:t>
            </w:r>
            <w:r>
              <w:rPr>
                <w:rFonts w:ascii="仿宋" w:hAnsi="仿宋" w:eastAsia="仿宋" w:cs="仿宋"/>
                <w:spacing w:val="-3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认</w:t>
            </w:r>
          </w:p>
        </w:tc>
        <w:tc>
          <w:tcPr>
            <w:tcW w:w="7421" w:type="dxa"/>
            <w:vAlign w:val="top"/>
          </w:tcPr>
          <w:p>
            <w:pPr>
              <w:spacing w:before="176" w:line="246" w:lineRule="auto"/>
              <w:ind w:left="123" w:right="106" w:firstLine="47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上述物品属于《市场监督管理行政处罚程序规定》</w:t>
            </w:r>
            <w:r>
              <w:rPr>
                <w:rFonts w:ascii="仿宋" w:hAnsi="仿宋" w:eastAsia="仿宋" w:cs="仿宋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第四十一条第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三款规定的不宜长期保存的物品，本人（单位）</w:t>
            </w:r>
            <w:r>
              <w:rPr>
                <w:rFonts w:ascii="仿宋" w:hAnsi="仿宋" w:eastAsia="仿宋" w:cs="仿宋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清楚了解先行处置的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内容及后果，为防止造成不必要的损失，本人（单位）</w:t>
            </w:r>
            <w:r>
              <w:rPr>
                <w:rFonts w:ascii="仿宋" w:hAnsi="仿宋" w:eastAsia="仿宋" w:cs="仿宋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同意按照上述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处置方式先行处置。</w:t>
            </w:r>
          </w:p>
          <w:p>
            <w:pPr>
              <w:spacing w:before="320" w:line="639" w:lineRule="exact"/>
              <w:ind w:firstLine="395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1"/>
                <w:w w:val="89"/>
                <w:position w:val="30"/>
                <w:sz w:val="24"/>
                <w:szCs w:val="24"/>
              </w:rPr>
              <w:t>权利人：</w:t>
            </w:r>
            <w:r>
              <w:rPr>
                <w:rFonts w:ascii="仿宋" w:hAnsi="仿宋" w:eastAsia="仿宋" w:cs="仿宋"/>
                <w:position w:val="30"/>
                <w:sz w:val="24"/>
                <w:szCs w:val="24"/>
                <w:u w:val="single" w:color="auto"/>
              </w:rPr>
              <w:t xml:space="preserve">                     </w:t>
            </w:r>
          </w:p>
          <w:p>
            <w:pPr>
              <w:spacing w:line="204" w:lineRule="auto"/>
              <w:ind w:firstLine="479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spacing w:val="4"/>
                <w:sz w:val="24"/>
                <w:szCs w:val="24"/>
              </w:rPr>
              <w:t xml:space="preserve">     </w:t>
            </w: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月</w:t>
            </w:r>
            <w:r>
              <w:rPr>
                <w:rFonts w:ascii="仿宋" w:hAnsi="仿宋" w:eastAsia="仿宋" w:cs="仿宋"/>
                <w:spacing w:val="11"/>
                <w:sz w:val="24"/>
                <w:szCs w:val="24"/>
              </w:rPr>
              <w:t xml:space="preserve">     </w:t>
            </w: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105" w:type="dxa"/>
            <w:vAlign w:val="top"/>
          </w:tcPr>
          <w:p>
            <w:pPr>
              <w:spacing w:before="246" w:line="184" w:lineRule="auto"/>
              <w:ind w:firstLine="32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备注</w:t>
            </w:r>
          </w:p>
        </w:tc>
        <w:tc>
          <w:tcPr>
            <w:tcW w:w="7421" w:type="dxa"/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</w:tbl>
    <w:p/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21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  <w:r>
      <w:rPr>
        <w:rFonts w:ascii="宋体" w:hAnsi="宋体" w:eastAsia="宋体" w:cs="宋体"/>
        <w:spacing w:val="15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28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C45C61"/>
    <w:rsid w:val="0C350AD1"/>
    <w:rsid w:val="12B14FE2"/>
    <w:rsid w:val="2E167879"/>
    <w:rsid w:val="3D2A017E"/>
    <w:rsid w:val="3DAA2BDE"/>
    <w:rsid w:val="40C45C61"/>
    <w:rsid w:val="411F0E08"/>
    <w:rsid w:val="53F63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2021-07-22T01:01:00Z</dcterms:created>
  <dc:creator>Administrator</dc:creator>
  <cp:lastModifiedBy>Administrator</cp:lastModifiedBy>
  <dcterms:modified xsi:type="dcterms:W3CDTF">2021-07-22T01:05:17Z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2D58A98DE3FD4DFCA65DF52249EEA916</vt:lpwstr>
  </property>
</Properties>
</file>