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60" w:line="184" w:lineRule="auto"/>
        <w:ind w:firstLine="1519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解除先行登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记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保存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证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据通知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  <w:bookmarkEnd w:id="0"/>
    </w:p>
    <w:p>
      <w:pPr>
        <w:tabs>
          <w:tab w:val="left" w:pos="2955"/>
        </w:tabs>
        <w:spacing w:before="158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市监解登〔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44" w:line="320" w:lineRule="auto"/>
        <w:ind w:left="230" w:right="217" w:firstLine="6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本局于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4"/>
          <w:sz w:val="32"/>
          <w:szCs w:val="32"/>
        </w:rPr>
        <w:t>年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4"/>
          <w:sz w:val="32"/>
          <w:szCs w:val="32"/>
        </w:rPr>
        <w:t>月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4"/>
          <w:sz w:val="32"/>
          <w:szCs w:val="32"/>
        </w:rPr>
        <w:t>日作出《先行登记保存证据通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知书》（</w:t>
      </w:r>
      <w:r>
        <w:rPr>
          <w:rFonts w:ascii="仿宋" w:hAnsi="仿宋" w:eastAsia="仿宋" w:cs="仿宋"/>
          <w:spacing w:val="35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1"/>
          <w:sz w:val="32"/>
          <w:szCs w:val="32"/>
        </w:rPr>
        <w:t>市监先登〔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1"/>
          <w:sz w:val="32"/>
          <w:szCs w:val="32"/>
        </w:rPr>
        <w:t>〕</w:t>
      </w:r>
      <w:r>
        <w:rPr>
          <w:rFonts w:ascii="仿宋" w:hAnsi="仿宋" w:eastAsia="仿宋" w:cs="仿宋"/>
          <w:spacing w:val="134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号</w:t>
      </w:r>
      <w:r>
        <w:rPr>
          <w:rFonts w:ascii="仿宋" w:hAnsi="仿宋" w:eastAsia="仿宋" w:cs="仿宋"/>
          <w:spacing w:val="-78"/>
          <w:sz w:val="32"/>
          <w:szCs w:val="32"/>
        </w:rPr>
        <w:t>），</w:t>
      </w:r>
      <w:r>
        <w:rPr>
          <w:rFonts w:ascii="仿宋" w:hAnsi="仿宋" w:eastAsia="仿宋" w:cs="仿宋"/>
          <w:spacing w:val="-21"/>
          <w:sz w:val="32"/>
          <w:szCs w:val="32"/>
        </w:rPr>
        <w:t>对你（单位）</w:t>
      </w:r>
      <w:r>
        <w:rPr>
          <w:rFonts w:ascii="仿宋" w:hAnsi="仿宋" w:eastAsia="仿宋" w:cs="仿宋"/>
          <w:spacing w:val="-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1"/>
          <w:sz w:val="32"/>
          <w:szCs w:val="32"/>
        </w:rPr>
        <w:t>有关证据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采取先行登记保存措施，现决定自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3"/>
          <w:sz w:val="32"/>
          <w:szCs w:val="32"/>
        </w:rPr>
        <w:t>年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"/>
          <w:sz w:val="32"/>
          <w:szCs w:val="32"/>
        </w:rPr>
        <w:t>月</w:t>
      </w:r>
      <w:r>
        <w:rPr>
          <w:rFonts w:ascii="仿宋" w:hAnsi="仿宋" w:eastAsia="仿宋" w:cs="仿宋"/>
          <w:spacing w:val="3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"/>
          <w:sz w:val="32"/>
          <w:szCs w:val="32"/>
        </w:rPr>
        <w:t>日起对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全部</w:t>
      </w:r>
      <w:r>
        <w:rPr>
          <w:rFonts w:ascii="Times New Roman" w:hAnsi="Times New Roman" w:eastAsia="Times New Roman" w:cs="Times New Roman"/>
          <w:spacing w:val="8"/>
          <w:w w:val="10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部分证据（</w:t>
      </w:r>
      <w:r>
        <w:rPr>
          <w:rFonts w:ascii="仿宋" w:hAnsi="仿宋" w:eastAsia="仿宋" w:cs="仿宋"/>
          <w:spacing w:val="-30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详见《</w:t>
      </w:r>
      <w:r>
        <w:rPr>
          <w:rFonts w:ascii="仿宋" w:hAnsi="仿宋" w:eastAsia="仿宋" w:cs="仿宋"/>
          <w:spacing w:val="-81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场所</w:t>
      </w:r>
      <w:r>
        <w:rPr>
          <w:rFonts w:ascii="Times New Roman" w:hAnsi="Times New Roman" w:eastAsia="Times New Roman" w:cs="Times New Roman"/>
          <w:spacing w:val="8"/>
          <w:w w:val="10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8"/>
          <w:w w:val="10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财物清单</w:t>
      </w:r>
      <w:r>
        <w:rPr>
          <w:rFonts w:ascii="仿宋" w:hAnsi="仿宋" w:eastAsia="仿宋" w:cs="仿宋"/>
          <w:spacing w:val="-95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8"/>
          <w:w w:val="107"/>
          <w:sz w:val="32"/>
          <w:szCs w:val="32"/>
          <w:u w:val="single" w:color="auto"/>
        </w:rPr>
        <w:t>》文书编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  <w:u w:val="single" w:color="auto"/>
        </w:rPr>
        <w:t>号</w:t>
      </w:r>
      <w:r>
        <w:rPr>
          <w:rFonts w:ascii="仿宋" w:hAnsi="仿宋" w:eastAsia="仿宋" w:cs="仿宋"/>
          <w:spacing w:val="-130"/>
          <w:sz w:val="32"/>
          <w:szCs w:val="32"/>
          <w:u w:val="single" w:color="auto"/>
        </w:rPr>
        <w:t>：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130"/>
          <w:sz w:val="32"/>
          <w:szCs w:val="32"/>
          <w:u w:val="single" w:color="auto"/>
        </w:rPr>
        <w:t>）</w:t>
      </w:r>
      <w:r>
        <w:rPr>
          <w:rFonts w:ascii="仿宋" w:hAnsi="仿宋" w:eastAsia="仿宋" w:cs="仿宋"/>
          <w:spacing w:val="-2"/>
          <w:sz w:val="32"/>
          <w:szCs w:val="32"/>
        </w:rPr>
        <w:t>予以解除先行登记保存措施。</w:t>
      </w:r>
    </w:p>
    <w:p>
      <w:pPr>
        <w:spacing w:line="317" w:lineRule="auto"/>
        <w:rPr>
          <w:rFonts w:ascii="Malgun Gothic"/>
          <w:sz w:val="21"/>
        </w:rPr>
      </w:pPr>
    </w:p>
    <w:p>
      <w:pPr>
        <w:spacing w:before="106" w:line="305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85" w:lineRule="auto"/>
        <w:rPr>
          <w:rFonts w:ascii="Malgun Gothic"/>
          <w:sz w:val="21"/>
        </w:rPr>
      </w:pPr>
    </w:p>
    <w:p>
      <w:pPr>
        <w:spacing w:before="104" w:line="241" w:lineRule="auto"/>
        <w:ind w:firstLine="8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w w:val="92"/>
          <w:sz w:val="32"/>
          <w:szCs w:val="32"/>
        </w:rPr>
        <w:t>附件：《场所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设施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财物清单》（文书编号</w:t>
      </w:r>
      <w:r>
        <w:rPr>
          <w:rFonts w:ascii="仿宋" w:hAnsi="仿宋" w:eastAsia="仿宋" w:cs="仿宋"/>
          <w:spacing w:val="-103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03"/>
          <w:sz w:val="32"/>
          <w:szCs w:val="32"/>
        </w:rPr>
        <w:t>）</w:t>
      </w:r>
    </w:p>
    <w:p>
      <w:pPr>
        <w:spacing w:line="291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spacing w:line="292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54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42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3" name="IM 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IM 9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40C4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64BE6D7BE8F547E894A87444EDD6AF5F</vt:lpwstr>
  </property>
</Properties>
</file>