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92"/>
        </w:tabs>
        <w:spacing w:before="146" w:line="199" w:lineRule="auto"/>
        <w:ind w:firstLine="211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204" w:lineRule="auto"/>
        <w:ind w:firstLine="3016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3"/>
          <w:sz w:val="44"/>
          <w:szCs w:val="44"/>
        </w:rPr>
        <w:t>送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达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地址确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认书</w:t>
      </w:r>
    </w:p>
    <w:p>
      <w:pPr>
        <w:spacing w:line="166" w:lineRule="exact"/>
      </w:pPr>
    </w:p>
    <w:tbl>
      <w:tblPr>
        <w:tblStyle w:val="4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2266"/>
        <w:gridCol w:w="55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280" w:type="dxa"/>
            <w:vAlign w:val="top"/>
          </w:tcPr>
          <w:p>
            <w:pPr>
              <w:spacing w:before="288" w:line="184" w:lineRule="auto"/>
              <w:ind w:firstLine="1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受送达人</w:t>
            </w:r>
          </w:p>
        </w:tc>
        <w:tc>
          <w:tcPr>
            <w:tcW w:w="7796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3" w:hRule="atLeast"/>
        </w:trPr>
        <w:tc>
          <w:tcPr>
            <w:tcW w:w="1280" w:type="dxa"/>
            <w:textDirection w:val="tbRlV"/>
            <w:vAlign w:val="top"/>
          </w:tcPr>
          <w:p>
            <w:pPr>
              <w:spacing w:line="281" w:lineRule="auto"/>
              <w:rPr>
                <w:rFonts w:ascii="Malgun Gothic"/>
                <w:sz w:val="21"/>
              </w:rPr>
            </w:pPr>
          </w:p>
          <w:p>
            <w:pPr>
              <w:spacing w:before="80" w:line="180" w:lineRule="auto"/>
              <w:ind w:firstLine="16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告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知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事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项</w:t>
            </w:r>
          </w:p>
        </w:tc>
        <w:tc>
          <w:tcPr>
            <w:tcW w:w="7796" w:type="dxa"/>
            <w:gridSpan w:val="2"/>
            <w:vAlign w:val="top"/>
          </w:tcPr>
          <w:p>
            <w:pPr>
              <w:spacing w:before="50" w:line="216" w:lineRule="auto"/>
              <w:ind w:left="130" w:right="105" w:firstLine="4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依据《市场监督管理行政处罚程序规定》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第八十二条第三项、第八十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三条的规定，告知如下：</w:t>
            </w:r>
          </w:p>
          <w:p>
            <w:pPr>
              <w:spacing w:before="78" w:line="226" w:lineRule="auto"/>
              <w:ind w:left="112" w:right="108" w:firstLine="4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一、为便于及时收到市场监督管理部门的相关文书，保证案件调查的</w:t>
            </w:r>
            <w:r>
              <w:rPr>
                <w:rFonts w:ascii="仿宋" w:hAnsi="仿宋" w:eastAsia="仿宋" w:cs="仿宋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顺利进行，市场监督管理部门可以要求受送达人签署送达地址确认书，送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达至受送达人确认的地址，即视为送达。</w:t>
            </w:r>
          </w:p>
          <w:p>
            <w:pPr>
              <w:spacing w:before="79" w:line="246" w:lineRule="auto"/>
              <w:ind w:left="112" w:right="56" w:firstLine="49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二、受送达人送达地址发生变更的，应当及时书面告知市场监督管理</w:t>
            </w:r>
            <w:r>
              <w:rPr>
                <w:rFonts w:ascii="仿宋" w:hAnsi="仿宋" w:eastAsia="仿宋" w:cs="仿宋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部门；</w:t>
            </w:r>
            <w:r>
              <w:rPr>
                <w:rFonts w:ascii="仿宋" w:hAnsi="仿宋" w:eastAsia="仿宋" w:cs="仿宋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未及时告知的，市场监督管理部门按原地址送达，视为依法送达。</w:t>
            </w:r>
          </w:p>
          <w:p>
            <w:pPr>
              <w:spacing w:line="231" w:lineRule="auto"/>
              <w:ind w:left="111" w:right="42" w:firstLine="4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三、因受送达人提供的送达地址不准确、送达地址变更未书面告知市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场监督管理部门，导致执法文书未能被受送达人实际接收的，直接送达的，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执法文书留在该地址之日为送达之日；</w:t>
            </w:r>
            <w:r>
              <w:rPr>
                <w:rFonts w:ascii="仿宋" w:hAnsi="仿宋" w:eastAsia="仿宋" w:cs="仿宋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邮寄送达的，执法文书被退回之日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为送达之日。</w:t>
            </w:r>
          </w:p>
          <w:p>
            <w:pPr>
              <w:spacing w:before="78" w:line="226" w:lineRule="auto"/>
              <w:ind w:left="112" w:right="105" w:firstLine="50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四、经受送达人同意，可以采用手机短信、传真、电子邮件、即时通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讯账号等能够确认其收悉的电子方式送达执法文书，手机短信、传真、电</w:t>
            </w:r>
            <w:r>
              <w:rPr>
                <w:rFonts w:ascii="仿宋" w:hAnsi="仿宋" w:eastAsia="仿宋" w:cs="仿宋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子邮件、即时通讯信息等到达受送达人特定系统的日期为送达日期。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4" w:hRule="atLeast"/>
        </w:trPr>
        <w:tc>
          <w:tcPr>
            <w:tcW w:w="128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280" w:lineRule="auto"/>
              <w:rPr>
                <w:rFonts w:ascii="Malgun Gothic"/>
                <w:sz w:val="21"/>
              </w:rPr>
            </w:pPr>
          </w:p>
          <w:p>
            <w:pPr>
              <w:spacing w:before="81" w:line="180" w:lineRule="auto"/>
              <w:ind w:firstLine="59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送</w:t>
            </w:r>
            <w:r>
              <w:rPr>
                <w:rFonts w:ascii="仿宋" w:hAnsi="仿宋" w:eastAsia="仿宋" w:cs="仿宋"/>
                <w:spacing w:val="-2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达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地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址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送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达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方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式</w:t>
            </w:r>
          </w:p>
        </w:tc>
        <w:tc>
          <w:tcPr>
            <w:tcW w:w="2266" w:type="dxa"/>
            <w:vAlign w:val="top"/>
          </w:tcPr>
          <w:p>
            <w:pPr>
              <w:spacing w:line="407" w:lineRule="auto"/>
              <w:rPr>
                <w:rFonts w:ascii="Malgun Gothic"/>
                <w:sz w:val="21"/>
              </w:rPr>
            </w:pPr>
          </w:p>
          <w:p>
            <w:pPr>
              <w:spacing w:before="78" w:line="246" w:lineRule="auto"/>
              <w:ind w:left="687" w:right="170" w:hanging="51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是否接受电子送达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□是□否</w:t>
            </w:r>
          </w:p>
        </w:tc>
        <w:tc>
          <w:tcPr>
            <w:tcW w:w="5530" w:type="dxa"/>
            <w:vAlign w:val="top"/>
          </w:tcPr>
          <w:p>
            <w:pPr>
              <w:spacing w:before="53" w:line="184" w:lineRule="auto"/>
              <w:ind w:firstLine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F2F2F"/>
                <w:spacing w:val="-23"/>
                <w:w w:val="96"/>
                <w:sz w:val="24"/>
                <w:szCs w:val="24"/>
              </w:rPr>
              <w:t>□手机号码：</w:t>
            </w:r>
            <w:r>
              <w:rPr>
                <w:rFonts w:ascii="仿宋" w:hAnsi="仿宋" w:eastAsia="仿宋" w:cs="仿宋"/>
                <w:color w:val="2F2F2F"/>
                <w:sz w:val="24"/>
                <w:szCs w:val="24"/>
                <w:u w:val="single" w:color="auto"/>
              </w:rPr>
              <w:t xml:space="preserve">                                  </w:t>
            </w:r>
          </w:p>
          <w:p>
            <w:pPr>
              <w:spacing w:before="82" w:line="184" w:lineRule="auto"/>
              <w:ind w:firstLine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F2F2F"/>
                <w:spacing w:val="-23"/>
                <w:w w:val="96"/>
                <w:sz w:val="24"/>
                <w:szCs w:val="24"/>
              </w:rPr>
              <w:t>□传真号码：</w:t>
            </w:r>
            <w:r>
              <w:rPr>
                <w:rFonts w:ascii="仿宋" w:hAnsi="仿宋" w:eastAsia="仿宋" w:cs="仿宋"/>
                <w:color w:val="2F2F2F"/>
                <w:sz w:val="24"/>
                <w:szCs w:val="24"/>
                <w:u w:val="single" w:color="auto"/>
              </w:rPr>
              <w:t xml:space="preserve">                                  </w:t>
            </w:r>
          </w:p>
          <w:p>
            <w:pPr>
              <w:spacing w:before="79" w:line="184" w:lineRule="auto"/>
              <w:ind w:firstLine="1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F2F2F"/>
                <w:spacing w:val="-24"/>
                <w:sz w:val="24"/>
                <w:szCs w:val="24"/>
              </w:rPr>
              <w:t>□电子邮件地址：</w:t>
            </w:r>
            <w:r>
              <w:rPr>
                <w:rFonts w:ascii="仿宋" w:hAnsi="仿宋" w:eastAsia="仿宋" w:cs="仿宋"/>
                <w:color w:val="2F2F2F"/>
                <w:sz w:val="24"/>
                <w:szCs w:val="24"/>
                <w:u w:val="single" w:color="auto"/>
              </w:rPr>
              <w:t xml:space="preserve">                              </w:t>
            </w:r>
          </w:p>
          <w:p>
            <w:pPr>
              <w:spacing w:before="78" w:line="226" w:lineRule="auto"/>
              <w:ind w:left="114" w:right="108" w:firstLine="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F2F2F"/>
                <w:spacing w:val="-24"/>
                <w:sz w:val="24"/>
                <w:szCs w:val="24"/>
              </w:rPr>
              <w:t>□即时通讯账号：</w:t>
            </w:r>
            <w:r>
              <w:rPr>
                <w:rFonts w:ascii="仿宋" w:hAnsi="仿宋" w:eastAsia="仿宋" w:cs="仿宋"/>
                <w:color w:val="2F2F2F"/>
                <w:spacing w:val="2"/>
                <w:sz w:val="24"/>
                <w:szCs w:val="24"/>
                <w:u w:val="single" w:color="auto"/>
              </w:rPr>
              <w:t xml:space="preserve">                             </w:t>
            </w:r>
            <w:r>
              <w:rPr>
                <w:rFonts w:ascii="仿宋" w:hAnsi="仿宋" w:eastAsia="仿宋" w:cs="仿宋"/>
                <w:color w:val="2F2F2F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F2F2F"/>
                <w:sz w:val="24"/>
                <w:szCs w:val="24"/>
              </w:rPr>
              <w:t>以传真、电子邮件等到达本人特定系统的日期为送</w:t>
            </w:r>
            <w:r>
              <w:rPr>
                <w:rFonts w:ascii="仿宋" w:hAnsi="仿宋" w:eastAsia="仿宋" w:cs="仿宋"/>
                <w:color w:val="2F2F2F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F2F2F"/>
                <w:spacing w:val="-3"/>
                <w:sz w:val="24"/>
                <w:szCs w:val="24"/>
              </w:rPr>
              <w:t>达日期。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266" w:type="dxa"/>
            <w:vAlign w:val="top"/>
          </w:tcPr>
          <w:p>
            <w:pPr>
              <w:spacing w:before="145" w:line="184" w:lineRule="auto"/>
              <w:ind w:firstLine="66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送达地址</w:t>
            </w:r>
          </w:p>
        </w:tc>
        <w:tc>
          <w:tcPr>
            <w:tcW w:w="553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266" w:type="dxa"/>
            <w:vAlign w:val="top"/>
          </w:tcPr>
          <w:p>
            <w:pPr>
              <w:spacing w:before="144" w:line="184" w:lineRule="auto"/>
              <w:ind w:firstLine="7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收件人</w:t>
            </w:r>
          </w:p>
        </w:tc>
        <w:tc>
          <w:tcPr>
            <w:tcW w:w="553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266" w:type="dxa"/>
            <w:vAlign w:val="top"/>
          </w:tcPr>
          <w:p>
            <w:pPr>
              <w:spacing w:before="145" w:line="184" w:lineRule="auto"/>
              <w:ind w:firstLine="3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收件人联系电话</w:t>
            </w:r>
          </w:p>
        </w:tc>
        <w:tc>
          <w:tcPr>
            <w:tcW w:w="553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28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266" w:type="dxa"/>
            <w:vAlign w:val="top"/>
          </w:tcPr>
          <w:p>
            <w:pPr>
              <w:spacing w:before="144" w:line="184" w:lineRule="auto"/>
              <w:ind w:firstLine="6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邮政编码</w:t>
            </w:r>
          </w:p>
        </w:tc>
        <w:tc>
          <w:tcPr>
            <w:tcW w:w="553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1280" w:type="dxa"/>
            <w:vAlign w:val="top"/>
          </w:tcPr>
          <w:p>
            <w:pPr>
              <w:spacing w:line="447" w:lineRule="auto"/>
              <w:rPr>
                <w:rFonts w:ascii="Malgun Gothic"/>
                <w:sz w:val="21"/>
              </w:rPr>
            </w:pPr>
          </w:p>
          <w:p>
            <w:pPr>
              <w:spacing w:before="78" w:line="246" w:lineRule="auto"/>
              <w:ind w:left="406" w:right="157" w:hanging="2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受送达人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确认</w:t>
            </w:r>
          </w:p>
        </w:tc>
        <w:tc>
          <w:tcPr>
            <w:tcW w:w="7796" w:type="dxa"/>
            <w:gridSpan w:val="2"/>
            <w:vAlign w:val="top"/>
          </w:tcPr>
          <w:p>
            <w:pPr>
              <w:spacing w:before="175" w:line="247" w:lineRule="auto"/>
              <w:ind w:left="118" w:right="105" w:firstLine="47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本人已经阅读（</w:t>
            </w:r>
            <w:r>
              <w:rPr>
                <w:rFonts w:ascii="仿宋" w:hAnsi="仿宋" w:eastAsia="仿宋" w:cs="仿宋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已向本人宣读）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上述告知事项，保证以上送达地址及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送达方式准确、有效，清楚了解并同意本确认书内容及法律意义。</w:t>
            </w:r>
          </w:p>
          <w:p>
            <w:pPr>
              <w:spacing w:before="316" w:line="184" w:lineRule="auto"/>
              <w:ind w:firstLine="300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受送达人（委托代理人</w:t>
            </w:r>
            <w:r>
              <w:rPr>
                <w:rFonts w:ascii="仿宋" w:hAnsi="仿宋" w:eastAsia="仿宋" w:cs="仿宋"/>
                <w:spacing w:val="-60"/>
                <w:sz w:val="24"/>
                <w:szCs w:val="24"/>
              </w:rPr>
              <w:t>）：</w:t>
            </w:r>
          </w:p>
          <w:p>
            <w:pPr>
              <w:spacing w:before="401" w:line="184" w:lineRule="auto"/>
              <w:ind w:firstLine="44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280" w:type="dxa"/>
            <w:vAlign w:val="top"/>
          </w:tcPr>
          <w:p>
            <w:pPr>
              <w:spacing w:before="323" w:line="184" w:lineRule="auto"/>
              <w:ind w:firstLine="4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7796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8223447"/>
    <w:rsid w:val="2E2020B5"/>
    <w:rsid w:val="39015459"/>
    <w:rsid w:val="54B753A4"/>
    <w:rsid w:val="6B05273F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A0540218A90D4DC68788967FDE8A6804</vt:lpwstr>
  </property>
</Properties>
</file>