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snapToGrid/>
          <w:spacing w:val="-3"/>
          <w:kern w:val="0"/>
          <w:sz w:val="24"/>
          <w:szCs w:val="24"/>
          <w:lang w:val="en-US" w:eastAsia="zh-CN" w:bidi="ar"/>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黑体" w:eastAsia="方正小标宋简体" w:cs="Times New Roman"/>
          <w:snapToGrid/>
          <w:kern w:val="2"/>
          <w:sz w:val="44"/>
          <w:szCs w:val="44"/>
          <w:lang w:val="en-US" w:eastAsia="zh-CN" w:bidi="ar-SA"/>
        </w:rPr>
      </w:pPr>
      <w:r>
        <w:rPr>
          <w:rFonts w:hint="eastAsia" w:ascii="方正小标宋简体" w:hAnsi="黑体" w:eastAsia="方正小标宋简体" w:cs="Times New Roman"/>
          <w:snapToGrid/>
          <w:kern w:val="2"/>
          <w:sz w:val="44"/>
          <w:szCs w:val="44"/>
          <w:lang w:val="en-US" w:eastAsia="zh-CN" w:bidi="ar-SA"/>
        </w:rPr>
        <w:t xml:space="preserve">  平江县集体土地征收与房屋拆迁补偿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napToGrid/>
          <w:kern w:val="2"/>
          <w:sz w:val="44"/>
          <w:szCs w:val="44"/>
          <w:lang w:val="en-US" w:eastAsia="zh-CN" w:bidi="ar-SA"/>
        </w:rPr>
      </w:pPr>
      <w:r>
        <w:rPr>
          <w:rFonts w:hint="eastAsia" w:ascii="方正小标宋简体" w:hAnsi="黑体" w:eastAsia="方正小标宋简体" w:cs="Times New Roman"/>
          <w:snapToGrid/>
          <w:kern w:val="2"/>
          <w:sz w:val="44"/>
          <w:szCs w:val="44"/>
          <w:lang w:val="en-US" w:eastAsia="zh-CN" w:bidi="ar-SA"/>
        </w:rPr>
        <w:t>安  置  办  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Times New Roman"/>
          <w:snapToGrid/>
          <w:kern w:val="2"/>
          <w:sz w:val="32"/>
          <w:szCs w:val="32"/>
          <w:lang w:val="en-US" w:eastAsia="zh-CN" w:bidi="ar-SA"/>
        </w:rPr>
      </w:pPr>
      <w:r>
        <w:rPr>
          <w:rFonts w:hint="eastAsia" w:ascii="仿宋" w:hAnsi="仿宋" w:eastAsia="仿宋" w:cs="Times New Roman"/>
          <w:snapToGrid/>
          <w:kern w:val="2"/>
          <w:sz w:val="32"/>
          <w:szCs w:val="32"/>
          <w:lang w:val="en-US" w:eastAsia="zh-CN" w:bidi="ar-SA"/>
        </w:rPr>
        <w:t>（</w:t>
      </w:r>
      <w:r>
        <w:rPr>
          <w:rStyle w:val="11"/>
          <w:rFonts w:hint="eastAsia" w:ascii="等线" w:hAnsi="等线" w:eastAsia="等线" w:cs="等线"/>
          <w:i w:val="0"/>
          <w:iCs w:val="0"/>
          <w:caps w:val="0"/>
          <w:color w:val="222222"/>
          <w:spacing w:val="0"/>
          <w:sz w:val="21"/>
          <w:szCs w:val="21"/>
          <w:u w:val="none"/>
          <w:shd w:val="clear" w:color="auto" w:fill="FFFFFF"/>
        </w:rPr>
        <w:t>征求意见稿</w:t>
      </w:r>
      <w:r>
        <w:rPr>
          <w:rFonts w:hint="eastAsia" w:ascii="仿宋" w:hAnsi="仿宋" w:eastAsia="仿宋" w:cs="Times New Roman"/>
          <w:snapToGrid/>
          <w:kern w:val="2"/>
          <w:sz w:val="32"/>
          <w:szCs w:val="32"/>
          <w:lang w:val="en-US" w:eastAsia="zh-CN" w:bidi="ar-SA"/>
        </w:rPr>
        <w:t>）</w:t>
      </w:r>
    </w:p>
    <w:p>
      <w:pPr>
        <w:keepNext w:val="0"/>
        <w:keepLines w:val="0"/>
        <w:pageBreakBefore w:val="0"/>
        <w:wordWrap/>
        <w:overflowPunct/>
        <w:topLinePunct w:val="0"/>
        <w:bidi w:val="0"/>
        <w:adjustRightInd w:val="0"/>
        <w:snapToGrid w:val="0"/>
        <w:spacing w:line="640" w:lineRule="exact"/>
        <w:ind w:left="0" w:leftChars="0" w:right="0" w:firstLine="603" w:firstLineChars="200"/>
        <w:rPr>
          <w:rFonts w:ascii="黑体" w:hAnsi="黑体" w:eastAsia="黑体" w:cs="黑体"/>
          <w:b/>
          <w:bCs/>
          <w:spacing w:val="-10"/>
          <w:sz w:val="32"/>
          <w:szCs w:val="32"/>
        </w:rPr>
      </w:pPr>
      <w:bookmarkStart w:id="0" w:name="_GoBack"/>
      <w:bookmarkEnd w:id="0"/>
    </w:p>
    <w:p>
      <w:pPr>
        <w:keepNext w:val="0"/>
        <w:keepLines w:val="0"/>
        <w:pageBreakBefore w:val="0"/>
        <w:wordWrap/>
        <w:overflowPunct/>
        <w:topLinePunct w:val="0"/>
        <w:bidi w:val="0"/>
        <w:adjustRightInd w:val="0"/>
        <w:snapToGrid w:val="0"/>
        <w:spacing w:line="640" w:lineRule="exact"/>
        <w:ind w:left="0" w:leftChars="0" w:right="0" w:firstLine="603" w:firstLineChars="200"/>
        <w:jc w:val="center"/>
        <w:rPr>
          <w:rFonts w:ascii="黑体" w:hAnsi="黑体" w:eastAsia="黑体" w:cs="黑体"/>
          <w:sz w:val="32"/>
          <w:szCs w:val="32"/>
        </w:rPr>
      </w:pPr>
      <w:r>
        <w:rPr>
          <w:rFonts w:ascii="黑体" w:hAnsi="黑体" w:eastAsia="黑体" w:cs="黑体"/>
          <w:b/>
          <w:bCs/>
          <w:spacing w:val="-10"/>
          <w:sz w:val="32"/>
          <w:szCs w:val="32"/>
        </w:rPr>
        <w:t>第一章</w:t>
      </w:r>
      <w:r>
        <w:rPr>
          <w:rFonts w:ascii="黑体" w:hAnsi="黑体" w:eastAsia="黑体" w:cs="黑体"/>
          <w:spacing w:val="133"/>
          <w:sz w:val="32"/>
          <w:szCs w:val="32"/>
        </w:rPr>
        <w:t xml:space="preserve"> </w:t>
      </w:r>
      <w:r>
        <w:rPr>
          <w:rFonts w:ascii="黑体" w:hAnsi="黑体" w:eastAsia="黑体" w:cs="黑体"/>
          <w:b/>
          <w:bCs/>
          <w:spacing w:val="-10"/>
          <w:sz w:val="32"/>
          <w:szCs w:val="32"/>
        </w:rPr>
        <w:t>总</w:t>
      </w:r>
      <w:r>
        <w:rPr>
          <w:rFonts w:ascii="黑体" w:hAnsi="黑体" w:eastAsia="黑体" w:cs="黑体"/>
          <w:spacing w:val="4"/>
          <w:sz w:val="32"/>
          <w:szCs w:val="32"/>
        </w:rPr>
        <w:t xml:space="preserve">  </w:t>
      </w:r>
      <w:r>
        <w:rPr>
          <w:rFonts w:ascii="黑体" w:hAnsi="黑体" w:eastAsia="黑体" w:cs="黑体"/>
          <w:b/>
          <w:bCs/>
          <w:spacing w:val="-10"/>
          <w:sz w:val="32"/>
          <w:szCs w:val="32"/>
        </w:rPr>
        <w:t>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color w:val="C00000"/>
          <w:kern w:val="2"/>
          <w:sz w:val="32"/>
          <w:szCs w:val="32"/>
          <w:u w:val="single"/>
          <w:lang w:val="en-US" w:eastAsia="zh-CN" w:bidi="ar-SA"/>
        </w:rPr>
      </w:pPr>
      <w:r>
        <w:rPr>
          <w:rFonts w:hint="eastAsia" w:ascii="楷体_GB2312" w:hAnsi="黑体" w:eastAsia="楷体_GB2312" w:cs="Times New Roman"/>
          <w:b/>
          <w:bCs/>
          <w:snapToGrid/>
          <w:kern w:val="2"/>
          <w:sz w:val="32"/>
          <w:szCs w:val="32"/>
          <w:lang w:val="en-US" w:eastAsia="zh-CN" w:bidi="ar-SA"/>
        </w:rPr>
        <w:t>第一条</w:t>
      </w:r>
      <w:r>
        <w:rPr>
          <w:rFonts w:hint="eastAsia" w:ascii="仿宋_GB2312" w:hAnsi="仿宋" w:eastAsia="仿宋_GB2312" w:cs="Times New Roman"/>
          <w:snapToGrid/>
          <w:kern w:val="2"/>
          <w:sz w:val="32"/>
          <w:szCs w:val="32"/>
          <w:lang w:val="en-US" w:eastAsia="zh-CN" w:bidi="ar-SA"/>
        </w:rPr>
        <w:t xml:space="preserve">  为规范集体土地征收与房屋拆迁补偿安置行为，维护被征地农村集体经济组织及其成员、其他权利人的合法权益，根据《中华人民共和国土地管理法》《中华人民共和国土地管理法实施条例》《湖南省实施〈中华人民共和国土地管理法〉办法》</w:t>
      </w:r>
      <w:r>
        <w:rPr>
          <w:rFonts w:hint="eastAsia" w:ascii="仿宋_GB2312" w:hAnsi="仿宋" w:eastAsia="仿宋_GB2312" w:cs="Times New Roman"/>
          <w:b w:val="0"/>
          <w:bCs w:val="0"/>
          <w:snapToGrid/>
          <w:color w:val="auto"/>
          <w:kern w:val="2"/>
          <w:sz w:val="32"/>
          <w:szCs w:val="32"/>
          <w:u w:val="none"/>
          <w:lang w:val="en-US" w:eastAsia="zh-CN" w:bidi="ar-SA"/>
        </w:rPr>
        <w:t>《岳阳市人民政府关于印发〈岳阳市集体土地征收与房屋拆迁补偿安置办法〉的通知》（岳政发〔2023〕7号）等有关规定，结合平江县实际，制定本办法。</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 xml:space="preserve">第二条  </w:t>
      </w:r>
      <w:r>
        <w:rPr>
          <w:rFonts w:hint="eastAsia" w:ascii="仿宋_GB2312" w:hAnsi="仿宋" w:eastAsia="仿宋_GB2312" w:cs="Times New Roman"/>
          <w:b w:val="0"/>
          <w:bCs w:val="0"/>
          <w:snapToGrid/>
          <w:color w:val="auto"/>
          <w:kern w:val="2"/>
          <w:sz w:val="32"/>
          <w:szCs w:val="32"/>
          <w:u w:val="none"/>
          <w:lang w:val="en-US" w:eastAsia="zh-CN" w:bidi="ar-SA"/>
        </w:rPr>
        <w:t>平江县</w:t>
      </w:r>
      <w:r>
        <w:rPr>
          <w:rFonts w:hint="eastAsia" w:ascii="仿宋_GB2312" w:hAnsi="仿宋" w:eastAsia="仿宋_GB2312" w:cs="Times New Roman"/>
          <w:snapToGrid/>
          <w:color w:val="auto"/>
          <w:kern w:val="2"/>
          <w:sz w:val="32"/>
          <w:szCs w:val="32"/>
          <w:lang w:val="en-US" w:eastAsia="zh-CN" w:bidi="ar-SA"/>
        </w:rPr>
        <w:t>行</w:t>
      </w:r>
      <w:r>
        <w:rPr>
          <w:rFonts w:hint="eastAsia" w:ascii="仿宋_GB2312" w:hAnsi="仿宋" w:eastAsia="仿宋_GB2312" w:cs="Times New Roman"/>
          <w:snapToGrid/>
          <w:kern w:val="2"/>
          <w:sz w:val="32"/>
          <w:szCs w:val="32"/>
          <w:lang w:val="en-US" w:eastAsia="zh-CN" w:bidi="ar-SA"/>
        </w:rPr>
        <w:t>政区域内集体土地征收与房屋拆迁补偿安置工作(以下简称征收工作)适用本办法。</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农村集体经济组织成员成建制转为城镇居民后，其原有集体土地征收与房屋拆迁补偿安置，按照本办法执行。</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非农建设经依法批准使用国有农场、林场、牧场、渔场土地，</w:t>
      </w:r>
      <w:r>
        <w:rPr>
          <w:rFonts w:hint="eastAsia" w:ascii="仿宋_GB2312" w:hAnsi="仿宋" w:eastAsia="仿宋_GB2312" w:cs="Times New Roman"/>
          <w:b w:val="0"/>
          <w:bCs w:val="0"/>
          <w:snapToGrid/>
          <w:color w:val="auto"/>
          <w:kern w:val="2"/>
          <w:sz w:val="32"/>
          <w:szCs w:val="32"/>
          <w:u w:val="none"/>
          <w:lang w:val="en-US" w:eastAsia="zh-CN" w:bidi="ar-SA"/>
        </w:rPr>
        <w:t>以及乡镇(街道)</w:t>
      </w:r>
      <w:r>
        <w:rPr>
          <w:rFonts w:hint="eastAsia" w:ascii="仿宋_GB2312" w:hAnsi="仿宋" w:eastAsia="仿宋_GB2312" w:cs="Times New Roman"/>
          <w:snapToGrid/>
          <w:color w:val="auto"/>
          <w:kern w:val="2"/>
          <w:sz w:val="32"/>
          <w:szCs w:val="32"/>
          <w:lang w:val="en-US" w:eastAsia="zh-CN" w:bidi="ar-SA"/>
        </w:rPr>
        <w:t>、</w:t>
      </w:r>
      <w:r>
        <w:rPr>
          <w:rFonts w:hint="eastAsia" w:ascii="仿宋_GB2312" w:hAnsi="仿宋" w:eastAsia="仿宋_GB2312" w:cs="Times New Roman"/>
          <w:snapToGrid/>
          <w:kern w:val="2"/>
          <w:sz w:val="32"/>
          <w:szCs w:val="32"/>
          <w:lang w:val="en-US" w:eastAsia="zh-CN" w:bidi="ar-SA"/>
        </w:rPr>
        <w:t>村公共设施、公益事业建设使用本集体经济组织以外的集体所有土地，其补偿标准参照本办法执行。</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国务院、省人民政府对公路、铁路、水利水电工程等基础设施项目建设涉及集体土地征收与房屋拆迁补偿安置另有规定的，从其规定。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第三条</w:t>
      </w:r>
      <w:r>
        <w:rPr>
          <w:rFonts w:hint="eastAsia" w:ascii="仿宋_GB2312" w:hAnsi="楷体" w:eastAsia="仿宋_GB2312" w:cs="Times New Roman"/>
          <w:snapToGrid/>
          <w:kern w:val="2"/>
          <w:sz w:val="32"/>
          <w:szCs w:val="32"/>
          <w:lang w:val="en-US" w:eastAsia="zh-CN" w:bidi="ar-SA"/>
        </w:rPr>
        <w:t>　</w:t>
      </w:r>
      <w:r>
        <w:rPr>
          <w:rFonts w:hint="eastAsia" w:ascii="仿宋_GB2312" w:hAnsi="仿宋" w:eastAsia="仿宋_GB2312" w:cs="Times New Roman"/>
          <w:b w:val="0"/>
          <w:bCs w:val="0"/>
          <w:snapToGrid/>
          <w:color w:val="auto"/>
          <w:kern w:val="2"/>
          <w:sz w:val="32"/>
          <w:szCs w:val="32"/>
          <w:u w:val="none"/>
          <w:lang w:val="en-US" w:eastAsia="zh-CN" w:bidi="ar-SA"/>
        </w:rPr>
        <w:t>平江县人民政府</w:t>
      </w:r>
      <w:r>
        <w:rPr>
          <w:rFonts w:hint="eastAsia" w:ascii="仿宋_GB2312" w:hAnsi="仿宋" w:eastAsia="仿宋_GB2312" w:cs="Times New Roman"/>
          <w:snapToGrid/>
          <w:color w:val="auto"/>
          <w:kern w:val="2"/>
          <w:sz w:val="32"/>
          <w:szCs w:val="32"/>
          <w:lang w:val="en-US" w:eastAsia="zh-CN" w:bidi="ar-SA"/>
        </w:rPr>
        <w:t>统</w:t>
      </w:r>
      <w:r>
        <w:rPr>
          <w:rFonts w:hint="eastAsia" w:ascii="仿宋_GB2312" w:hAnsi="仿宋" w:eastAsia="仿宋_GB2312" w:cs="Times New Roman"/>
          <w:snapToGrid/>
          <w:kern w:val="2"/>
          <w:sz w:val="32"/>
          <w:szCs w:val="32"/>
          <w:lang w:val="en-US" w:eastAsia="zh-CN" w:bidi="ar-SA"/>
        </w:rPr>
        <w:t>一领导本县行政区域内的征收工作。依照权限依法履行以下职责：</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1.宣传集体土地征收与房屋拆迁补偿安置法律法规和政策；</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2.发布征收土地预公告，组织开展征收土地现状调查、社会稳定风险评估；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3.公告征地拆迁补偿安置方案，组织召开征地拆迁补偿安置方案听证会；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4.组织有关部门办理补偿登记，编制资金概算，签订补偿协议；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5.收到征地批准文件后，发布征收土地公告、组织支付征地补偿费用、作出征地补偿安置决定并组织实施，对拒不交出土地、腾地的，依法申请人民法院强制执行；</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6.负责落实被征地农民的生产、生活安置和信访维稳工作；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7.负责征收工作人员的廉政责任考核，管理分配征地拆迁工作经费；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8.负责对被征地农村集体经济组织分配使用征地补偿款等情况实施监管，并督促其将分配使用等情况纳入村务公开内容；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9.建立征收工作联席会议制度，研究处理征收工作中的重大难点问题；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10.其他有关事项处理。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平江县城市建设投资服务中心</w:t>
      </w:r>
      <w:r>
        <w:rPr>
          <w:rFonts w:hint="eastAsia" w:ascii="仿宋_GB2312" w:hAnsi="仿宋" w:eastAsia="仿宋_GB2312" w:cs="Times New Roman"/>
          <w:snapToGrid/>
          <w:color w:val="auto"/>
          <w:kern w:val="2"/>
          <w:sz w:val="32"/>
          <w:szCs w:val="32"/>
          <w:lang w:val="en-US" w:eastAsia="zh-CN" w:bidi="ar-SA"/>
        </w:rPr>
        <w:t>在县人民政府统一领导下，</w:t>
      </w:r>
      <w:r>
        <w:rPr>
          <w:rFonts w:hint="eastAsia" w:ascii="仿宋_GB2312" w:hAnsi="仿宋" w:eastAsia="仿宋_GB2312" w:cs="Times New Roman"/>
          <w:b w:val="0"/>
          <w:bCs w:val="0"/>
          <w:snapToGrid/>
          <w:color w:val="auto"/>
          <w:kern w:val="2"/>
          <w:sz w:val="32"/>
          <w:szCs w:val="32"/>
          <w:u w:val="none"/>
          <w:lang w:val="en-US" w:eastAsia="zh-CN" w:bidi="ar-SA"/>
        </w:rPr>
        <w:t>受权平江县土地房屋征收事务中心（以下简称县征收事务中心）</w:t>
      </w:r>
      <w:r>
        <w:rPr>
          <w:rFonts w:hint="eastAsia" w:ascii="仿宋_GB2312" w:hAnsi="仿宋" w:eastAsia="仿宋_GB2312" w:cs="Times New Roman"/>
          <w:b w:val="0"/>
          <w:bCs w:val="0"/>
          <w:snapToGrid/>
          <w:color w:val="auto"/>
          <w:kern w:val="2"/>
          <w:sz w:val="32"/>
          <w:szCs w:val="32"/>
          <w:lang w:val="en-US" w:eastAsia="zh-CN" w:bidi="ar-SA"/>
        </w:rPr>
        <w:t>负责协调、组织全县征收工作</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第四条</w:t>
      </w:r>
      <w:r>
        <w:rPr>
          <w:rFonts w:hint="eastAsia" w:ascii="仿宋_GB2312" w:hAnsi="仿宋" w:eastAsia="仿宋_GB2312" w:cs="Times New Roman"/>
          <w:snapToGrid/>
          <w:kern w:val="2"/>
          <w:sz w:val="32"/>
          <w:szCs w:val="32"/>
          <w:lang w:val="en-US" w:eastAsia="zh-CN" w:bidi="ar-SA"/>
        </w:rPr>
        <w:t xml:space="preserve">  </w:t>
      </w:r>
      <w:r>
        <w:rPr>
          <w:rFonts w:ascii="仿宋_GB2312" w:hAnsi="仿宋" w:eastAsia="仿宋_GB2312" w:cs="Times New Roman"/>
          <w:snapToGrid/>
          <w:kern w:val="2"/>
          <w:sz w:val="32"/>
          <w:szCs w:val="32"/>
          <w:lang w:val="en-US" w:eastAsia="zh-CN" w:bidi="ar-SA"/>
        </w:rPr>
        <w:t>各</w:t>
      </w:r>
      <w:r>
        <w:rPr>
          <w:rFonts w:ascii="仿宋" w:hAnsi="仿宋" w:eastAsia="仿宋" w:cs="仿宋"/>
          <w:spacing w:val="20"/>
          <w:sz w:val="32"/>
          <w:szCs w:val="32"/>
        </w:rPr>
        <w:t>乡镇(街道)</w:t>
      </w:r>
      <w:r>
        <w:rPr>
          <w:rFonts w:hint="eastAsia" w:ascii="仿宋_GB2312" w:hAnsi="仿宋" w:eastAsia="仿宋_GB2312" w:cs="Times New Roman"/>
          <w:snapToGrid/>
          <w:kern w:val="2"/>
          <w:sz w:val="32"/>
          <w:szCs w:val="32"/>
          <w:lang w:val="en-US" w:eastAsia="zh-CN" w:bidi="ar-SA"/>
        </w:rPr>
        <w:t>为征收工作的具体实施单位，在县人民政府统一领导下，负责征收过程中的补偿和安置等事务性工作。</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对征地拆迁项目的宣传发动及协助征收部门搞好调查摸底、补偿登记工作；</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组织征地拆迁补偿协议的签订，房屋拆迁补偿安置协议的签订；</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组织拆除己征收房屋，清表交地；</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负责辖</w:t>
      </w:r>
      <w:r>
        <w:rPr>
          <w:rFonts w:hint="eastAsia" w:ascii="仿宋_GB2312" w:hAnsi="仿宋" w:eastAsia="仿宋_GB2312" w:cs="Times New Roman"/>
          <w:snapToGrid/>
          <w:kern w:val="2"/>
          <w:sz w:val="32"/>
          <w:szCs w:val="32"/>
          <w:lang w:eastAsia="zh-CN"/>
        </w:rPr>
        <w:t>区</w:t>
      </w:r>
      <w:r>
        <w:rPr>
          <w:rFonts w:hint="eastAsia" w:ascii="仿宋_GB2312" w:hAnsi="仿宋" w:eastAsia="仿宋_GB2312" w:cs="Times New Roman"/>
          <w:snapToGrid/>
          <w:kern w:val="2"/>
          <w:sz w:val="32"/>
          <w:szCs w:val="32"/>
        </w:rPr>
        <w:t>内</w:t>
      </w:r>
      <w:r>
        <w:rPr>
          <w:rFonts w:hint="eastAsia" w:ascii="仿宋_GB2312" w:hAnsi="仿宋" w:eastAsia="仿宋_GB2312"/>
          <w:snapToGrid/>
          <w:sz w:val="32"/>
          <w:szCs w:val="32"/>
        </w:rPr>
        <w:t>被征地农民生产、生活安置工作</w:t>
      </w:r>
      <w:r>
        <w:rPr>
          <w:rFonts w:hint="eastAsia" w:ascii="仿宋_GB2312" w:hAnsi="仿宋" w:eastAsia="仿宋_GB2312" w:cs="Times New Roman"/>
          <w:snapToGrid/>
          <w:kern w:val="2"/>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负责房屋拆迁集中安置建设管理工作，分散安置协调工作</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严格宅基地建房管理</w:t>
      </w:r>
      <w:r>
        <w:rPr>
          <w:rFonts w:hint="eastAsia" w:ascii="仿宋_GB2312" w:hAnsi="仿宋" w:eastAsia="仿宋_GB2312" w:cs="Times New Roman"/>
          <w:snapToGrid/>
          <w:kern w:val="2"/>
          <w:sz w:val="32"/>
          <w:szCs w:val="32"/>
        </w:rPr>
        <w:t>；</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负</w:t>
      </w:r>
      <w:r>
        <w:rPr>
          <w:rFonts w:hint="eastAsia" w:ascii="仿宋_GB2312" w:hAnsi="仿宋" w:eastAsia="仿宋_GB2312" w:cs="Times New Roman"/>
          <w:snapToGrid/>
          <w:color w:val="auto"/>
          <w:kern w:val="2"/>
          <w:sz w:val="32"/>
          <w:szCs w:val="32"/>
        </w:rPr>
        <w:t>责</w:t>
      </w:r>
      <w:r>
        <w:rPr>
          <w:rFonts w:hint="eastAsia" w:ascii="仿宋_GB2312" w:hAnsi="仿宋" w:eastAsia="仿宋_GB2312" w:cs="Times New Roman"/>
          <w:b w:val="0"/>
          <w:bCs w:val="0"/>
          <w:snapToGrid/>
          <w:color w:val="auto"/>
          <w:kern w:val="2"/>
          <w:sz w:val="32"/>
          <w:szCs w:val="32"/>
          <w:u w:val="none"/>
          <w:lang w:val="en-US" w:eastAsia="zh-CN" w:bidi="ar-SA"/>
        </w:rPr>
        <w:t>落实</w:t>
      </w:r>
      <w:r>
        <w:rPr>
          <w:rFonts w:hint="eastAsia" w:ascii="仿宋_GB2312" w:hAnsi="仿宋" w:eastAsia="仿宋_GB2312" w:cs="Times New Roman"/>
          <w:snapToGrid/>
          <w:color w:val="auto"/>
          <w:kern w:val="2"/>
          <w:sz w:val="32"/>
          <w:szCs w:val="32"/>
        </w:rPr>
        <w:t>辖</w:t>
      </w:r>
      <w:r>
        <w:rPr>
          <w:rFonts w:hint="eastAsia" w:ascii="仿宋_GB2312" w:hAnsi="仿宋" w:eastAsia="仿宋_GB2312" w:cs="Times New Roman"/>
          <w:snapToGrid/>
          <w:kern w:val="2"/>
          <w:sz w:val="32"/>
          <w:szCs w:val="32"/>
          <w:lang w:eastAsia="zh-CN"/>
        </w:rPr>
        <w:t>区</w:t>
      </w:r>
      <w:r>
        <w:rPr>
          <w:rFonts w:hint="eastAsia" w:ascii="仿宋_GB2312" w:hAnsi="仿宋" w:eastAsia="仿宋_GB2312" w:cs="Times New Roman"/>
          <w:snapToGrid/>
          <w:kern w:val="2"/>
          <w:sz w:val="32"/>
          <w:szCs w:val="32"/>
        </w:rPr>
        <w:t>内被征地农民社会保障工作；</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7.负责辖区内征拆项目相关工作经费的管理使用；</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依法制止拟征地项目红线范围内抢栽抢种抢建等行为；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9.负责征地拆迁过程中的群众思想和信访维稳工作；</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pP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负责征地拆迁有关的其他工作。</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第五条</w:t>
      </w:r>
      <w:r>
        <w:rPr>
          <w:rFonts w:hint="eastAsia" w:ascii="仿宋_GB2312" w:hAnsi="仿宋" w:eastAsia="仿宋_GB2312" w:cs="Times New Roman"/>
          <w:snapToGrid/>
          <w:kern w:val="2"/>
          <w:sz w:val="32"/>
          <w:szCs w:val="32"/>
          <w:lang w:val="en-US" w:eastAsia="zh-CN"/>
        </w:rPr>
        <w:t xml:space="preserve">  自然资源部门是征收工作的主管部门，负责征收工作的指导、监督和管理，履行以下职责：</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(一)贯彻执行集体土地征收与房屋拆迁补偿安置的法律法规和政策，完善征收工作规章制度；</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(二)审查本级财政出资项目的征拆资金概算报告并出具意见；</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(三)按照本级政府规定，设立经财政部门批准的征拆资金专户，对征地拆迁项目的资金进行归集与拨付，专款专用；</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(四)会同本级财政、审计部门监督征地拆迁补偿安置资金使用情况；</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(五)监督检查征地拆迁政策落实、安置补偿到位情况；</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(六)对征收工作进行业务指导，组织开展征收工作人员业务培训；</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(七)处理与征收工作相关的其他事项。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第六条 </w:t>
      </w:r>
      <w:r>
        <w:rPr>
          <w:rFonts w:hint="eastAsia" w:ascii="仿宋_GB2312" w:hAnsi="仿宋" w:eastAsia="仿宋_GB2312" w:cs="Times New Roman"/>
          <w:snapToGrid/>
          <w:kern w:val="2"/>
          <w:sz w:val="32"/>
          <w:szCs w:val="32"/>
          <w:lang w:val="en-US" w:eastAsia="zh-CN"/>
        </w:rPr>
        <w:t>财政、司法、住建、市场监管、税务、农业农村、 林业、水利、民政、公安、人社、卫健、发改、审计等有关部门，按照各自职责共同做好征收工作。</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第七条</w:t>
      </w:r>
      <w:r>
        <w:rPr>
          <w:rFonts w:hint="eastAsia" w:ascii="仿宋_GB2312" w:hAnsi="仿宋" w:eastAsia="仿宋_GB2312" w:cs="Times New Roman"/>
          <w:snapToGrid/>
          <w:kern w:val="2"/>
          <w:sz w:val="32"/>
          <w:szCs w:val="32"/>
          <w:lang w:val="en-US" w:eastAsia="zh-CN"/>
        </w:rPr>
        <w:t xml:space="preserve">  坚持依法征收和阳光征收，按照公开、公平、公正的原则，规范征收程序，建立征收工作信息公开制度。</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第八条 </w:t>
      </w:r>
      <w:r>
        <w:rPr>
          <w:rFonts w:hint="eastAsia" w:ascii="仿宋_GB2312" w:hAnsi="仿宋" w:eastAsia="仿宋_GB2312" w:cs="Times New Roman"/>
          <w:snapToGrid/>
          <w:kern w:val="2"/>
          <w:sz w:val="32"/>
          <w:szCs w:val="32"/>
          <w:lang w:val="en-US" w:eastAsia="zh-CN"/>
        </w:rPr>
        <w:t xml:space="preserve"> 县人民政府对在征收工作中作出重要贡献的单位和个人可以依法依规给予奖励（附件7）。</w:t>
      </w:r>
    </w:p>
    <w:p>
      <w:pPr>
        <w:keepNext w:val="0"/>
        <w:keepLines w:val="0"/>
        <w:pageBreakBefore w:val="0"/>
        <w:wordWrap/>
        <w:overflowPunct/>
        <w:topLinePunct w:val="0"/>
        <w:bidi w:val="0"/>
        <w:adjustRightInd w:val="0"/>
        <w:snapToGrid w:val="0"/>
        <w:spacing w:line="640" w:lineRule="exact"/>
        <w:ind w:right="0"/>
        <w:jc w:val="center"/>
        <w:rPr>
          <w:rFonts w:hint="eastAsia" w:ascii="黑体" w:hAnsi="黑体" w:eastAsia="黑体" w:cs="黑体"/>
          <w:b/>
          <w:bCs/>
          <w:spacing w:val="-10"/>
          <w:sz w:val="32"/>
          <w:szCs w:val="32"/>
          <w:lang w:val="en-US" w:eastAsia="zh-CN"/>
        </w:rPr>
      </w:pPr>
    </w:p>
    <w:p>
      <w:pPr>
        <w:keepNext w:val="0"/>
        <w:keepLines w:val="0"/>
        <w:pageBreakBefore w:val="0"/>
        <w:wordWrap/>
        <w:overflowPunct/>
        <w:topLinePunct w:val="0"/>
        <w:bidi w:val="0"/>
        <w:adjustRightInd w:val="0"/>
        <w:snapToGrid w:val="0"/>
        <w:spacing w:line="640" w:lineRule="exact"/>
        <w:ind w:right="0"/>
        <w:jc w:val="center"/>
        <w:rPr>
          <w:rFonts w:hint="eastAsia" w:ascii="黑体" w:hAnsi="黑体" w:eastAsia="黑体" w:cs="黑体"/>
          <w:b/>
          <w:bCs/>
          <w:spacing w:val="-10"/>
          <w:sz w:val="32"/>
          <w:szCs w:val="32"/>
          <w:lang w:val="en-US" w:eastAsia="zh-CN"/>
        </w:rPr>
      </w:pPr>
      <w:r>
        <w:rPr>
          <w:rFonts w:hint="eastAsia" w:ascii="黑体" w:hAnsi="黑体" w:eastAsia="黑体" w:cs="黑体"/>
          <w:b/>
          <w:bCs/>
          <w:spacing w:val="-10"/>
          <w:sz w:val="32"/>
          <w:szCs w:val="32"/>
          <w:lang w:val="en-US" w:eastAsia="zh-CN"/>
        </w:rPr>
        <w:t>第二章  实施程序</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第九条 </w:t>
      </w:r>
      <w:r>
        <w:rPr>
          <w:rFonts w:hint="eastAsia" w:ascii="楷体_GB2312" w:hAnsi="黑体" w:eastAsia="楷体_GB2312" w:cs="Times New Roman"/>
          <w:b/>
          <w:bCs/>
          <w:snapToGrid/>
          <w:color w:val="auto"/>
          <w:kern w:val="2"/>
          <w:sz w:val="32"/>
          <w:szCs w:val="32"/>
          <w:lang w:val="en-US" w:eastAsia="zh-CN" w:bidi="ar-SA"/>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为了公共利</w:t>
      </w:r>
      <w:r>
        <w:rPr>
          <w:rFonts w:hint="eastAsia" w:ascii="仿宋_GB2312" w:hAnsi="仿宋" w:eastAsia="仿宋_GB2312" w:cs="Times New Roman"/>
          <w:snapToGrid/>
          <w:kern w:val="2"/>
          <w:sz w:val="32"/>
          <w:szCs w:val="32"/>
          <w:lang w:val="en-US" w:eastAsia="zh-CN"/>
        </w:rPr>
        <w:t>益需要，依法对本行政区域内的项目建设发布征收土地预公告。</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第十条 </w:t>
      </w:r>
      <w:r>
        <w:rPr>
          <w:rFonts w:hint="eastAsia" w:ascii="仿宋_GB2312" w:hAnsi="仿宋" w:eastAsia="仿宋_GB2312" w:cs="Times New Roman"/>
          <w:snapToGrid/>
          <w:kern w:val="2"/>
          <w:sz w:val="32"/>
          <w:szCs w:val="32"/>
          <w:lang w:val="en-US" w:eastAsia="zh-CN"/>
        </w:rPr>
        <w:t xml:space="preserve"> 拟征收集体所有土地的</w:t>
      </w:r>
      <w:r>
        <w:rPr>
          <w:rFonts w:hint="eastAsia" w:ascii="仿宋_GB2312" w:hAnsi="仿宋" w:eastAsia="仿宋_GB2312" w:cs="Times New Roman"/>
          <w:snapToGrid/>
          <w:color w:val="auto"/>
          <w:kern w:val="2"/>
          <w:sz w:val="32"/>
          <w:szCs w:val="32"/>
          <w:lang w:val="en-US" w:eastAsia="zh-CN"/>
        </w:rPr>
        <w:t>，由</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在</w:t>
      </w:r>
      <w:r>
        <w:rPr>
          <w:rFonts w:hint="eastAsia" w:ascii="仿宋_GB2312" w:hAnsi="仿宋" w:eastAsia="仿宋_GB2312" w:cs="Times New Roman"/>
          <w:snapToGrid/>
          <w:kern w:val="2"/>
          <w:sz w:val="32"/>
          <w:szCs w:val="32"/>
          <w:lang w:val="en-US" w:eastAsia="zh-CN"/>
        </w:rPr>
        <w:t>拟征收土地所在的乡镇(街道)政务公开栏和村务(社区)公开栏，以及村(居)民小组显著位置公开发布征收土地预公告，预公告时间不少于10个工作日。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征收土地预公告应当包括征收范围、征收目的、土地征收实施机构、开展土地现状调查的安排等内容。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第十一条 </w:t>
      </w:r>
      <w:r>
        <w:rPr>
          <w:rFonts w:hint="eastAsia" w:ascii="仿宋_GB2312" w:hAnsi="仿宋" w:eastAsia="仿宋_GB2312" w:cs="Times New Roman"/>
          <w:snapToGrid/>
          <w:kern w:val="2"/>
          <w:sz w:val="32"/>
          <w:szCs w:val="32"/>
          <w:lang w:val="en-US" w:eastAsia="zh-CN"/>
        </w:rPr>
        <w:t xml:space="preserve"> 在发布征收土地预公告的同时，</w:t>
      </w:r>
      <w:r>
        <w:rPr>
          <w:rFonts w:hint="eastAsia" w:ascii="仿宋_GB2312" w:hAnsi="仿宋" w:eastAsia="仿宋_GB2312" w:cs="Times New Roman"/>
          <w:b w:val="0"/>
          <w:bCs w:val="0"/>
          <w:snapToGrid/>
          <w:color w:val="auto"/>
          <w:kern w:val="2"/>
          <w:sz w:val="32"/>
          <w:szCs w:val="32"/>
          <w:u w:val="none"/>
          <w:lang w:val="en-US" w:eastAsia="zh-CN" w:bidi="ar-SA"/>
        </w:rPr>
        <w:t>县征收事务中心</w:t>
      </w:r>
      <w:r>
        <w:rPr>
          <w:rFonts w:hint="eastAsia" w:ascii="仿宋_GB2312" w:hAnsi="仿宋" w:eastAsia="仿宋_GB2312" w:cs="Times New Roman"/>
          <w:snapToGrid/>
          <w:color w:val="auto"/>
          <w:kern w:val="2"/>
          <w:sz w:val="32"/>
          <w:szCs w:val="32"/>
          <w:lang w:val="en-US" w:eastAsia="zh-CN"/>
        </w:rPr>
        <w:t>应当书面通知当地公安、自然资源、市场监管、住</w:t>
      </w:r>
      <w:r>
        <w:rPr>
          <w:rFonts w:hint="eastAsia" w:ascii="仿宋_GB2312" w:hAnsi="仿宋" w:eastAsia="仿宋_GB2312" w:cs="Times New Roman"/>
          <w:snapToGrid/>
          <w:kern w:val="2"/>
          <w:sz w:val="32"/>
          <w:szCs w:val="32"/>
          <w:lang w:val="en-US" w:eastAsia="zh-CN"/>
        </w:rPr>
        <w:t>建、农业农村、林业等有关部门以及乡镇(街道)、村(居)委会等单位，自公告之日起，在拟征收土地范围内暂停办理下列事项：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(一)新批宅基地和其他建设用地；</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(二)审批改建、扩建房屋或其他建(构)筑物，办理不动产登记；</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(三)改变房屋与土地用途，或者以拟被拆迁房屋为经营场所办理市场主体登记和发证手续；</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(四)办理休闲农庄、林木种苗基地、野生动物驯养繁殖基地、特种养殖等相关手续；</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(五)办理《农村土地承包经营权证》《农村土地经营权证》《农村土地经营权抵押登记他项权证》;</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(六)其他有碍征收工作的手续。</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暂停办理期限自征收土地预公告发布之日起，一般不得超过12个月。</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暂停办理期限内，擅自办理的相关手续，不得作为土地征收与房屋拆迁补偿安置的依据。因擅自办理相关手续给他人造成损失的，由相关责任单位和责任人依法承担责任。</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第十二条</w:t>
      </w:r>
      <w:r>
        <w:rPr>
          <w:rFonts w:hint="eastAsia" w:ascii="仿宋_GB2312" w:hAnsi="仿宋" w:eastAsia="仿宋_GB2312" w:cs="Times New Roman"/>
          <w:snapToGrid/>
          <w:kern w:val="2"/>
          <w:sz w:val="32"/>
          <w:szCs w:val="32"/>
          <w:lang w:val="en-US" w:eastAsia="zh-CN"/>
        </w:rPr>
        <w:t xml:space="preserve">  自征收土地预公告发布之日起，任何单位和个人不得在拟征收范围内抢栽抢建。违反规定在拟征收范围内改变土地利用现状、抢种林木、抢建建筑物(构筑物、设施)、抢装饰(修)等，一律不予补偿。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color w:val="auto"/>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第十三条 </w:t>
      </w:r>
      <w:r>
        <w:rPr>
          <w:rFonts w:hint="eastAsia" w:ascii="仿宋_GB2312" w:hAnsi="仿宋" w:eastAsia="仿宋_GB2312" w:cs="Times New Roman"/>
          <w:snapToGrid/>
          <w:kern w:val="2"/>
          <w:sz w:val="32"/>
          <w:szCs w:val="32"/>
          <w:lang w:val="en-US" w:eastAsia="zh-CN"/>
        </w:rPr>
        <w:t xml:space="preserve"> 征收土地预公告发布后</w:t>
      </w:r>
      <w:r>
        <w:rPr>
          <w:rFonts w:hint="eastAsia" w:ascii="仿宋_GB2312" w:hAnsi="仿宋" w:eastAsia="仿宋_GB2312" w:cs="Times New Roman"/>
          <w:snapToGrid/>
          <w:color w:val="auto"/>
          <w:kern w:val="2"/>
          <w:sz w:val="32"/>
          <w:szCs w:val="32"/>
          <w:lang w:val="en-US" w:eastAsia="zh-CN"/>
        </w:rPr>
        <w:t>，</w:t>
      </w:r>
      <w:r>
        <w:rPr>
          <w:rFonts w:hint="eastAsia" w:ascii="仿宋_GB2312" w:hAnsi="仿宋" w:eastAsia="仿宋_GB2312" w:cs="Times New Roman"/>
          <w:b w:val="0"/>
          <w:bCs w:val="0"/>
          <w:snapToGrid/>
          <w:color w:val="auto"/>
          <w:kern w:val="2"/>
          <w:sz w:val="32"/>
          <w:szCs w:val="32"/>
          <w:u w:val="none"/>
          <w:lang w:val="en-US" w:eastAsia="zh-CN" w:bidi="ar-SA"/>
        </w:rPr>
        <w:t>土地征收实施机构</w:t>
      </w:r>
      <w:r>
        <w:rPr>
          <w:rFonts w:hint="eastAsia" w:ascii="仿宋_GB2312" w:hAnsi="仿宋" w:eastAsia="仿宋_GB2312" w:cs="Times New Roman"/>
          <w:snapToGrid/>
          <w:color w:val="auto"/>
          <w:kern w:val="2"/>
          <w:sz w:val="32"/>
          <w:szCs w:val="32"/>
          <w:lang w:val="en-US" w:eastAsia="zh-CN"/>
        </w:rPr>
        <w:t>应当充分利用最新年度国土变更调查和不动产登记成果，进行土地现状调查工作。土地现状调查应当查明土地的位置、权属、地类、面积，以及农村住宅、其他地上附着物和青苗等的权属、种类、数量等情况。</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b w:val="0"/>
          <w:bCs w:val="0"/>
          <w:snapToGrid/>
          <w:color w:val="auto"/>
          <w:kern w:val="2"/>
          <w:sz w:val="32"/>
          <w:szCs w:val="32"/>
          <w:u w:val="none"/>
          <w:lang w:val="en-US" w:eastAsia="zh-CN" w:bidi="ar-SA"/>
        </w:rPr>
        <w:t>土地征收实施机构</w:t>
      </w:r>
      <w:r>
        <w:rPr>
          <w:rFonts w:hint="eastAsia" w:ascii="仿宋_GB2312" w:hAnsi="仿宋" w:eastAsia="仿宋_GB2312" w:cs="Times New Roman"/>
          <w:snapToGrid/>
          <w:color w:val="auto"/>
          <w:kern w:val="2"/>
          <w:sz w:val="32"/>
          <w:szCs w:val="32"/>
          <w:lang w:val="en-US" w:eastAsia="zh-CN"/>
        </w:rPr>
        <w:t>可以委托具有资质的专业机构对</w:t>
      </w:r>
      <w:r>
        <w:rPr>
          <w:rFonts w:hint="eastAsia" w:ascii="仿宋_GB2312" w:hAnsi="仿宋" w:eastAsia="仿宋_GB2312" w:cs="Times New Roman"/>
          <w:snapToGrid/>
          <w:kern w:val="2"/>
          <w:sz w:val="32"/>
          <w:szCs w:val="32"/>
          <w:lang w:val="en-US" w:eastAsia="zh-CN"/>
        </w:rPr>
        <w:t>拟拆迁房屋进行实地测量，绘制平面图，并出具房屋结构、房屋层数、建筑面积等技术报告。土地征收实施机构根据相关权利证书记载，并结合房屋实际情况，对房屋类别、功能予以确认，建立被拆迁房屋四至彩色照片档案并保存。</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拟征收土地现状调查结果由被征收土地所有权人盖章确认及三名以上具有代表性的被征地农民签字见证，并附签字农民身份证复印件和联系电话；拟征收土地上农村住宅、青苗和其他地上附着物调查结果由附着物所有权人、使用权人签字确认。不同意签字或者因客观原因无法签字的，可以对调查结果予以公证或者采取摄影、摄像等方式固定相关证据。拟征收土地现状调查结果公示应当不少于5个工作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第十四条</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应对</w:t>
      </w:r>
      <w:r>
        <w:rPr>
          <w:rFonts w:hint="eastAsia" w:ascii="仿宋_GB2312" w:hAnsi="仿宋" w:eastAsia="仿宋_GB2312" w:cs="Times New Roman"/>
          <w:snapToGrid/>
          <w:kern w:val="2"/>
          <w:sz w:val="32"/>
          <w:szCs w:val="32"/>
          <w:lang w:val="en-US" w:eastAsia="zh-CN"/>
        </w:rPr>
        <w:t>拟征收行为进行社会稳定风险评估，社会稳定风险评估报告应当载明拟征收土地概况、用途、所在村组和其他利害关系人的意见等，明确社会稳定风险点和风险等级，提出风险防范措施和处置预案。</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第十五条</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应</w:t>
      </w:r>
      <w:r>
        <w:rPr>
          <w:rFonts w:hint="eastAsia" w:ascii="仿宋_GB2312" w:hAnsi="仿宋" w:eastAsia="仿宋_GB2312" w:cs="Times New Roman"/>
          <w:snapToGrid/>
          <w:kern w:val="2"/>
          <w:sz w:val="32"/>
          <w:szCs w:val="32"/>
          <w:lang w:val="en-US" w:eastAsia="zh-CN"/>
        </w:rPr>
        <w:t>当依据社会稳定风险评估结果，结合土地现状调查情况，组织自然资源、财政、农业农村、人社等有关部门，拟定征地补偿安置方案。</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征地补偿安置方案应当包括征收范围、土地现状、征收目的、补偿方式和标准、安置对象、安置方式、社会保障、办理补偿登记的方式和期限、异议反馈渠道等内容。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第十六条</w:t>
      </w:r>
      <w:r>
        <w:rPr>
          <w:rFonts w:hint="eastAsia" w:ascii="仿宋_GB2312" w:hAnsi="仿宋" w:eastAsia="仿宋_GB2312" w:cs="Times New Roman"/>
          <w:snapToGrid/>
          <w:kern w:val="2"/>
          <w:sz w:val="32"/>
          <w:szCs w:val="32"/>
          <w:lang w:val="en-US" w:eastAsia="zh-CN"/>
        </w:rPr>
        <w:t xml:space="preserve">  征地补偿安置方案拟定后，</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应</w:t>
      </w:r>
      <w:r>
        <w:rPr>
          <w:rFonts w:hint="eastAsia" w:ascii="仿宋_GB2312" w:hAnsi="仿宋" w:eastAsia="仿宋_GB2312" w:cs="Times New Roman"/>
          <w:snapToGrid/>
          <w:kern w:val="2"/>
          <w:sz w:val="32"/>
          <w:szCs w:val="32"/>
          <w:lang w:val="en-US" w:eastAsia="zh-CN"/>
        </w:rPr>
        <w:t>当在拟征收土地所在的乡镇(街道)政务公开栏和村务(社区)公开栏以及村(居)民小组显著位置予以公告，公告时间不少于30日。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color w:val="auto"/>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第十七条</w:t>
      </w:r>
      <w:r>
        <w:rPr>
          <w:rFonts w:hint="eastAsia" w:ascii="仿宋_GB2312" w:hAnsi="仿宋" w:eastAsia="仿宋_GB2312" w:cs="Times New Roman"/>
          <w:snapToGrid/>
          <w:kern w:val="2"/>
          <w:sz w:val="32"/>
          <w:szCs w:val="32"/>
          <w:lang w:val="en-US" w:eastAsia="zh-CN"/>
        </w:rPr>
        <w:t xml:space="preserve">  在征地补偿安置方案公告期内，有下列情形之一的，县人民政府应当在公告期满后15日内组织听证。征</w:t>
      </w:r>
      <w:r>
        <w:rPr>
          <w:rFonts w:hint="eastAsia" w:ascii="仿宋_GB2312" w:hAnsi="仿宋" w:eastAsia="仿宋_GB2312" w:cs="Times New Roman"/>
          <w:snapToGrid/>
          <w:color w:val="auto"/>
          <w:kern w:val="2"/>
          <w:sz w:val="32"/>
          <w:szCs w:val="32"/>
          <w:lang w:val="en-US" w:eastAsia="zh-CN"/>
        </w:rPr>
        <w:t>地补偿安置方案确需修改的，应当组织修改，并由</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重新公布，公布时间不少于5个工作日：</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(一)二分之一以上被征地的农村集体经济组织成员认为征地补偿安置方案不符合法律、法规规定的；</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(二)被征地农村集体经济组织或者被征地农村集体经济组织成员或者利害关系人申请听证且符合听证相关规定的。</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第十八条</w:t>
      </w:r>
      <w:r>
        <w:rPr>
          <w:rFonts w:hint="eastAsia" w:ascii="仿宋_GB2312" w:hAnsi="仿宋" w:eastAsia="仿宋_GB2312" w:cs="Times New Roman"/>
          <w:snapToGrid/>
          <w:kern w:val="2"/>
          <w:sz w:val="32"/>
          <w:szCs w:val="32"/>
          <w:lang w:val="en-US" w:eastAsia="zh-CN"/>
        </w:rPr>
        <w:t xml:space="preserve">  被征拆人应当在征地补偿安置方案公告的规定期限内，持公告要求的材料到指定地点进行补偿登记。未在规定期限内登记的，以公示的土地现状调查结果作为征地补偿安置依据。</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第十九条</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color w:val="auto"/>
          <w:kern w:val="2"/>
          <w:sz w:val="32"/>
          <w:szCs w:val="32"/>
          <w:lang w:val="en-US" w:eastAsia="zh-CN"/>
        </w:rPr>
        <w:t>应当组织有关部门对拟拆迁房屋的合法性、拟安置人员资格依法进行审查认定。</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b w:val="0"/>
          <w:bCs w:val="0"/>
          <w:snapToGrid/>
          <w:color w:val="FF0000"/>
          <w:kern w:val="2"/>
          <w:sz w:val="32"/>
          <w:szCs w:val="32"/>
          <w:u w:val="none"/>
          <w:lang w:val="en-US" w:eastAsia="zh-CN" w:bidi="ar-SA"/>
        </w:rPr>
      </w:pPr>
      <w:r>
        <w:rPr>
          <w:rFonts w:hint="eastAsia" w:ascii="楷体_GB2312" w:hAnsi="黑体" w:eastAsia="楷体_GB2312" w:cs="Times New Roman"/>
          <w:b/>
          <w:bCs/>
          <w:snapToGrid/>
          <w:color w:val="000000"/>
          <w:kern w:val="2"/>
          <w:sz w:val="32"/>
          <w:szCs w:val="32"/>
          <w:lang w:val="en-US" w:eastAsia="zh-CN" w:bidi="ar-SA"/>
        </w:rPr>
        <w:t>第二十条</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县征收事务中心</w:t>
      </w:r>
      <w:r>
        <w:rPr>
          <w:rFonts w:hint="eastAsia" w:ascii="仿宋_GB2312" w:hAnsi="仿宋" w:eastAsia="仿宋_GB2312" w:cs="Times New Roman"/>
          <w:snapToGrid/>
          <w:color w:val="auto"/>
          <w:kern w:val="2"/>
          <w:sz w:val="32"/>
          <w:szCs w:val="32"/>
          <w:lang w:val="en-US" w:eastAsia="zh-CN"/>
        </w:rPr>
        <w:t>应当编制集体土地征收与房屋拆迁补偿安置资金概算报告，报自然资源局</w:t>
      </w:r>
      <w:r>
        <w:rPr>
          <w:rFonts w:hint="eastAsia" w:ascii="仿宋_GB2312" w:hAnsi="仿宋" w:eastAsia="仿宋_GB2312" w:cs="Times New Roman"/>
          <w:snapToGrid/>
          <w:kern w:val="2"/>
          <w:sz w:val="32"/>
          <w:szCs w:val="32"/>
          <w:lang w:val="en-US" w:eastAsia="zh-CN"/>
        </w:rPr>
        <w:t>审查。自然资源局受理后，应当在10个工作日内出具审查意见，报财政局备案。</w:t>
      </w:r>
      <w:r>
        <w:rPr>
          <w:rFonts w:hint="eastAsia" w:ascii="仿宋_GB2312" w:hAnsi="仿宋" w:eastAsia="仿宋_GB2312" w:cs="Times New Roman"/>
          <w:b w:val="0"/>
          <w:bCs w:val="0"/>
          <w:snapToGrid/>
          <w:color w:val="auto"/>
          <w:kern w:val="2"/>
          <w:sz w:val="32"/>
          <w:szCs w:val="32"/>
          <w:u w:val="none"/>
          <w:lang w:val="en-US" w:eastAsia="zh-CN" w:bidi="ar-SA"/>
        </w:rPr>
        <w:t>涉及上级财政投资的按上级相关文件执行。</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第二十一条</w:t>
      </w:r>
      <w:r>
        <w:rPr>
          <w:rFonts w:hint="eastAsia" w:ascii="仿宋_GB2312" w:hAnsi="仿宋" w:eastAsia="仿宋_GB2312" w:cs="Times New Roman"/>
          <w:snapToGrid/>
          <w:kern w:val="2"/>
          <w:sz w:val="32"/>
          <w:szCs w:val="32"/>
          <w:lang w:val="en-US" w:eastAsia="zh-CN"/>
        </w:rPr>
        <w:t xml:space="preserve">  土地征收实施机构应与被征拆人签订征地补偿安置协议，征地补偿安置协议应当约定征地补偿费用的金额、支付期限、方式，交付土地的期限、条件等。</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对未签订征地补偿安置协议的，</w:t>
      </w:r>
      <w:r>
        <w:rPr>
          <w:rFonts w:hint="eastAsia" w:ascii="仿宋_GB2312" w:hAnsi="仿宋" w:eastAsia="仿宋_GB2312" w:cs="Times New Roman"/>
          <w:snapToGrid/>
          <w:color w:val="auto"/>
          <w:kern w:val="2"/>
          <w:sz w:val="32"/>
          <w:szCs w:val="32"/>
          <w:lang w:val="en-US" w:eastAsia="zh-CN"/>
        </w:rPr>
        <w:t>由</w:t>
      </w:r>
      <w:r>
        <w:rPr>
          <w:rFonts w:hint="eastAsia" w:ascii="仿宋_GB2312" w:hAnsi="仿宋" w:eastAsia="仿宋_GB2312" w:cs="Times New Roman"/>
          <w:b w:val="0"/>
          <w:bCs w:val="0"/>
          <w:snapToGrid/>
          <w:color w:val="auto"/>
          <w:kern w:val="2"/>
          <w:sz w:val="32"/>
          <w:szCs w:val="32"/>
          <w:u w:val="none"/>
          <w:lang w:val="en-US" w:eastAsia="zh-CN" w:bidi="ar-SA"/>
        </w:rPr>
        <w:t>土地征收实施机构</w:t>
      </w:r>
      <w:r>
        <w:rPr>
          <w:rFonts w:hint="eastAsia" w:ascii="仿宋_GB2312" w:hAnsi="仿宋" w:eastAsia="仿宋_GB2312" w:cs="Times New Roman"/>
          <w:snapToGrid/>
          <w:color w:val="auto"/>
          <w:kern w:val="2"/>
          <w:sz w:val="32"/>
          <w:szCs w:val="32"/>
          <w:lang w:val="en-US" w:eastAsia="zh-CN"/>
        </w:rPr>
        <w:t>拟定</w:t>
      </w:r>
      <w:r>
        <w:rPr>
          <w:rFonts w:hint="eastAsia" w:ascii="仿宋_GB2312" w:hAnsi="仿宋" w:eastAsia="仿宋_GB2312" w:cs="Times New Roman"/>
          <w:snapToGrid/>
          <w:kern w:val="2"/>
          <w:sz w:val="32"/>
          <w:szCs w:val="32"/>
          <w:lang w:val="en-US" w:eastAsia="zh-CN"/>
        </w:rPr>
        <w:t>征地补偿安置告知书并依法送达被征拆人，告知书应当告知拟被征收土地、房屋、其他地上附着物的面积、权属、补偿标准、金额、方式等，保障其知情权。</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第二十二条</w:t>
      </w:r>
      <w:r>
        <w:rPr>
          <w:rFonts w:hint="eastAsia" w:ascii="仿宋_GB2312" w:hAnsi="仿宋" w:eastAsia="仿宋_GB2312" w:cs="Times New Roman"/>
          <w:snapToGrid/>
          <w:kern w:val="2"/>
          <w:sz w:val="32"/>
          <w:szCs w:val="32"/>
          <w:lang w:val="en-US" w:eastAsia="zh-CN"/>
        </w:rPr>
        <w:t xml:space="preserve">  征收土地申请经依法批准后，</w:t>
      </w:r>
      <w:r>
        <w:rPr>
          <w:rFonts w:hint="eastAsia" w:ascii="仿宋_GB2312" w:hAnsi="仿宋" w:eastAsia="仿宋_GB2312" w:cs="Times New Roman"/>
          <w:b w:val="0"/>
          <w:bCs w:val="0"/>
          <w:snapToGrid/>
          <w:color w:val="auto"/>
          <w:kern w:val="2"/>
          <w:sz w:val="32"/>
          <w:szCs w:val="32"/>
          <w:u w:val="none"/>
          <w:lang w:val="en-US" w:eastAsia="zh-CN" w:bidi="ar-SA"/>
        </w:rPr>
        <w:t>县人民政府</w:t>
      </w:r>
      <w:r>
        <w:rPr>
          <w:rFonts w:hint="eastAsia" w:ascii="仿宋_GB2312" w:hAnsi="仿宋" w:eastAsia="仿宋_GB2312" w:cs="Times New Roman"/>
          <w:snapToGrid/>
          <w:kern w:val="2"/>
          <w:sz w:val="32"/>
          <w:szCs w:val="32"/>
          <w:lang w:val="en-US" w:eastAsia="zh-CN"/>
        </w:rPr>
        <w:t>应当自收到征地批准文件之日起15个工作日内，在拟征收 土地所在的乡镇(街道)政务公开栏和村务(社区)公开栏以及 村(居)民小组显著位置发布征收土地公告。公告应当载明批准征地机关、批准文号、征收土地的批准用途、权属、范围、面积以及征地补偿标准、征收时间等。</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县人民政府应当自发布征收土地公告后3个月内，对已经签订征地补偿安置协议的，将征地补偿费用足额支付到位；对未签订征地补偿安置协议的，应当作出征地补偿安置决定并依法送达后，将所涉及的征地补偿费用存入指定银行账户。</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发布征收土地公告前，不得动工建设。</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第二十三条 </w:t>
      </w:r>
      <w:r>
        <w:rPr>
          <w:rFonts w:hint="eastAsia" w:ascii="仿宋_GB2312" w:hAnsi="仿宋" w:eastAsia="仿宋_GB2312" w:cs="Times New Roman"/>
          <w:snapToGrid/>
          <w:kern w:val="2"/>
          <w:sz w:val="32"/>
          <w:szCs w:val="32"/>
          <w:lang w:val="en-US" w:eastAsia="zh-CN"/>
        </w:rPr>
        <w:t xml:space="preserve"> 征地拆迁补偿款足额支付后，被征拆人应当按期交出土地、腾地。被征拆人在规定或者约定的期限内拒不交出土地、腾地的，由县人民政府责令限期交出土地、腾地；逾期不交出土地、腾地的，依法申请人民法院强制执行。</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color w:val="auto"/>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第二十四条</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color w:val="auto"/>
          <w:kern w:val="2"/>
          <w:sz w:val="32"/>
          <w:szCs w:val="32"/>
          <w:lang w:val="en-US" w:eastAsia="zh-CN"/>
        </w:rPr>
        <w:t>房屋拆迁补偿安置完成后，</w:t>
      </w:r>
      <w:r>
        <w:rPr>
          <w:rFonts w:hint="eastAsia" w:ascii="仿宋_GB2312" w:hAnsi="仿宋" w:eastAsia="仿宋_GB2312" w:cs="Times New Roman"/>
          <w:b w:val="0"/>
          <w:bCs w:val="0"/>
          <w:snapToGrid/>
          <w:color w:val="auto"/>
          <w:kern w:val="2"/>
          <w:sz w:val="32"/>
          <w:szCs w:val="32"/>
          <w:u w:val="none"/>
          <w:lang w:val="en-US" w:eastAsia="zh-CN" w:bidi="ar-SA"/>
        </w:rPr>
        <w:t>县征收事务中心</w:t>
      </w:r>
      <w:r>
        <w:rPr>
          <w:rFonts w:hint="eastAsia" w:ascii="仿宋_GB2312" w:hAnsi="仿宋" w:eastAsia="仿宋_GB2312" w:cs="Times New Roman"/>
          <w:snapToGrid/>
          <w:color w:val="auto"/>
          <w:kern w:val="2"/>
          <w:sz w:val="32"/>
          <w:szCs w:val="32"/>
          <w:lang w:val="en-US" w:eastAsia="zh-CN"/>
        </w:rPr>
        <w:t>应当收回不动产权属证书，并向不动产登记机构依法申请办理注销登记；确实无法收回的，由不动产登记机构依法在其门户网站或者当地公开发行的报刊上公告作废。</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rPr>
      </w:pPr>
      <w:r>
        <w:rPr>
          <w:rFonts w:hint="eastAsia" w:ascii="仿宋_GB2312" w:hAnsi="仿宋" w:eastAsia="仿宋_GB2312" w:cs="Times New Roman"/>
          <w:snapToGrid/>
          <w:color w:val="auto"/>
          <w:kern w:val="2"/>
          <w:sz w:val="32"/>
          <w:szCs w:val="32"/>
          <w:lang w:val="en-US" w:eastAsia="zh-CN"/>
        </w:rPr>
        <w:t>对部分土地被征收的，依法办理变更登记。</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第二十五条</w:t>
      </w:r>
      <w:r>
        <w:rPr>
          <w:rFonts w:hint="eastAsia" w:ascii="仿宋_GB2312" w:hAnsi="仿宋" w:eastAsia="仿宋_GB2312" w:cs="Times New Roman"/>
          <w:snapToGrid/>
          <w:kern w:val="2"/>
          <w:sz w:val="32"/>
          <w:szCs w:val="32"/>
          <w:lang w:val="en-US" w:eastAsia="zh-CN"/>
        </w:rPr>
        <w:t xml:space="preserve"> 在集体土地上的征收补偿安置工作完成后，县人民政府应当组织相关部门完成净地举证，将土地纳入土地储备库，并完成资料归档工作。</w:t>
      </w:r>
    </w:p>
    <w:p>
      <w:pPr>
        <w:keepNext w:val="0"/>
        <w:keepLines w:val="0"/>
        <w:pageBreakBefore w:val="0"/>
        <w:wordWrap/>
        <w:overflowPunct/>
        <w:topLinePunct w:val="0"/>
        <w:bidi w:val="0"/>
        <w:adjustRightInd w:val="0"/>
        <w:snapToGrid w:val="0"/>
        <w:spacing w:line="640" w:lineRule="exact"/>
        <w:ind w:right="0"/>
        <w:jc w:val="center"/>
        <w:rPr>
          <w:rFonts w:hint="eastAsia" w:ascii="黑体" w:hAnsi="黑体" w:eastAsia="黑体" w:cs="黑体"/>
          <w:b/>
          <w:bCs/>
          <w:spacing w:val="-10"/>
          <w:sz w:val="32"/>
          <w:szCs w:val="32"/>
          <w:lang w:val="en-US" w:eastAsia="zh-CN"/>
        </w:rPr>
      </w:pPr>
      <w:r>
        <w:rPr>
          <w:rFonts w:hint="eastAsia" w:ascii="黑体" w:hAnsi="黑体" w:eastAsia="黑体" w:cs="黑体"/>
          <w:b/>
          <w:bCs/>
          <w:spacing w:val="-10"/>
          <w:sz w:val="32"/>
          <w:szCs w:val="32"/>
          <w:lang w:val="en-US" w:eastAsia="zh-CN"/>
        </w:rPr>
        <w:t>第三章 土地征收补偿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第二十六条 </w:t>
      </w:r>
      <w:r>
        <w:rPr>
          <w:rFonts w:hint="eastAsia" w:ascii="仿宋_GB2312" w:hAnsi="仿宋" w:eastAsia="仿宋_GB2312" w:cs="Times New Roman"/>
          <w:snapToGrid/>
          <w:kern w:val="2"/>
          <w:sz w:val="32"/>
          <w:szCs w:val="32"/>
          <w:lang w:val="en-US" w:eastAsia="zh-CN"/>
        </w:rPr>
        <w:t xml:space="preserve"> 征地补偿费按照</w:t>
      </w:r>
      <w:r>
        <w:rPr>
          <w:rFonts w:hint="eastAsia" w:ascii="仿宋_GB2312" w:hAnsi="仿宋" w:eastAsia="仿宋_GB2312" w:cs="Times New Roman"/>
          <w:snapToGrid/>
          <w:color w:val="auto"/>
          <w:kern w:val="2"/>
          <w:sz w:val="32"/>
          <w:szCs w:val="32"/>
          <w:lang w:val="en-US" w:eastAsia="zh-CN"/>
        </w:rPr>
        <w:t>最新</w:t>
      </w:r>
      <w:r>
        <w:rPr>
          <w:rFonts w:hint="eastAsia" w:ascii="仿宋_GB2312" w:hAnsi="仿宋" w:eastAsia="仿宋_GB2312" w:cs="Times New Roman"/>
          <w:snapToGrid/>
          <w:kern w:val="2"/>
          <w:sz w:val="32"/>
          <w:szCs w:val="32"/>
          <w:lang w:val="en-US" w:eastAsia="zh-CN"/>
        </w:rPr>
        <w:t>省人民政府公布的征地补偿标准及市人民政府的相关规定执行，其中10%的征地补偿费用于被征地农民社会保障，划入被征地农民社会保障资金财政专户。</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土地征收按照土地勘测定界技术报告书确定的土地分类面积实施补偿。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第二十七条</w:t>
      </w:r>
      <w:r>
        <w:rPr>
          <w:rFonts w:hint="eastAsia" w:ascii="仿宋_GB2312" w:hAnsi="仿宋" w:eastAsia="仿宋_GB2312" w:cs="Times New Roman"/>
          <w:snapToGrid/>
          <w:kern w:val="2"/>
          <w:sz w:val="32"/>
          <w:szCs w:val="32"/>
          <w:lang w:val="en-US" w:eastAsia="zh-CN"/>
        </w:rPr>
        <w:t xml:space="preserve">  征收土地上的青苗和农业附属设施按《集体土地上青苗和农业附属设施包干补偿标准》(附件1)给予补偿，但宅基地及其他集体建设用地除外。</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征收林业、农业农村、市场监管等部门依法批准的苗木、花卉等基地，按《苗木、花卉补偿标准》(附件2)给予补偿。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征收果园、茶园等青苗按《果园、茶园青苗补偿标准》(附件3)给予补偿。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第二十八条</w:t>
      </w:r>
      <w:r>
        <w:rPr>
          <w:rFonts w:hint="eastAsia" w:ascii="仿宋_GB2312" w:hAnsi="仿宋" w:eastAsia="仿宋_GB2312" w:cs="Times New Roman"/>
          <w:snapToGrid/>
          <w:kern w:val="2"/>
          <w:sz w:val="32"/>
          <w:szCs w:val="32"/>
          <w:lang w:val="en-US" w:eastAsia="zh-CN"/>
        </w:rPr>
        <w:t xml:space="preserve">  征收土地范围内的坟墓需要迁移的，由土地征收实施机构发布迁坟公告，组织有关部门核实后按《坟墓迁移补偿标准》(附件4)给予迁坟补偿。</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第二十九条</w:t>
      </w:r>
      <w:r>
        <w:rPr>
          <w:rFonts w:hint="eastAsia" w:ascii="仿宋_GB2312" w:hAnsi="仿宋" w:eastAsia="仿宋_GB2312" w:cs="Times New Roman"/>
          <w:snapToGrid/>
          <w:kern w:val="2"/>
          <w:sz w:val="32"/>
          <w:szCs w:val="32"/>
          <w:lang w:val="en-US" w:eastAsia="zh-CN"/>
        </w:rPr>
        <w:t xml:space="preserve">  被征收的灌溉水塘按照水利部门要求必须重建的，以核准的正常蓄水面积为计算面积，按25000元/亩(含原水塘附属设施补偿)的标准向拥有水塘所有权的农村集体经济组织支付造塘费。</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第三十条</w:t>
      </w:r>
      <w:r>
        <w:rPr>
          <w:rFonts w:hint="eastAsia" w:ascii="仿宋_GB2312" w:hAnsi="仿宋" w:eastAsia="仿宋_GB2312" w:cs="Times New Roman"/>
          <w:snapToGrid/>
          <w:kern w:val="2"/>
          <w:sz w:val="32"/>
          <w:szCs w:val="32"/>
          <w:lang w:val="en-US" w:eastAsia="zh-CN"/>
        </w:rPr>
        <w:t xml:space="preserve">  征收土地的征地补偿费统一支付给被征收土地所有权人，由被征收土地所有权人负责分配使用。征收土地的地上附着物及青苗补偿费直接补偿给地上附着物及青苗的所有权人。</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楷体_GB2312" w:hAnsi="黑体" w:eastAsia="楷体_GB2312" w:cs="Times New Roman"/>
          <w:b/>
          <w:bCs/>
          <w:snapToGrid/>
          <w:color w:val="000000"/>
          <w:kern w:val="2"/>
          <w:sz w:val="32"/>
          <w:szCs w:val="32"/>
          <w:lang w:val="en-US" w:eastAsia="zh-CN" w:bidi="ar-SA"/>
        </w:rPr>
        <w:t xml:space="preserve">第三十一条 </w:t>
      </w:r>
      <w:r>
        <w:rPr>
          <w:rFonts w:hint="eastAsia" w:ascii="仿宋_GB2312" w:hAnsi="仿宋" w:eastAsia="仿宋_GB2312" w:cs="Times New Roman"/>
          <w:snapToGrid/>
          <w:kern w:val="2"/>
          <w:sz w:val="32"/>
          <w:szCs w:val="32"/>
          <w:lang w:val="en-US" w:eastAsia="zh-CN"/>
        </w:rPr>
        <w:t xml:space="preserve"> 被征地的农村集体经济组织应当将征收土地的补偿费用的收支和分配情况向本集体经济组织的成员公布，接受监督。</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乡镇人民政府(街道办事处)、县农业农村和财政部门应当对农村集体经济组织分配使用征地补偿费等情况进行监督。</w:t>
      </w:r>
    </w:p>
    <w:p>
      <w:pPr>
        <w:keepNext w:val="0"/>
        <w:keepLines w:val="0"/>
        <w:pageBreakBefore w:val="0"/>
        <w:wordWrap/>
        <w:overflowPunct/>
        <w:topLinePunct w:val="0"/>
        <w:bidi w:val="0"/>
        <w:adjustRightInd w:val="0"/>
        <w:snapToGrid w:val="0"/>
        <w:spacing w:line="640" w:lineRule="exact"/>
        <w:ind w:right="0"/>
        <w:rPr>
          <w:rFonts w:ascii="黑体" w:hAnsi="黑体" w:eastAsia="黑体" w:cs="黑体"/>
          <w:b/>
          <w:bCs/>
          <w:spacing w:val="-9"/>
          <w:sz w:val="32"/>
          <w:szCs w:val="32"/>
        </w:rPr>
      </w:pPr>
    </w:p>
    <w:p>
      <w:pPr>
        <w:keepNext w:val="0"/>
        <w:keepLines w:val="0"/>
        <w:pageBreakBefore w:val="0"/>
        <w:wordWrap/>
        <w:overflowPunct/>
        <w:topLinePunct w:val="0"/>
        <w:bidi w:val="0"/>
        <w:adjustRightInd w:val="0"/>
        <w:snapToGrid w:val="0"/>
        <w:spacing w:line="640" w:lineRule="exact"/>
        <w:ind w:right="0"/>
        <w:jc w:val="center"/>
        <w:rPr>
          <w:rFonts w:ascii="黑体" w:hAnsi="黑体" w:eastAsia="黑体" w:cs="黑体"/>
          <w:sz w:val="32"/>
          <w:szCs w:val="32"/>
        </w:rPr>
      </w:pPr>
      <w:r>
        <w:rPr>
          <w:rFonts w:ascii="黑体" w:hAnsi="黑体" w:eastAsia="黑体" w:cs="黑体"/>
          <w:b/>
          <w:bCs/>
          <w:spacing w:val="-9"/>
          <w:sz w:val="32"/>
          <w:szCs w:val="32"/>
        </w:rPr>
        <w:t>第四章</w:t>
      </w:r>
      <w:r>
        <w:rPr>
          <w:rFonts w:ascii="黑体" w:hAnsi="黑体" w:eastAsia="黑体" w:cs="黑体"/>
          <w:spacing w:val="148"/>
          <w:sz w:val="32"/>
          <w:szCs w:val="32"/>
        </w:rPr>
        <w:t xml:space="preserve"> </w:t>
      </w:r>
      <w:r>
        <w:rPr>
          <w:rFonts w:ascii="黑体" w:hAnsi="黑体" w:eastAsia="黑体" w:cs="黑体"/>
          <w:b/>
          <w:bCs/>
          <w:spacing w:val="-9"/>
          <w:sz w:val="32"/>
          <w:szCs w:val="32"/>
        </w:rPr>
        <w:t>房屋拆迁补偿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 xml:space="preserve">第三十二条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color w:val="auto"/>
          <w:kern w:val="2"/>
          <w:sz w:val="32"/>
          <w:szCs w:val="32"/>
          <w:u w:val="none"/>
          <w:lang w:val="en-US" w:eastAsia="zh-CN" w:bidi="ar-SA"/>
        </w:rPr>
        <w:t>平江县人民政府</w:t>
      </w:r>
      <w:r>
        <w:rPr>
          <w:rFonts w:hint="eastAsia" w:ascii="仿宋_GB2312" w:hAnsi="仿宋" w:eastAsia="仿宋_GB2312" w:cs="Times New Roman"/>
          <w:snapToGrid/>
          <w:color w:val="auto"/>
          <w:kern w:val="2"/>
          <w:sz w:val="32"/>
          <w:szCs w:val="32"/>
          <w:lang w:val="en-US" w:eastAsia="zh-CN" w:bidi="ar-SA"/>
        </w:rPr>
        <w:t>授权县征收事务中心组织县农村农业、自然资源、公安、住建等有关部门，根据一户只能拥有一处宅基地等规定，对被拆迁房屋依法进行合法性认定，并予以张榜公示。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（一）取得土地使用权证或房屋产权证的，以权属证书为依据。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（二）</w:t>
      </w:r>
      <w:r>
        <w:rPr>
          <w:rFonts w:hint="eastAsia" w:ascii="仿宋_GB2312" w:hAnsi="仿宋" w:eastAsia="仿宋_GB2312" w:cs="Times New Roman"/>
          <w:b w:val="0"/>
          <w:bCs w:val="0"/>
          <w:snapToGrid/>
          <w:color w:val="auto"/>
          <w:kern w:val="2"/>
          <w:sz w:val="32"/>
          <w:szCs w:val="32"/>
          <w:u w:val="none"/>
          <w:lang w:val="en-US" w:eastAsia="zh-CN" w:bidi="ar-SA"/>
        </w:rPr>
        <w:t>未取得土地使用权证或房屋产权证的</w:t>
      </w:r>
      <w:r>
        <w:rPr>
          <w:rFonts w:hint="eastAsia" w:ascii="仿宋_GB2312" w:hAnsi="仿宋" w:eastAsia="仿宋_GB2312" w:cs="Times New Roman"/>
          <w:b w:val="0"/>
          <w:bCs w:val="0"/>
          <w:snapToGrid/>
          <w:color w:val="auto"/>
          <w:kern w:val="2"/>
          <w:sz w:val="32"/>
          <w:szCs w:val="32"/>
          <w:lang w:val="en-US" w:eastAsia="zh-CN" w:bidi="ar-SA"/>
        </w:rPr>
        <w:t>，其房屋合法性按以下规定认定：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1.1986年12月31日以前兴建的房屋，未进行改建、扩建的，按合法建筑对待；</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2.1987年1月1日以后兴建的房屋，原则上以建设批准用地文件为依据；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3.被征拆人在1987年1月1日以后未取得相关批准手续建设的房屋，在符合一户一宅政策前提下，</w:t>
      </w:r>
      <w:r>
        <w:rPr>
          <w:rFonts w:hint="eastAsia" w:ascii="仿宋_GB2312" w:hAnsi="仿宋" w:eastAsia="仿宋_GB2312" w:cs="Times New Roman"/>
          <w:snapToGrid/>
          <w:color w:val="auto"/>
          <w:kern w:val="2"/>
          <w:sz w:val="32"/>
          <w:szCs w:val="32"/>
          <w:u w:val="none"/>
          <w:lang w:val="en-US" w:eastAsia="zh-CN" w:bidi="ar-SA"/>
        </w:rPr>
        <w:t>对于房屋占地面积不超过130平方米，附屋占地面积不超过50平方米的，参照合法房屋进行补偿。房屋超出部分按合法偏杂屋补偿，附屋超出部分按合法偏杂屋60%给予补偿。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color w:val="auto"/>
          <w:kern w:val="2"/>
          <w:sz w:val="32"/>
          <w:szCs w:val="32"/>
          <w:u w:val="none"/>
          <w:lang w:val="en-US" w:eastAsia="zh-CN" w:bidi="ar-SA"/>
        </w:rPr>
        <w:t>对房屋合法性认定有异议的，被征拆人应当在《</w:t>
      </w:r>
      <w:r>
        <w:rPr>
          <w:rFonts w:hint="eastAsia" w:ascii="仿宋_GB2312" w:hAnsi="仿宋" w:eastAsia="仿宋_GB2312" w:cs="Times New Roman"/>
          <w:b w:val="0"/>
          <w:bCs w:val="0"/>
          <w:snapToGrid/>
          <w:color w:val="auto"/>
          <w:kern w:val="2"/>
          <w:sz w:val="32"/>
          <w:szCs w:val="32"/>
          <w:u w:val="none"/>
          <w:lang w:val="en-US" w:eastAsia="zh-CN" w:bidi="ar-SA"/>
        </w:rPr>
        <w:t>征地补偿安置方案》公告</w:t>
      </w:r>
      <w:r>
        <w:rPr>
          <w:rFonts w:hint="eastAsia" w:ascii="仿宋_GB2312" w:hAnsi="仿宋" w:eastAsia="仿宋_GB2312" w:cs="Times New Roman"/>
          <w:snapToGrid/>
          <w:color w:val="auto"/>
          <w:kern w:val="2"/>
          <w:sz w:val="32"/>
          <w:szCs w:val="32"/>
          <w:u w:val="none"/>
          <w:lang w:val="en-US" w:eastAsia="zh-CN" w:bidi="ar-SA"/>
        </w:rPr>
        <w:t>公示之日起7个工作日内，</w:t>
      </w:r>
      <w:r>
        <w:rPr>
          <w:rFonts w:hint="eastAsia" w:ascii="仿宋_GB2312" w:hAnsi="仿宋" w:eastAsia="仿宋_GB2312" w:cs="Times New Roman"/>
          <w:b w:val="0"/>
          <w:bCs w:val="0"/>
          <w:snapToGrid/>
          <w:color w:val="auto"/>
          <w:kern w:val="2"/>
          <w:sz w:val="32"/>
          <w:szCs w:val="32"/>
          <w:u w:val="none"/>
          <w:lang w:val="en-US" w:eastAsia="zh-CN" w:bidi="ar-SA"/>
        </w:rPr>
        <w:t>向乡（镇）人民政府、街道办事处提交申请复核，由县征收事务中心会同自然资源局、不动产登记中心、住建局复核，复核结果报征地拆迁工作联席会议依法审查认定，审查认定结果形成会议纪要并附会议签到表。对审查结果予以公示确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第三十三条  </w:t>
      </w:r>
      <w:r>
        <w:rPr>
          <w:rFonts w:hint="eastAsia" w:ascii="仿宋_GB2312" w:hAnsi="仿宋" w:eastAsia="仿宋_GB2312" w:cs="Times New Roman"/>
          <w:b w:val="0"/>
          <w:bCs w:val="0"/>
          <w:snapToGrid/>
          <w:color w:val="auto"/>
          <w:kern w:val="2"/>
          <w:sz w:val="32"/>
          <w:szCs w:val="32"/>
          <w:lang w:val="en-US" w:eastAsia="zh-CN" w:bidi="ar-SA"/>
        </w:rPr>
        <w:t>征收范围内依法应予保护的古建筑、名贵树木、景点以及地下文物等资源设施，按照有关规定予以处理。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第三十四条</w:t>
      </w:r>
      <w:r>
        <w:rPr>
          <w:rFonts w:hint="eastAsia" w:ascii="仿宋_GB2312" w:hAnsi="仿宋" w:eastAsia="仿宋_GB2312" w:cs="Times New Roman"/>
          <w:b w:val="0"/>
          <w:bCs w:val="0"/>
          <w:snapToGrid/>
          <w:kern w:val="2"/>
          <w:sz w:val="32"/>
          <w:szCs w:val="32"/>
          <w:lang w:val="en-US" w:eastAsia="zh-CN" w:bidi="ar-SA"/>
        </w:rPr>
        <w:t xml:space="preserve">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kern w:val="2"/>
          <w:sz w:val="32"/>
          <w:szCs w:val="32"/>
          <w:lang w:val="en-US" w:eastAsia="zh-CN" w:bidi="ar-SA"/>
        </w:rPr>
        <w:t>被拆迁合法房屋按《住宅房屋结构、装饰装修要求及补偿标准》(附件5-1)和《偏杂屋结构、设施要求及补偿标准》(附件5-2)给予补偿。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第三十五条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kern w:val="2"/>
          <w:sz w:val="32"/>
          <w:szCs w:val="32"/>
          <w:lang w:val="en-US" w:eastAsia="zh-CN" w:bidi="ar-SA"/>
        </w:rPr>
        <w:t>被拆迁合法房屋的内外附属设施按合法建筑面积给予200元/平方米的包干补偿。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第三十六条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kern w:val="2"/>
          <w:sz w:val="32"/>
          <w:szCs w:val="32"/>
          <w:lang w:val="en-US" w:eastAsia="zh-CN" w:bidi="ar-SA"/>
        </w:rPr>
        <w:t>征收集体土地时未就被征收土地上的房屋及其他不动产进行安置补偿，补偿安置时房屋所在地已纳入城市规划区范围，被征拆人请求参照执行国有土地上房屋征收补偿标准的，可以采用评估方式确定补偿标准，但应当扣除已经取得的土地补偿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第三十七条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b w:val="0"/>
          <w:bCs w:val="0"/>
          <w:snapToGrid/>
          <w:kern w:val="2"/>
          <w:sz w:val="32"/>
          <w:szCs w:val="32"/>
          <w:lang w:val="en-US" w:eastAsia="zh-CN" w:bidi="ar-SA"/>
        </w:rPr>
        <w:t>在征收土地预公告发布前依法办理了集体建设用地手续、市场主体登记、纳税主体登记的企业(含预制场、砖厂、砂石场、停车场、货场、洗车场等),原办理集体建设用地手续向行政事业单位缴纳的税、费凭合法票据据实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被拆迁合法生产用房和非生产用房按《住宅房屋结构、装饰装修要求及补偿标准》(附件5-1)同等结构住宅房屋主体征收补偿标准给予补偿，补偿后不再另行进行安置。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企业设备设施搬迁后不丧失使用价值的，按评估评审结果补偿拆卸、搬运、安装费用；搬迁后丧失使用价值的，按评估评审净值给予补偿。补偿后不再另行进行安置。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因征收造成企业停产、停业的，根据企业上年度缴纳所得税确定的企业净利润数额，补偿一年的停产、停业损失。在征收土地预公告发布前已停产、停业的，不再补偿停产、停业损失。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第三十八条</w:t>
      </w:r>
      <w:r>
        <w:rPr>
          <w:rFonts w:hint="eastAsia" w:ascii="仿宋_GB2312" w:hAnsi="仿宋" w:eastAsia="仿宋_GB2312" w:cs="Times New Roman"/>
          <w:b w:val="0"/>
          <w:bCs w:val="0"/>
          <w:snapToGrid/>
          <w:kern w:val="2"/>
          <w:sz w:val="32"/>
          <w:szCs w:val="32"/>
          <w:lang w:val="en-US" w:eastAsia="zh-CN" w:bidi="ar-SA"/>
        </w:rPr>
        <w:t xml:space="preserve">  村(居)民将合法住宅改为生产、营业性用房，在征收土地预公告发布前依法办理了市场主体登记且正常经营的，按《住宅房屋结构、装饰装修要求及补偿标准》(附件5-1)给予补偿，其用于生产、经营的设备设施及停产、停业损失参照本办法第三十七条进行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第三十九条</w:t>
      </w:r>
      <w:r>
        <w:rPr>
          <w:rFonts w:hint="eastAsia" w:ascii="仿宋_GB2312" w:hAnsi="仿宋" w:eastAsia="仿宋_GB2312" w:cs="Times New Roman"/>
          <w:b w:val="0"/>
          <w:bCs w:val="0"/>
          <w:snapToGrid/>
          <w:kern w:val="2"/>
          <w:sz w:val="32"/>
          <w:szCs w:val="32"/>
          <w:lang w:val="en-US" w:eastAsia="zh-CN" w:bidi="ar-SA"/>
        </w:rPr>
        <w:t xml:space="preserve">  在征收土地预公告发布前依法办理了设施农用地备案手续的养殖用房，其养殖管理用房参照《住宅房屋结构、装饰装修要求及补偿标准》(附件5-1)同等结构住宅房屋主体征收补偿标准给予补偿；养殖畜禽舍参照《偏杂屋结构、设施要求及补偿标准》(附件5-2)对应等级给予补偿。同时，按照养殖用房合法建筑面积给予不超过200元/平方米的搬迁补偿(含转移费、停产损失和设施补偿等),补偿后不再另行安置，不享受搬家费、过渡费和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其他从事农业的合法生产性用房，参照《偏杂屋结构、设施要求及补偿标准》(附件5-2)对应等级给予补偿。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第四十条</w:t>
      </w:r>
      <w:r>
        <w:rPr>
          <w:rFonts w:hint="eastAsia" w:ascii="仿宋_GB2312" w:hAnsi="仿宋" w:eastAsia="仿宋_GB2312" w:cs="Times New Roman"/>
          <w:b w:val="0"/>
          <w:bCs w:val="0"/>
          <w:snapToGrid/>
          <w:kern w:val="2"/>
          <w:sz w:val="32"/>
          <w:szCs w:val="32"/>
          <w:lang w:val="en-US" w:eastAsia="zh-CN" w:bidi="ar-SA"/>
        </w:rPr>
        <w:t xml:space="preserve"> </w:t>
      </w:r>
      <w:r>
        <w:rPr>
          <w:rFonts w:hint="eastAsia" w:ascii="仿宋_GB2312" w:hAnsi="仿宋" w:eastAsia="仿宋_GB2312" w:cs="Times New Roman"/>
          <w:b w:val="0"/>
          <w:bCs w:val="0"/>
          <w:snapToGrid/>
          <w:color w:val="auto"/>
          <w:kern w:val="2"/>
          <w:sz w:val="32"/>
          <w:szCs w:val="32"/>
          <w:lang w:val="en-US" w:eastAsia="zh-CN" w:bidi="ar-SA"/>
        </w:rPr>
        <w:t xml:space="preserve"> 学校、医院、寺庙、教堂等公益事业用房，按《住宅房屋结构、装饰装修要求及补偿标准》(附件5-1)同等结构住宅房屋主体征收补偿标准给予补偿，补偿后不再另行安置。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第四十一条</w:t>
      </w:r>
      <w:r>
        <w:rPr>
          <w:rFonts w:hint="eastAsia" w:ascii="仿宋_GB2312" w:hAnsi="仿宋" w:eastAsia="仿宋_GB2312" w:cs="Times New Roman"/>
          <w:b w:val="0"/>
          <w:bCs w:val="0"/>
          <w:snapToGrid/>
          <w:kern w:val="2"/>
          <w:sz w:val="32"/>
          <w:szCs w:val="32"/>
          <w:lang w:val="en-US" w:eastAsia="zh-CN" w:bidi="ar-SA"/>
        </w:rPr>
        <w:t xml:space="preserve">  电力、通信、广播电视、给排水、燃气等设施，按评估评审结果给予补偿(法律法规另有规定的从其规定)。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第四十二条</w:t>
      </w:r>
      <w:r>
        <w:rPr>
          <w:rFonts w:hint="eastAsia" w:ascii="仿宋_GB2312" w:hAnsi="仿宋" w:eastAsia="仿宋_GB2312" w:cs="Times New Roman"/>
          <w:b w:val="0"/>
          <w:bCs w:val="0"/>
          <w:snapToGrid/>
          <w:kern w:val="2"/>
          <w:sz w:val="32"/>
          <w:szCs w:val="32"/>
          <w:lang w:val="en-US" w:eastAsia="zh-CN" w:bidi="ar-SA"/>
        </w:rPr>
        <w:t xml:space="preserve">  有下列情形之一的，不予补偿：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(一)超过批准使用期限的临时建(构)筑物、有关批准文书中注明因国家建设需要应无条件拆除的临时建(构)筑物；</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(二)农业生产用房、临时建(构)筑物的装饰装修；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(三)拆旧建新房屋的批准文书中明确要求按政策规定应当自行拆除而未拆除的旧房、危房及相关附属设施；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(四)已废弃的生产、生活设施；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 xml:space="preserve">(五)被依法认定为违法违规的建(构)筑物及附属设施。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第四十三条</w:t>
      </w:r>
      <w:r>
        <w:rPr>
          <w:rFonts w:hint="eastAsia" w:ascii="仿宋_GB2312" w:hAnsi="仿宋" w:eastAsia="仿宋_GB2312" w:cs="Times New Roman"/>
          <w:b w:val="0"/>
          <w:bCs w:val="0"/>
          <w:snapToGrid/>
          <w:kern w:val="2"/>
          <w:sz w:val="32"/>
          <w:szCs w:val="32"/>
          <w:lang w:val="en-US" w:eastAsia="zh-CN" w:bidi="ar-SA"/>
        </w:rPr>
        <w:t xml:space="preserve"> 被征拆人的搬家费和过渡费按《搬家、过渡费补偿标准》(附件6)给予补偿。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第四十四条 </w:t>
      </w:r>
      <w:r>
        <w:rPr>
          <w:rFonts w:hint="eastAsia" w:ascii="仿宋_GB2312" w:hAnsi="仿宋" w:eastAsia="仿宋_GB2312" w:cs="Times New Roman"/>
          <w:b w:val="0"/>
          <w:bCs w:val="0"/>
          <w:snapToGrid/>
          <w:kern w:val="2"/>
          <w:sz w:val="32"/>
          <w:szCs w:val="32"/>
          <w:lang w:val="en-US" w:eastAsia="zh-CN" w:bidi="ar-SA"/>
        </w:rPr>
        <w:t xml:space="preserve"> 被征拆人在规定期限内签订补偿安置协议并搬家腾地的，按被拆迁房屋(临时建筑、偏杂屋以及适用本办法第四十二条补偿的房屋除外)合法建筑面积给予400元/平方米的签约腾地奖励。逾期未签协议或者未搬家腾地的，不予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第四十五条</w:t>
      </w:r>
      <w:r>
        <w:rPr>
          <w:rFonts w:hint="eastAsia" w:ascii="仿宋_GB2312" w:hAnsi="仿宋" w:eastAsia="仿宋_GB2312" w:cs="Times New Roman"/>
          <w:b w:val="0"/>
          <w:bCs w:val="0"/>
          <w:snapToGrid/>
          <w:kern w:val="2"/>
          <w:sz w:val="32"/>
          <w:szCs w:val="32"/>
          <w:lang w:val="en-US" w:eastAsia="zh-CN" w:bidi="ar-SA"/>
        </w:rPr>
        <w:t xml:space="preserve">  不可预见费按征拆资金概算总额(不含自购商品房补助、评估补偿费用)的5%计提，主要用于征地拆迁的司法强制执行、行政复议、行政诉讼、信访维稳、突发事件处理、困难救济、历史遗留问题处理及隐蔽、遗漏实物补偿等开支。</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第四十六条 </w:t>
      </w:r>
      <w:r>
        <w:rPr>
          <w:rFonts w:hint="eastAsia" w:ascii="仿宋_GB2312" w:hAnsi="仿宋" w:eastAsia="仿宋_GB2312" w:cs="Times New Roman"/>
          <w:b w:val="0"/>
          <w:bCs w:val="0"/>
          <w:snapToGrid/>
          <w:kern w:val="2"/>
          <w:sz w:val="32"/>
          <w:szCs w:val="32"/>
          <w:lang w:val="en-US" w:eastAsia="zh-CN" w:bidi="ar-SA"/>
        </w:rPr>
        <w:t xml:space="preserve"> 征拆工作经费和村(居)委会工作人员误工补助，依法依规按《征拆工作费用计提标准》(附件7)执行。</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 xml:space="preserve">第四十七条 </w:t>
      </w:r>
      <w:r>
        <w:rPr>
          <w:rFonts w:hint="eastAsia" w:ascii="仿宋_GB2312" w:hAnsi="仿宋" w:eastAsia="仿宋_GB2312" w:cs="Times New Roman"/>
          <w:b w:val="0"/>
          <w:bCs w:val="0"/>
          <w:snapToGrid/>
          <w:kern w:val="2"/>
          <w:sz w:val="32"/>
          <w:szCs w:val="32"/>
          <w:lang w:val="en-US" w:eastAsia="zh-CN" w:bidi="ar-SA"/>
        </w:rPr>
        <w:t xml:space="preserve"> 采用评估方式确定补偿标准的，应当依法委托具备相应评估资质的中介机构进行评估。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自然资源、住建、财政部门应加强对评估机构征收评估活动的监督管理。</w:t>
      </w:r>
      <w:r>
        <w:rPr>
          <w:rFonts w:hint="eastAsia" w:ascii="仿宋_GB2312" w:hAnsi="仿宋" w:eastAsia="仿宋_GB2312" w:cs="Times New Roman"/>
          <w:b w:val="0"/>
          <w:bCs w:val="0"/>
          <w:snapToGrid/>
          <w:color w:val="auto"/>
          <w:kern w:val="2"/>
          <w:sz w:val="32"/>
          <w:szCs w:val="32"/>
          <w:u w:val="none"/>
          <w:lang w:val="en-US" w:eastAsia="zh-CN" w:bidi="ar-SA"/>
        </w:rPr>
        <w:t>县征收事务中心</w:t>
      </w:r>
      <w:r>
        <w:rPr>
          <w:rFonts w:hint="eastAsia" w:ascii="仿宋_GB2312" w:hAnsi="仿宋" w:eastAsia="仿宋_GB2312" w:cs="Times New Roman"/>
          <w:b w:val="0"/>
          <w:bCs w:val="0"/>
          <w:snapToGrid/>
          <w:kern w:val="2"/>
          <w:sz w:val="32"/>
          <w:szCs w:val="32"/>
          <w:lang w:val="en-US" w:eastAsia="zh-CN" w:bidi="ar-SA"/>
        </w:rPr>
        <w:t>应当在收到评估报告之日起15日内将评估报告报有关评估行政管理部门进行评审，其中土地评估报告报自然资源部门评审，房产评估报告报住建部门评审，设施、机械设备等评估报告报财政部门评审。</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val="0"/>
          <w:bCs w:val="0"/>
          <w:snapToGrid/>
          <w:kern w:val="2"/>
          <w:sz w:val="32"/>
          <w:szCs w:val="32"/>
          <w:lang w:val="en-US" w:eastAsia="zh-CN" w:bidi="ar-SA"/>
        </w:rPr>
        <w:t>未经评审的评估报告，</w:t>
      </w:r>
      <w:r>
        <w:rPr>
          <w:rFonts w:hint="eastAsia" w:ascii="仿宋_GB2312" w:hAnsi="仿宋" w:eastAsia="仿宋_GB2312" w:cs="Times New Roman"/>
          <w:b w:val="0"/>
          <w:bCs w:val="0"/>
          <w:snapToGrid/>
          <w:color w:val="auto"/>
          <w:kern w:val="2"/>
          <w:sz w:val="32"/>
          <w:szCs w:val="32"/>
          <w:u w:val="none"/>
          <w:lang w:val="en-US" w:eastAsia="zh-CN" w:bidi="ar-SA"/>
        </w:rPr>
        <w:t>县征收事务中心</w:t>
      </w:r>
      <w:r>
        <w:rPr>
          <w:rFonts w:hint="eastAsia" w:ascii="仿宋_GB2312" w:hAnsi="仿宋" w:eastAsia="仿宋_GB2312" w:cs="Times New Roman"/>
          <w:b w:val="0"/>
          <w:bCs w:val="0"/>
          <w:snapToGrid/>
          <w:kern w:val="2"/>
          <w:sz w:val="32"/>
          <w:szCs w:val="32"/>
          <w:lang w:val="en-US" w:eastAsia="zh-CN" w:bidi="ar-SA"/>
        </w:rPr>
        <w:t>和有关部门不得将其作为实施补偿的依据。</w:t>
      </w:r>
    </w:p>
    <w:p>
      <w:pPr>
        <w:keepNext w:val="0"/>
        <w:keepLines w:val="0"/>
        <w:pageBreakBefore w:val="0"/>
        <w:wordWrap/>
        <w:overflowPunct/>
        <w:topLinePunct w:val="0"/>
        <w:bidi w:val="0"/>
        <w:adjustRightInd w:val="0"/>
        <w:snapToGrid w:val="0"/>
        <w:spacing w:line="640" w:lineRule="exact"/>
        <w:ind w:right="0"/>
        <w:jc w:val="center"/>
        <w:rPr>
          <w:rFonts w:ascii="黑体" w:hAnsi="黑体" w:eastAsia="黑体" w:cs="黑体"/>
          <w:b/>
          <w:bCs/>
          <w:spacing w:val="-15"/>
          <w:sz w:val="32"/>
          <w:szCs w:val="32"/>
        </w:rPr>
      </w:pPr>
    </w:p>
    <w:p>
      <w:pPr>
        <w:keepNext w:val="0"/>
        <w:keepLines w:val="0"/>
        <w:pageBreakBefore w:val="0"/>
        <w:wordWrap/>
        <w:overflowPunct/>
        <w:topLinePunct w:val="0"/>
        <w:bidi w:val="0"/>
        <w:adjustRightInd w:val="0"/>
        <w:snapToGrid w:val="0"/>
        <w:spacing w:line="640" w:lineRule="exact"/>
        <w:ind w:right="0"/>
        <w:jc w:val="center"/>
        <w:rPr>
          <w:rFonts w:ascii="Arial"/>
          <w:sz w:val="21"/>
        </w:rPr>
      </w:pPr>
      <w:r>
        <w:rPr>
          <w:rFonts w:ascii="黑体" w:hAnsi="黑体" w:eastAsia="黑体" w:cs="黑体"/>
          <w:b/>
          <w:bCs/>
          <w:spacing w:val="-15"/>
          <w:sz w:val="32"/>
          <w:szCs w:val="32"/>
        </w:rPr>
        <w:t>第五章</w:t>
      </w:r>
      <w:r>
        <w:rPr>
          <w:rFonts w:ascii="黑体" w:hAnsi="黑体" w:eastAsia="黑体" w:cs="黑体"/>
          <w:spacing w:val="162"/>
          <w:sz w:val="32"/>
          <w:szCs w:val="32"/>
        </w:rPr>
        <w:t xml:space="preserve"> </w:t>
      </w:r>
      <w:r>
        <w:rPr>
          <w:rFonts w:ascii="黑体" w:hAnsi="黑体" w:eastAsia="黑体" w:cs="黑体"/>
          <w:b/>
          <w:bCs/>
          <w:spacing w:val="-15"/>
          <w:sz w:val="32"/>
          <w:szCs w:val="32"/>
        </w:rPr>
        <w:t>征收安置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第四十八条</w:t>
      </w:r>
      <w:r>
        <w:rPr>
          <w:rFonts w:hint="eastAsia" w:ascii="仿宋_GB2312" w:hAnsi="仿宋" w:eastAsia="仿宋_GB2312" w:cs="Times New Roman"/>
          <w:snapToGrid/>
          <w:kern w:val="2"/>
          <w:sz w:val="32"/>
          <w:szCs w:val="32"/>
          <w:lang w:val="en-US" w:eastAsia="zh-CN" w:bidi="ar-SA"/>
        </w:rPr>
        <w:t>　</w:t>
      </w:r>
      <w:r>
        <w:rPr>
          <w:rFonts w:hint="eastAsia" w:ascii="仿宋_GB2312" w:hAnsi="仿宋" w:eastAsia="仿宋_GB2312" w:cs="Times New Roman"/>
          <w:b w:val="0"/>
          <w:bCs w:val="0"/>
          <w:snapToGrid/>
          <w:kern w:val="2"/>
          <w:sz w:val="32"/>
          <w:szCs w:val="32"/>
          <w:lang w:val="en-US" w:eastAsia="zh-CN" w:bidi="ar-SA"/>
        </w:rPr>
        <w:t>县人民政府应当按照属地管理、应保尽保、先保后征、逐步提高的原则，及时将被征地农民纳入基本养老保险，筹集被征地农民社会保障资金，并按照规定列支。</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楷体_GB2312" w:hAnsi="黑体" w:eastAsia="楷体_GB2312" w:cs="Times New Roman"/>
          <w:b w:val="0"/>
          <w:bCs w:val="0"/>
          <w:snapToGrid/>
          <w:color w:val="C00000"/>
          <w:kern w:val="2"/>
          <w:sz w:val="32"/>
          <w:szCs w:val="32"/>
          <w:u w:val="none"/>
          <w:lang w:val="en-US" w:eastAsia="zh-CN" w:bidi="ar-SA"/>
        </w:rPr>
      </w:pPr>
      <w:r>
        <w:rPr>
          <w:rFonts w:hint="eastAsia" w:ascii="仿宋_GB2312" w:hAnsi="仿宋" w:eastAsia="仿宋_GB2312" w:cs="Times New Roman"/>
          <w:b w:val="0"/>
          <w:bCs w:val="0"/>
          <w:snapToGrid/>
          <w:kern w:val="2"/>
          <w:sz w:val="32"/>
          <w:szCs w:val="32"/>
          <w:lang w:val="en-US" w:eastAsia="zh-CN" w:bidi="ar-SA"/>
        </w:rPr>
        <w:t>被征地农民参加社会保险按照平江县被征地农民社会保障相关规定办理。</w:t>
      </w:r>
      <w:r>
        <w:rPr>
          <w:rFonts w:hint="eastAsia" w:ascii="仿宋_GB2312" w:hAnsi="仿宋" w:eastAsia="仿宋_GB2312" w:cs="Times New Roman"/>
          <w:b/>
          <w:bCs/>
          <w:snapToGrid/>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第四十九条</w:t>
      </w:r>
      <w:r>
        <w:rPr>
          <w:rFonts w:hint="eastAsia" w:ascii="仿宋_GB2312" w:hAnsi="仿宋" w:eastAsia="仿宋_GB2312" w:cs="Times New Roman"/>
          <w:snapToGrid/>
          <w:kern w:val="2"/>
          <w:sz w:val="32"/>
          <w:szCs w:val="32"/>
          <w:lang w:val="en-US" w:eastAsia="zh-CN" w:bidi="ar-SA"/>
        </w:rPr>
        <w:t>　被征地农民社会保障资金的收缴：</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（一）用地单位缴纳。县自然资源部门负责督促用地单位在用地手续报批前，</w:t>
      </w:r>
      <w:r>
        <w:rPr>
          <w:rFonts w:hint="eastAsia" w:ascii="仿宋_GB2312" w:hAnsi="仿宋" w:eastAsia="仿宋_GB2312" w:cs="Times New Roman"/>
          <w:snapToGrid/>
          <w:color w:val="auto"/>
          <w:kern w:val="2"/>
          <w:sz w:val="32"/>
          <w:szCs w:val="32"/>
          <w:lang w:val="en-US" w:eastAsia="zh-CN" w:bidi="ar-SA"/>
        </w:rPr>
        <w:t>参照相关政策文件应保尽保原则，及时</w:t>
      </w:r>
      <w:r>
        <w:rPr>
          <w:rFonts w:hint="eastAsia" w:ascii="仿宋_GB2312" w:hAnsi="仿宋" w:eastAsia="仿宋_GB2312" w:cs="Times New Roman"/>
          <w:snapToGrid/>
          <w:kern w:val="2"/>
          <w:sz w:val="32"/>
          <w:szCs w:val="32"/>
          <w:lang w:val="en-US" w:eastAsia="zh-CN" w:bidi="ar-SA"/>
        </w:rPr>
        <w:t>将被征地农民社会保障费一次性足额缴入被征地农民社会保障资金财政专户，县人社部门负责审核资金落实情况。</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二）集体补助。在《征收土地公告》批准之日起3个月内，有关单位应当将10%的征地补偿费直接划入被征地农民社会保障资金财政专户；同时将征地补偿费发放名册提交县人社部门，作为被征地农民社会保障对象的确定依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楷体_GB2312" w:hAnsi="黑体" w:eastAsia="楷体_GB2312" w:cs="Times New Roman"/>
          <w:b/>
          <w:bCs/>
          <w:snapToGrid/>
          <w:color w:val="auto"/>
          <w:kern w:val="2"/>
          <w:sz w:val="32"/>
          <w:szCs w:val="32"/>
          <w:lang w:val="en-US" w:eastAsia="zh-CN" w:bidi="ar-SA"/>
        </w:rPr>
        <w:t xml:space="preserve">第五十条  </w:t>
      </w:r>
      <w:r>
        <w:rPr>
          <w:rFonts w:hint="eastAsia" w:ascii="仿宋_GB2312" w:hAnsi="仿宋" w:eastAsia="仿宋_GB2312" w:cs="Times New Roman"/>
          <w:b w:val="0"/>
          <w:bCs w:val="0"/>
          <w:snapToGrid/>
          <w:color w:val="auto"/>
          <w:kern w:val="2"/>
          <w:sz w:val="32"/>
          <w:szCs w:val="32"/>
          <w:lang w:val="en-US" w:eastAsia="zh-CN" w:bidi="ar-SA"/>
        </w:rPr>
        <w:t>农村住宅（国土空间规划划定县城开发边界之外）拆迁采用重新安排宅基地建房、提供安置房、货币补偿等安置方式。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国土空间规划划定县城开发边界之内（县中心城区）的房屋拆迁，原则上采用提供安置房、货币补偿、房票安置方式。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同一被征拆家庭只能选择其中一种安置方式。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第五十一条　货币安置。</w:t>
      </w:r>
      <w:r>
        <w:rPr>
          <w:rFonts w:hint="eastAsia" w:ascii="仿宋_GB2312" w:hAnsi="仿宋" w:eastAsia="仿宋_GB2312" w:cs="Times New Roman"/>
          <w:b w:val="0"/>
          <w:bCs w:val="0"/>
          <w:snapToGrid/>
          <w:kern w:val="2"/>
          <w:sz w:val="32"/>
          <w:szCs w:val="32"/>
          <w:lang w:val="en-US" w:eastAsia="zh-CN" w:bidi="ar-SA"/>
        </w:rPr>
        <w:t>货币安置是对被征拆人的合法住宅房屋进行补偿后，政府给予自购商品房补助和奖励，由被征拆人自行购买商品房的安置方式。</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（一）国土空间规划划定县城开发边界之内（县中心城区）的货币安置。选择货币安置的被征拆人在其合法住宅房屋进行补偿后按符合安置条件的家庭人口进行补助，补助标准为：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1.被征拆人签订房屋货币补偿协议时，1人家庭按符合安置政策条件的补助35万元的安置补助费，2人家庭按符合安置政策的人口每人补助22.5万元的安置补助费，3人家庭按符合安置政策的人口每人补助20万元的安置补助费，4人及以上家庭按符合安置政策的人口每人补助17.5万元的安置补助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2.被征拆人签订房屋货币补偿协议时，向县征收事务中心提交本户非集体土地居住房屋产权证明（含不动产证，社区、村、乡镇、街道证明），经县征收事务中心审核认定通过后每人补助5万元购房奖励。如其在签订协议一年内在本县中心城区购买一手商品房的，向县征收事务中心提交购房发票和已网签备案的商品房买卖合同，经县征收事务中心审核认定通过后每人再给予5万元购房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3.被征拆人签订房屋货币补偿协议时无非集体土地房屋产权的，在协议签订后一年内在本县中心城区购买一手商品房的，向县征收事务中心提交本户购买商品房发票和已网签备案的商品房买卖合同，经县征收事务中心审核认定通过后每人补助8万元购房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（二）</w:t>
      </w:r>
      <w:r>
        <w:rPr>
          <w:rFonts w:hint="eastAsia" w:ascii="仿宋_GB2312" w:hAnsi="仿宋" w:eastAsia="仿宋_GB2312" w:cs="Times New Roman"/>
          <w:b w:val="0"/>
          <w:bCs w:val="0"/>
          <w:snapToGrid/>
          <w:color w:val="auto"/>
          <w:kern w:val="2"/>
          <w:sz w:val="32"/>
          <w:szCs w:val="32"/>
          <w:u w:val="none"/>
          <w:lang w:val="en-US" w:eastAsia="zh-CN" w:bidi="ar-SA"/>
        </w:rPr>
        <w:t>国土空间规划划定县城开发边界之外的</w:t>
      </w:r>
      <w:r>
        <w:rPr>
          <w:rFonts w:hint="eastAsia" w:ascii="仿宋_GB2312" w:hAnsi="仿宋" w:eastAsia="仿宋_GB2312" w:cs="Times New Roman"/>
          <w:b w:val="0"/>
          <w:bCs w:val="0"/>
          <w:snapToGrid/>
          <w:color w:val="auto"/>
          <w:kern w:val="2"/>
          <w:sz w:val="32"/>
          <w:szCs w:val="32"/>
          <w:lang w:val="en-US" w:eastAsia="zh-CN" w:bidi="ar-SA"/>
        </w:rPr>
        <w:t>货币安置。</w:t>
      </w:r>
      <w:r>
        <w:rPr>
          <w:rFonts w:hint="eastAsia" w:ascii="仿宋_GB2312" w:hAnsi="仿宋" w:eastAsia="仿宋_GB2312" w:cs="Times New Roman"/>
          <w:b w:val="0"/>
          <w:bCs w:val="0"/>
          <w:snapToGrid/>
          <w:color w:val="auto"/>
          <w:kern w:val="2"/>
          <w:sz w:val="32"/>
          <w:szCs w:val="32"/>
          <w:u w:val="none"/>
          <w:lang w:val="en-US" w:eastAsia="zh-CN" w:bidi="ar-SA"/>
        </w:rPr>
        <w:t>选择货币安置的被征拆人在其合法住宅房屋进行补偿后按符合安置条件的家庭人口进行补助，补助标准为：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1.被征拆人签订房屋货币补偿协议时，1人家庭按符合安置政策条件的补助10万元的安置补助费，2人家庭按符合安置政策的人口每人补助6万元的安置补助费，3人家庭按符合安置政策的人口每人补助5万元的安置补助费，4人及以上按符合安置政策的人口每人补助4.5万元安置补助费；</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2.被征拆人签订房屋货币补偿协议后一年内在本县中心城区购买一手商品房的，向县征收事务中心提交购房发票和已网签备案的商品房买卖合同，经县征收事务中心审核认定通过后，1人家庭再给予6万元奖励，2人家庭每人再给予3万元奖励，3人家庭每人再给予2万元奖励，4人及以上家庭每人再给予1.5万元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bCs/>
          <w:snapToGrid/>
          <w:color w:val="auto"/>
          <w:kern w:val="2"/>
          <w:sz w:val="32"/>
          <w:szCs w:val="32"/>
          <w:u w:val="none"/>
          <w:lang w:val="en-US" w:eastAsia="zh-CN" w:bidi="ar-SA"/>
        </w:rPr>
        <w:t>（</w:t>
      </w:r>
      <w:r>
        <w:rPr>
          <w:rFonts w:hint="eastAsia" w:ascii="仿宋_GB2312" w:hAnsi="仿宋" w:eastAsia="仿宋_GB2312" w:cs="Times New Roman"/>
          <w:b w:val="0"/>
          <w:bCs w:val="0"/>
          <w:snapToGrid/>
          <w:color w:val="auto"/>
          <w:kern w:val="2"/>
          <w:sz w:val="32"/>
          <w:szCs w:val="32"/>
          <w:u w:val="none"/>
          <w:lang w:val="en-US" w:eastAsia="zh-CN" w:bidi="ar-SA"/>
        </w:rPr>
        <w:t>三）选择货币安置的被征拆人，应主动承诺不得再使用集体土地宅基地建房，并在征拆协议中予以明确。但仍</w:t>
      </w:r>
      <w:r>
        <w:rPr>
          <w:rFonts w:hint="eastAsia" w:ascii="仿宋_GB2312" w:hAnsi="仿宋" w:eastAsia="仿宋_GB2312" w:cs="Times New Roman"/>
          <w:b w:val="0"/>
          <w:bCs w:val="0"/>
          <w:snapToGrid/>
          <w:color w:val="auto"/>
          <w:kern w:val="2"/>
          <w:sz w:val="32"/>
          <w:szCs w:val="32"/>
          <w:lang w:val="en-US" w:eastAsia="zh-CN" w:bidi="ar-SA"/>
        </w:rPr>
        <w:t>享有农村集体经济组织村民所享有的其他同等权利。</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（四）实行评估补偿的住宅房屋，</w:t>
      </w:r>
      <w:r>
        <w:rPr>
          <w:rFonts w:hint="eastAsia" w:ascii="仿宋_GB2312" w:hAnsi="仿宋" w:eastAsia="仿宋_GB2312" w:cs="Times New Roman"/>
          <w:b w:val="0"/>
          <w:bCs w:val="0"/>
          <w:snapToGrid/>
          <w:color w:val="auto"/>
          <w:kern w:val="2"/>
          <w:sz w:val="32"/>
          <w:szCs w:val="32"/>
          <w:u w:val="none"/>
          <w:lang w:val="en-US" w:eastAsia="zh-CN" w:bidi="ar-SA"/>
        </w:rPr>
        <w:t>不享受货币安置相关补助和奖励。</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b/>
          <w:bCs/>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第五十二条  安置房安置。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（一）安置房安置是对被征拆人的合法住宅房屋进行补偿后，政府给予住房安置。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C00000"/>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（二）选择安置房安置的被征拆人，</w:t>
      </w:r>
      <w:r>
        <w:rPr>
          <w:rFonts w:hint="eastAsia" w:ascii="仿宋_GB2312" w:hAnsi="仿宋" w:eastAsia="仿宋_GB2312" w:cs="Times New Roman"/>
          <w:b w:val="0"/>
          <w:bCs w:val="0"/>
          <w:snapToGrid/>
          <w:color w:val="auto"/>
          <w:kern w:val="2"/>
          <w:sz w:val="32"/>
          <w:szCs w:val="32"/>
          <w:u w:val="none"/>
          <w:lang w:val="en-US" w:eastAsia="zh-CN" w:bidi="ar-SA"/>
        </w:rPr>
        <w:t>按符合安置条件的家庭人口人均安置住房建筑面积标准为：1人家庭人均55平方米，2人家庭人均50平方米，3人家庭人均45平方米，4人及以上家庭人均40平方米。</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lang w:val="en-US" w:eastAsia="zh-CN" w:bidi="ar-SA"/>
        </w:rPr>
        <w:t>（三）选择安置房安置的家庭实际安置面积高于或低于应安置面积的</w:t>
      </w:r>
      <w:r>
        <w:rPr>
          <w:rFonts w:hint="eastAsia" w:ascii="仿宋_GB2312" w:hAnsi="仿宋" w:eastAsia="仿宋_GB2312" w:cs="Times New Roman"/>
          <w:b w:val="0"/>
          <w:bCs w:val="0"/>
          <w:snapToGrid/>
          <w:color w:val="auto"/>
          <w:kern w:val="2"/>
          <w:sz w:val="32"/>
          <w:szCs w:val="32"/>
          <w:u w:val="none"/>
          <w:lang w:val="en-US" w:eastAsia="zh-CN" w:bidi="ar-SA"/>
        </w:rPr>
        <w:t>，</w:t>
      </w:r>
      <w:r>
        <w:rPr>
          <w:rFonts w:hint="eastAsia" w:ascii="仿宋_GB2312" w:hAnsi="仿宋" w:eastAsia="仿宋_GB2312" w:cs="Times New Roman"/>
          <w:b w:val="0"/>
          <w:bCs w:val="0"/>
          <w:snapToGrid/>
          <w:color w:val="auto"/>
          <w:kern w:val="2"/>
          <w:sz w:val="32"/>
          <w:szCs w:val="32"/>
          <w:lang w:val="en-US" w:eastAsia="zh-CN" w:bidi="ar-SA"/>
        </w:rPr>
        <w:t xml:space="preserve">按约定交房时安置房市场均价计算相互找补差价。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（四）选择安置房安置的被征拆人，应主动承诺不得再使用集体土地建设住宅，并在安置协议中予以明确。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（五）实行评估补偿的住宅房屋，不享安置房安置的相关政策。</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u w:val="none"/>
          <w:lang w:val="en-US" w:eastAsia="zh-CN" w:bidi="ar-SA"/>
        </w:rPr>
      </w:pPr>
      <w:r>
        <w:rPr>
          <w:rFonts w:hint="eastAsia" w:ascii="仿宋_GB2312" w:hAnsi="仿宋" w:eastAsia="仿宋_GB2312" w:cs="Times New Roman"/>
          <w:b/>
          <w:bCs/>
          <w:snapToGrid/>
          <w:kern w:val="2"/>
          <w:sz w:val="32"/>
          <w:szCs w:val="32"/>
          <w:u w:val="none"/>
          <w:lang w:val="en-US" w:eastAsia="zh-CN" w:bidi="ar-SA"/>
        </w:rPr>
        <w:t>第五十三条 宅基地安置。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（一）宅基地安置是对被征拆人的合法住宅房屋进行补偿后，由符合条件的被征拆人在依法批准的集体土地宅基地上进行重建的安置方式。</w:t>
      </w:r>
      <w:r>
        <w:rPr>
          <w:rFonts w:hint="eastAsia" w:ascii="仿宋_GB2312" w:hAnsi="仿宋" w:eastAsia="仿宋_GB2312" w:cs="Times New Roman"/>
          <w:b w:val="0"/>
          <w:bCs w:val="0"/>
          <w:snapToGrid/>
          <w:color w:val="auto"/>
          <w:kern w:val="2"/>
          <w:sz w:val="32"/>
          <w:szCs w:val="32"/>
          <w:u w:val="none"/>
          <w:lang w:val="en-US" w:eastAsia="zh-CN" w:bidi="ar-SA"/>
        </w:rPr>
        <w:t>国土空间规划划定县城开发边界之外的可实行集体土地</w:t>
      </w:r>
      <w:r>
        <w:rPr>
          <w:rFonts w:hint="eastAsia" w:ascii="仿宋_GB2312" w:hAnsi="仿宋" w:eastAsia="仿宋_GB2312" w:cs="Times New Roman"/>
          <w:b w:val="0"/>
          <w:bCs w:val="0"/>
          <w:snapToGrid/>
          <w:color w:val="auto"/>
          <w:kern w:val="2"/>
          <w:sz w:val="32"/>
          <w:szCs w:val="32"/>
          <w:lang w:val="en-US" w:eastAsia="zh-CN" w:bidi="ar-SA"/>
        </w:rPr>
        <w:t>宅基地安</w:t>
      </w:r>
      <w:r>
        <w:rPr>
          <w:rFonts w:hint="eastAsia" w:ascii="仿宋_GB2312" w:hAnsi="仿宋" w:eastAsia="仿宋_GB2312" w:cs="Times New Roman"/>
          <w:b w:val="0"/>
          <w:bCs w:val="0"/>
          <w:snapToGrid/>
          <w:kern w:val="2"/>
          <w:sz w:val="32"/>
          <w:szCs w:val="32"/>
          <w:lang w:val="en-US" w:eastAsia="zh-CN" w:bidi="ar-SA"/>
        </w:rPr>
        <w:t>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（二）宅基地的分配，严格执行“村民一户只能拥有一处宅基地”的规定。拆除一户一栋或一户多栋房屋均只予安置一处宅基地。</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color w:val="auto"/>
          <w:kern w:val="2"/>
          <w:sz w:val="32"/>
          <w:szCs w:val="32"/>
          <w:lang w:val="en-US" w:eastAsia="zh-CN" w:bidi="ar-SA"/>
        </w:rPr>
        <w:t>（三）安置区土地征收、用地报批、三通一平</w:t>
      </w:r>
      <w:r>
        <w:rPr>
          <w:rFonts w:hint="eastAsia" w:ascii="仿宋_GB2312" w:hAnsi="仿宋" w:eastAsia="仿宋_GB2312" w:cs="Times New Roman"/>
          <w:b w:val="0"/>
          <w:bCs w:val="0"/>
          <w:snapToGrid/>
          <w:color w:val="auto"/>
          <w:kern w:val="2"/>
          <w:sz w:val="32"/>
          <w:szCs w:val="32"/>
          <w:lang w:val="en-US" w:eastAsia="zh-CN" w:bidi="ar-SA"/>
        </w:rPr>
        <w:t>由土地征收单位</w:t>
      </w:r>
      <w:r>
        <w:rPr>
          <w:rFonts w:hint="eastAsia" w:ascii="仿宋_GB2312" w:hAnsi="仿宋" w:eastAsia="仿宋_GB2312" w:cs="Times New Roman"/>
          <w:b w:val="0"/>
          <w:bCs w:val="0"/>
          <w:snapToGrid/>
          <w:color w:val="auto"/>
          <w:kern w:val="2"/>
          <w:sz w:val="32"/>
          <w:szCs w:val="32"/>
          <w:u w:val="none"/>
          <w:lang w:val="en-US" w:eastAsia="zh-CN" w:bidi="ar-SA"/>
        </w:rPr>
        <w:t>负责计入征拆成本</w:t>
      </w:r>
      <w:r>
        <w:rPr>
          <w:rFonts w:hint="eastAsia" w:ascii="仿宋_GB2312" w:hAnsi="仿宋" w:eastAsia="仿宋_GB2312" w:cs="Times New Roman"/>
          <w:snapToGrid/>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color w:val="auto"/>
          <w:kern w:val="2"/>
          <w:sz w:val="32"/>
          <w:szCs w:val="32"/>
          <w:u w:val="none"/>
          <w:lang w:val="en-US" w:eastAsia="zh-CN" w:bidi="ar-SA"/>
        </w:rPr>
        <w:t>（四）</w:t>
      </w:r>
      <w:r>
        <w:rPr>
          <w:rFonts w:hint="eastAsia" w:ascii="仿宋_GB2312" w:hAnsi="仿宋" w:eastAsia="仿宋_GB2312" w:cs="Times New Roman"/>
          <w:b w:val="0"/>
          <w:bCs w:val="0"/>
          <w:snapToGrid/>
          <w:color w:val="auto"/>
          <w:kern w:val="2"/>
          <w:sz w:val="32"/>
          <w:szCs w:val="32"/>
          <w:u w:val="none"/>
          <w:lang w:val="en-US" w:eastAsia="zh-CN" w:bidi="ar-SA"/>
        </w:rPr>
        <w:t>国土空间规划划定县城开发边界之</w:t>
      </w:r>
      <w:r>
        <w:rPr>
          <w:rFonts w:hint="eastAsia" w:ascii="仿宋_GB2312" w:hAnsi="仿宋" w:eastAsia="仿宋_GB2312" w:cs="Times New Roman"/>
          <w:snapToGrid/>
          <w:color w:val="auto"/>
          <w:kern w:val="2"/>
          <w:sz w:val="32"/>
          <w:szCs w:val="32"/>
          <w:lang w:val="en-US" w:eastAsia="zh-CN" w:bidi="ar-SA"/>
        </w:rPr>
        <w:t>外</w:t>
      </w:r>
      <w:r>
        <w:rPr>
          <w:rFonts w:hint="eastAsia" w:ascii="仿宋_GB2312" w:hAnsi="仿宋" w:eastAsia="仿宋_GB2312" w:cs="Times New Roman"/>
          <w:b w:val="0"/>
          <w:bCs w:val="0"/>
          <w:snapToGrid/>
          <w:color w:val="auto"/>
          <w:kern w:val="2"/>
          <w:sz w:val="32"/>
          <w:szCs w:val="32"/>
          <w:u w:val="none"/>
          <w:lang w:val="en-US" w:eastAsia="zh-CN" w:bidi="ar-SA"/>
        </w:rPr>
        <w:t>的</w:t>
      </w:r>
      <w:r>
        <w:rPr>
          <w:rFonts w:hint="eastAsia" w:ascii="仿宋_GB2312" w:hAnsi="仿宋" w:eastAsia="仿宋_GB2312" w:cs="Times New Roman"/>
          <w:snapToGrid/>
          <w:color w:val="auto"/>
          <w:kern w:val="2"/>
          <w:sz w:val="32"/>
          <w:szCs w:val="32"/>
          <w:lang w:val="en-US" w:eastAsia="zh-CN" w:bidi="ar-SA"/>
        </w:rPr>
        <w:t>集中安置宅基地每户占地面积最多不得</w:t>
      </w:r>
      <w:r>
        <w:rPr>
          <w:rFonts w:hint="eastAsia" w:ascii="仿宋_GB2312" w:hAnsi="仿宋" w:eastAsia="仿宋_GB2312" w:cs="Times New Roman"/>
          <w:b w:val="0"/>
          <w:bCs w:val="0"/>
          <w:snapToGrid/>
          <w:color w:val="auto"/>
          <w:kern w:val="2"/>
          <w:sz w:val="32"/>
          <w:szCs w:val="32"/>
          <w:u w:val="none"/>
          <w:lang w:val="en-US" w:eastAsia="zh-CN" w:bidi="ar-SA"/>
        </w:rPr>
        <w:t>超过 130 平方米，相关手续由相关职能部门依法办理。</w:t>
      </w:r>
      <w:r>
        <w:rPr>
          <w:rFonts w:hint="eastAsia" w:ascii="仿宋_GB2312" w:hAnsi="仿宋" w:eastAsia="仿宋_GB2312" w:cs="Times New Roman"/>
          <w:snapToGrid/>
          <w:color w:val="auto"/>
          <w:kern w:val="2"/>
          <w:sz w:val="32"/>
          <w:szCs w:val="32"/>
          <w:lang w:val="en-US" w:eastAsia="zh-CN" w:bidi="ar-SA"/>
        </w:rPr>
        <w:t>安置宅基地成本按650元/平方米核算。被征拆人按政策要求分户</w:t>
      </w:r>
      <w:r>
        <w:rPr>
          <w:rFonts w:hint="eastAsia" w:ascii="仿宋_GB2312" w:hAnsi="仿宋" w:eastAsia="仿宋_GB2312" w:cs="Times New Roman"/>
          <w:snapToGrid/>
          <w:kern w:val="2"/>
          <w:sz w:val="32"/>
          <w:szCs w:val="32"/>
          <w:lang w:val="en-US" w:eastAsia="zh-CN" w:bidi="ar-SA"/>
        </w:rPr>
        <w:t>的，新分户宅基地成本按900元/平方米核算。</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五）符合宅基地安置的农村村民，申请宅基地自主分散安置的，由被征拆人自行承担宅基地成本费用，不收取安置宅基地成本费用。同时补助每户3万元的三通一平及超深基础补助。分散安置对象按政策要求新分户的，不予补偿宅基地三通一平及超深基础费用。</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（六）安置</w:t>
      </w:r>
      <w:r>
        <w:rPr>
          <w:rFonts w:hint="eastAsia" w:ascii="仿宋_GB2312" w:hAnsi="仿宋" w:eastAsia="仿宋_GB2312" w:cs="Times New Roman"/>
          <w:snapToGrid/>
          <w:color w:val="auto"/>
          <w:kern w:val="2"/>
          <w:sz w:val="32"/>
          <w:szCs w:val="32"/>
          <w:lang w:val="en-US" w:eastAsia="zh-CN" w:bidi="ar-SA"/>
        </w:rPr>
        <w:t>区</w:t>
      </w:r>
      <w:r>
        <w:rPr>
          <w:rFonts w:hint="eastAsia" w:ascii="仿宋_GB2312" w:hAnsi="仿宋" w:eastAsia="仿宋_GB2312" w:cs="Times New Roman"/>
          <w:snapToGrid/>
          <w:kern w:val="2"/>
          <w:sz w:val="32"/>
          <w:szCs w:val="32"/>
          <w:lang w:val="en-US" w:eastAsia="zh-CN" w:bidi="ar-SA"/>
        </w:rPr>
        <w:t>宅基地统一规划、联户设计、联户建设。</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（七）被征拆人符合重新安排宅基地建房条件的，按3万元/户的标准给予建房补助。</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b/>
          <w:bCs/>
          <w:snapToGrid/>
          <w:kern w:val="2"/>
          <w:sz w:val="32"/>
          <w:szCs w:val="32"/>
          <w:lang w:val="en-US" w:eastAsia="zh-CN" w:bidi="ar-SA"/>
        </w:rPr>
        <w:t>第五十四条　</w:t>
      </w:r>
      <w:r>
        <w:rPr>
          <w:rFonts w:hint="eastAsia" w:ascii="仿宋_GB2312" w:hAnsi="仿宋" w:eastAsia="仿宋_GB2312" w:cs="Times New Roman"/>
          <w:b/>
          <w:bCs/>
          <w:snapToGrid/>
          <w:color w:val="auto"/>
          <w:kern w:val="2"/>
          <w:sz w:val="32"/>
          <w:szCs w:val="32"/>
          <w:u w:val="none"/>
          <w:lang w:val="en-US" w:eastAsia="zh-CN" w:bidi="ar-SA"/>
        </w:rPr>
        <w:t>房票安置。</w:t>
      </w:r>
      <w:r>
        <w:rPr>
          <w:rFonts w:hint="eastAsia" w:ascii="仿宋_GB2312" w:hAnsi="仿宋" w:eastAsia="仿宋_GB2312" w:cs="Times New Roman"/>
          <w:b w:val="0"/>
          <w:bCs w:val="0"/>
          <w:snapToGrid/>
          <w:color w:val="auto"/>
          <w:kern w:val="2"/>
          <w:sz w:val="32"/>
          <w:szCs w:val="32"/>
          <w:u w:val="none"/>
          <w:lang w:val="en-US" w:eastAsia="zh-CN" w:bidi="ar-SA"/>
        </w:rPr>
        <w:t>房票安置是指被征收人在规定期限内签订房屋征收补偿协议后，房屋征收实施单位向被征收人发出《平江县房票安置购房凭证》(以下简称房票)，被征收人持房票在平江县范围内向已与我县政府部门签订同意使用房票协议的房地产开发企业购买商品房(含住宅、商业用房)，或者选购政府提供的房票安置房屋，以房票折抵购房款的房屋征收补偿安置方式。房票安置具体实施办法县政府另行制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 xml:space="preserve">第五十五条  </w:t>
      </w:r>
      <w:r>
        <w:rPr>
          <w:rFonts w:hint="eastAsia" w:ascii="仿宋_GB2312" w:hAnsi="仿宋" w:eastAsia="仿宋_GB2312" w:cs="Times New Roman"/>
          <w:snapToGrid/>
          <w:kern w:val="2"/>
          <w:sz w:val="32"/>
          <w:szCs w:val="32"/>
          <w:lang w:val="en-US" w:eastAsia="zh-CN" w:bidi="ar-SA"/>
        </w:rPr>
        <w:t>县人民政府组织县征收事务中心、公安、人社、卫健、自然资源及</w:t>
      </w:r>
      <w:r>
        <w:rPr>
          <w:rFonts w:hint="eastAsia" w:ascii="仿宋_GB2312" w:hAnsi="仿宋" w:eastAsia="仿宋_GB2312" w:cs="Times New Roman"/>
          <w:snapToGrid/>
          <w:color w:val="auto"/>
          <w:kern w:val="2"/>
          <w:sz w:val="32"/>
          <w:szCs w:val="32"/>
          <w:u w:val="none"/>
          <w:lang w:val="en-US" w:eastAsia="zh-CN" w:bidi="ar-SA"/>
        </w:rPr>
        <w:t>乡镇（街道）、</w:t>
      </w:r>
      <w:r>
        <w:rPr>
          <w:rFonts w:hint="eastAsia" w:ascii="仿宋_GB2312" w:hAnsi="仿宋" w:eastAsia="仿宋_GB2312" w:cs="Times New Roman"/>
          <w:snapToGrid/>
          <w:kern w:val="2"/>
          <w:sz w:val="32"/>
          <w:szCs w:val="32"/>
          <w:lang w:val="en-US" w:eastAsia="zh-CN" w:bidi="ar-SA"/>
        </w:rPr>
        <w:t>村（居）委会等有关部门单位对安置人员资格按下列规定依法进行审查认定，并予以张榜公示。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（一）平江县集体土地征收涉及房屋拆迁补偿安置的，以符合安置条件的家庭人口为单位核算安置，以户为单位结算，安置对象按下列情况核定：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仿宋_GB2312" w:hAnsi="仿宋" w:eastAsia="仿宋_GB2312" w:cs="Times New Roman"/>
          <w:snapToGrid/>
          <w:color w:val="auto"/>
          <w:kern w:val="2"/>
          <w:sz w:val="32"/>
          <w:szCs w:val="32"/>
          <w:lang w:val="en-US" w:eastAsia="zh-CN" w:bidi="ar-SA"/>
        </w:rPr>
        <w:t>1.户籍一直在本集体经济组织，为集体经济组织成员的；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仿宋_GB2312" w:hAnsi="仿宋" w:eastAsia="仿宋_GB2312" w:cs="Times New Roman"/>
          <w:snapToGrid/>
          <w:color w:val="auto"/>
          <w:kern w:val="2"/>
          <w:sz w:val="32"/>
          <w:szCs w:val="32"/>
          <w:lang w:val="en-US" w:eastAsia="zh-CN" w:bidi="ar-SA"/>
        </w:rPr>
        <w:t>2.户籍因婚迁入，且原户籍已注销，已成为该集体经济组织成员的；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仿宋_GB2312" w:hAnsi="仿宋" w:eastAsia="仿宋_GB2312" w:cs="Times New Roman"/>
          <w:snapToGrid/>
          <w:color w:val="auto"/>
          <w:kern w:val="2"/>
          <w:sz w:val="32"/>
          <w:szCs w:val="32"/>
          <w:lang w:val="en-US" w:eastAsia="zh-CN" w:bidi="ar-SA"/>
        </w:rPr>
        <w:t>3.因其他原因从外地迁入本集体经济组织，且原户籍已注销，</w:t>
      </w:r>
      <w:r>
        <w:rPr>
          <w:rFonts w:hint="eastAsia" w:ascii="仿宋_GB2312" w:hAnsi="仿宋" w:eastAsia="仿宋_GB2312" w:cs="Times New Roman"/>
          <w:b w:val="0"/>
          <w:bCs w:val="0"/>
          <w:snapToGrid/>
          <w:color w:val="auto"/>
          <w:kern w:val="2"/>
          <w:sz w:val="32"/>
          <w:szCs w:val="32"/>
          <w:lang w:val="en-US" w:eastAsia="zh-CN" w:bidi="ar-SA"/>
        </w:rPr>
        <w:t>在本集体经济组织拥有集体土地使用权，</w:t>
      </w:r>
      <w:r>
        <w:rPr>
          <w:rFonts w:hint="eastAsia" w:ascii="仿宋_GB2312" w:hAnsi="仿宋" w:eastAsia="仿宋_GB2312" w:cs="Times New Roman"/>
          <w:snapToGrid/>
          <w:color w:val="auto"/>
          <w:kern w:val="2"/>
          <w:sz w:val="32"/>
          <w:szCs w:val="32"/>
          <w:lang w:val="en-US" w:eastAsia="zh-CN" w:bidi="ar-SA"/>
        </w:rPr>
        <w:t>分享集体经济组织生产资料的；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4.原户籍在本集体经济组织，拥有集体土地使用权，分享集体经济组织生产资料，在特定时期购买城镇户口，后又经批准迁回原籍的；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5.被拆迁合法房屋的产权人为本集体经济组织成员，属于国家提倡一对夫妻生育一个子女期间的独生子女家庭的，凭卫健部门审定的公示结果，可享受增加一人的份额；</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 xml:space="preserve">6.原属于本集体经济组织，现正在部队服役的军人(不含军官、文职人员)、正在大中专院校就读的学生及服刑人员；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7.出嫁女和外出入赘男，户籍未迁出，一直享受集体经济组织生产资料，且在配偶所在地未享受集体经济组织生产资料和未使用宅基地建设的；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8.法律法规和政策规定应予安置的其他人员。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（二）未达婚龄子女随父母居住不单独立户；《征收土地预公告》发布后，夫妻离婚的，仍按一户进行补偿安置，其补偿安置分配由当事双方自行处理。</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（三）安置人员资格认定截止日为《征收土地公告》发布之日。</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（四）有下列情形之一的不予安置：</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1．拆除一处房屋后，本家庭户仍在本集体经济组织内使用其他宅基地的；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2．户籍因其他原因迁出，因继承财产又迁回本集体经济组织，但不享受集体经济组织生产资料的；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3．国家机关、国有企事业单位正式工作人员(含离、退休人员)。</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4.非本村集体经济组织成员通过非法途径取得建房审批手续或房屋产权的；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b w:val="0"/>
          <w:bCs w:val="0"/>
          <w:snapToGrid/>
          <w:color w:val="auto"/>
          <w:kern w:val="2"/>
          <w:sz w:val="32"/>
          <w:szCs w:val="32"/>
          <w:u w:val="none"/>
          <w:lang w:val="en-US" w:eastAsia="zh-CN" w:bidi="ar-SA"/>
        </w:rPr>
      </w:pPr>
      <w:r>
        <w:rPr>
          <w:rFonts w:hint="eastAsia" w:ascii="仿宋_GB2312" w:hAnsi="仿宋" w:eastAsia="仿宋_GB2312" w:cs="Times New Roman"/>
          <w:b w:val="0"/>
          <w:bCs w:val="0"/>
          <w:snapToGrid/>
          <w:color w:val="auto"/>
          <w:kern w:val="2"/>
          <w:sz w:val="32"/>
          <w:szCs w:val="32"/>
          <w:u w:val="none"/>
          <w:lang w:val="en-US" w:eastAsia="zh-CN" w:bidi="ar-SA"/>
        </w:rPr>
        <w:t>5．在以往房屋拆迁中已进行货币补偿安置、安置房安置的人员 ；</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kern w:val="2"/>
          <w:sz w:val="32"/>
          <w:szCs w:val="32"/>
          <w:lang w:val="en-US" w:eastAsia="zh-CN" w:bidi="ar-SA"/>
        </w:rPr>
        <w:t>对安置人员资格审查认定结果有异议的，被征拆人应当在公示之日起7个工作日内</w:t>
      </w:r>
      <w:r>
        <w:rPr>
          <w:rFonts w:hint="eastAsia" w:ascii="仿宋_GB2312" w:hAnsi="仿宋" w:eastAsia="仿宋_GB2312" w:cs="Times New Roman"/>
          <w:snapToGrid/>
          <w:color w:val="auto"/>
          <w:kern w:val="2"/>
          <w:sz w:val="32"/>
          <w:szCs w:val="32"/>
          <w:u w:val="none"/>
          <w:lang w:val="en-US" w:eastAsia="zh-CN" w:bidi="ar-SA"/>
        </w:rPr>
        <w:t>，</w:t>
      </w:r>
      <w:r>
        <w:rPr>
          <w:rFonts w:hint="eastAsia" w:ascii="仿宋_GB2312" w:hAnsi="仿宋" w:eastAsia="仿宋_GB2312" w:cs="Times New Roman"/>
          <w:b w:val="0"/>
          <w:bCs w:val="0"/>
          <w:snapToGrid/>
          <w:color w:val="auto"/>
          <w:kern w:val="2"/>
          <w:sz w:val="32"/>
          <w:szCs w:val="32"/>
          <w:u w:val="none"/>
          <w:lang w:val="en-US" w:eastAsia="zh-CN" w:bidi="ar-SA"/>
        </w:rPr>
        <w:t>向乡（镇）人民政府、街道办事处提交申请复核，由县征收事务中心会同自然资源局、不动产登记中心、住建局复核，复核结果报征地拆迁工作联席会议依法审查认定，审查认定结果形成会议纪要并附会议签到表。对审查结果予以公示确定。</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第五十六条</w:t>
      </w:r>
      <w:r>
        <w:rPr>
          <w:rFonts w:hint="eastAsia" w:ascii="仿宋_GB2312" w:hAnsi="仿宋" w:eastAsia="仿宋_GB2312" w:cs="Times New Roman"/>
          <w:snapToGrid/>
          <w:kern w:val="2"/>
          <w:sz w:val="32"/>
          <w:szCs w:val="32"/>
          <w:lang w:val="en-US" w:eastAsia="zh-CN" w:bidi="ar-SA"/>
        </w:rPr>
        <w:t>　符合安置条件且无力购（建）住房的特困供养人员、军烈属、</w:t>
      </w:r>
      <w:r>
        <w:rPr>
          <w:rFonts w:hint="eastAsia" w:ascii="仿宋_GB2312" w:hAnsi="仿宋" w:eastAsia="仿宋_GB2312" w:cs="Times New Roman"/>
          <w:snapToGrid/>
          <w:color w:val="auto"/>
          <w:kern w:val="2"/>
          <w:sz w:val="32"/>
          <w:szCs w:val="32"/>
          <w:u w:val="none"/>
          <w:lang w:val="en-US" w:eastAsia="zh-CN" w:bidi="ar-SA"/>
        </w:rPr>
        <w:t>失独家庭</w:t>
      </w:r>
      <w:r>
        <w:rPr>
          <w:rFonts w:hint="eastAsia" w:ascii="仿宋_GB2312" w:hAnsi="仿宋" w:eastAsia="仿宋_GB2312" w:cs="Times New Roman"/>
          <w:snapToGrid/>
          <w:kern w:val="2"/>
          <w:sz w:val="32"/>
          <w:szCs w:val="32"/>
          <w:lang w:val="en-US" w:eastAsia="zh-CN" w:bidi="ar-SA"/>
        </w:rPr>
        <w:t>，经县人民政府审核确定并经公示无异议后，另行给予5万元/户的购（建）房补助。</w:t>
      </w:r>
    </w:p>
    <w:p>
      <w:pPr>
        <w:keepNext w:val="0"/>
        <w:keepLines w:val="0"/>
        <w:pageBreakBefore w:val="0"/>
        <w:wordWrap/>
        <w:overflowPunct/>
        <w:topLinePunct w:val="0"/>
        <w:bidi w:val="0"/>
        <w:adjustRightInd w:val="0"/>
        <w:snapToGrid w:val="0"/>
        <w:spacing w:line="640" w:lineRule="exact"/>
        <w:ind w:right="0"/>
        <w:rPr>
          <w:rFonts w:hint="default" w:ascii="黑体" w:hAnsi="黑体" w:eastAsia="黑体" w:cs="黑体"/>
          <w:b/>
          <w:bCs/>
          <w:spacing w:val="-15"/>
          <w:sz w:val="32"/>
          <w:szCs w:val="32"/>
          <w:lang w:val="en-US" w:eastAsia="zh-CN"/>
        </w:rPr>
      </w:pPr>
    </w:p>
    <w:p>
      <w:pPr>
        <w:keepNext w:val="0"/>
        <w:keepLines w:val="0"/>
        <w:pageBreakBefore w:val="0"/>
        <w:wordWrap/>
        <w:overflowPunct/>
        <w:topLinePunct w:val="0"/>
        <w:bidi w:val="0"/>
        <w:adjustRightInd w:val="0"/>
        <w:snapToGrid w:val="0"/>
        <w:spacing w:line="640" w:lineRule="exact"/>
        <w:ind w:right="0"/>
        <w:jc w:val="center"/>
        <w:rPr>
          <w:rFonts w:ascii="黑体" w:hAnsi="黑体" w:eastAsia="黑体" w:cs="黑体"/>
          <w:sz w:val="32"/>
          <w:szCs w:val="32"/>
        </w:rPr>
      </w:pPr>
      <w:r>
        <w:rPr>
          <w:rFonts w:ascii="黑体" w:hAnsi="黑体" w:eastAsia="黑体" w:cs="黑体"/>
          <w:b/>
          <w:bCs/>
          <w:spacing w:val="-15"/>
          <w:sz w:val="32"/>
          <w:szCs w:val="32"/>
        </w:rPr>
        <w:t>第六章</w:t>
      </w:r>
      <w:r>
        <w:rPr>
          <w:rFonts w:ascii="黑体" w:hAnsi="黑体" w:eastAsia="黑体" w:cs="黑体"/>
          <w:spacing w:val="157"/>
          <w:sz w:val="32"/>
          <w:szCs w:val="32"/>
        </w:rPr>
        <w:t xml:space="preserve"> </w:t>
      </w:r>
      <w:r>
        <w:rPr>
          <w:rFonts w:ascii="黑体" w:hAnsi="黑体" w:eastAsia="黑体" w:cs="黑体"/>
          <w:b/>
          <w:bCs/>
          <w:spacing w:val="-15"/>
          <w:sz w:val="32"/>
          <w:szCs w:val="32"/>
        </w:rPr>
        <w:t>责任追究</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第五十七条</w:t>
      </w:r>
      <w:r>
        <w:rPr>
          <w:rFonts w:ascii="仿宋_GB2312" w:hAnsi="仿宋" w:eastAsia="仿宋_GB2312" w:cs="Times New Roman"/>
          <w:snapToGrid/>
          <w:kern w:val="2"/>
          <w:sz w:val="32"/>
          <w:szCs w:val="32"/>
          <w:lang w:val="en-US" w:eastAsia="zh-CN" w:bidi="ar-SA"/>
        </w:rPr>
        <w:t xml:space="preserve"> </w:t>
      </w:r>
      <w:r>
        <w:rPr>
          <w:rFonts w:hint="eastAsia" w:ascii="仿宋_GB2312" w:hAnsi="仿宋" w:eastAsia="仿宋_GB2312" w:cs="Times New Roman"/>
          <w:snapToGrid/>
          <w:kern w:val="2"/>
          <w:sz w:val="32"/>
          <w:szCs w:val="32"/>
          <w:lang w:val="en-US" w:eastAsia="zh-CN" w:bidi="ar-SA"/>
        </w:rPr>
        <w:t xml:space="preserve"> </w:t>
      </w:r>
      <w:r>
        <w:rPr>
          <w:rFonts w:ascii="仿宋_GB2312" w:hAnsi="仿宋" w:eastAsia="仿宋_GB2312" w:cs="Times New Roman"/>
          <w:snapToGrid/>
          <w:kern w:val="2"/>
          <w:sz w:val="32"/>
          <w:szCs w:val="32"/>
          <w:lang w:val="en-US" w:eastAsia="zh-CN" w:bidi="ar-SA"/>
        </w:rPr>
        <w:t>被征拆人采取伪造、涂改不动产权属证书、户籍等材料及其他违法行为骗取补偿(助)的，应当由相关行政部门依法追回违法所得并予以处罚；构成犯罪的，依法追究其刑事责任。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第五十八条</w:t>
      </w:r>
      <w:r>
        <w:rPr>
          <w:rFonts w:ascii="仿宋_GB2312" w:hAnsi="仿宋" w:eastAsia="仿宋_GB2312" w:cs="Times New Roman"/>
          <w:snapToGrid/>
          <w:kern w:val="2"/>
          <w:sz w:val="32"/>
          <w:szCs w:val="32"/>
          <w:lang w:val="en-US" w:eastAsia="zh-CN" w:bidi="ar-SA"/>
        </w:rPr>
        <w:t xml:space="preserve">  在征收工作中，有下列情形之一的，由相关行政部门依法予以处罚；造成经济损失的，依法承担民事责任；情节严重、构成犯罪的，依法追究其刑事责任：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(一)敲诈勒索财物的；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(二)强揽工程建设的；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(三)煽动、组织或参与闹事，影响社会稳定的；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(四)阻碍征收工作，妨碍依法执行公务的；</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(五)其他违法行为。</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 xml:space="preserve">第五十九条  </w:t>
      </w:r>
      <w:r>
        <w:rPr>
          <w:rFonts w:ascii="仿宋_GB2312" w:hAnsi="仿宋" w:eastAsia="仿宋_GB2312" w:cs="Times New Roman"/>
          <w:snapToGrid/>
          <w:kern w:val="2"/>
          <w:sz w:val="32"/>
          <w:szCs w:val="32"/>
          <w:lang w:val="en-US" w:eastAsia="zh-CN" w:bidi="ar-SA"/>
        </w:rPr>
        <w:t>自然资源、农业农村、人社、发改、征收安置、民政、公安、住建、卫健</w:t>
      </w:r>
      <w:r>
        <w:rPr>
          <w:rFonts w:hint="eastAsia" w:ascii="仿宋_GB2312" w:hAnsi="仿宋" w:eastAsia="仿宋_GB2312" w:cs="Times New Roman"/>
          <w:snapToGrid/>
          <w:kern w:val="2"/>
          <w:sz w:val="32"/>
          <w:szCs w:val="32"/>
          <w:lang w:val="en-US" w:eastAsia="zh-CN" w:bidi="ar-SA"/>
        </w:rPr>
        <w:t>、乡镇（街道）</w:t>
      </w:r>
      <w:r>
        <w:rPr>
          <w:rFonts w:ascii="仿宋_GB2312" w:hAnsi="仿宋" w:eastAsia="仿宋_GB2312" w:cs="Times New Roman"/>
          <w:snapToGrid/>
          <w:kern w:val="2"/>
          <w:sz w:val="32"/>
          <w:szCs w:val="32"/>
          <w:lang w:val="en-US" w:eastAsia="zh-CN" w:bidi="ar-SA"/>
        </w:rPr>
        <w:t>等部门未按本办法规定履行职责的，由其主管部门责令改正。逾期不改正的，依法追究主管责任人员和其他直接责任人员的行政责任；造成经济损失的，依法予以赔偿。</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ascii="仿宋_GB2312" w:hAnsi="仿宋" w:eastAsia="仿宋_GB2312" w:cs="Times New Roman"/>
          <w:snapToGrid/>
          <w:kern w:val="2"/>
          <w:sz w:val="32"/>
          <w:szCs w:val="32"/>
          <w:lang w:val="en-US" w:eastAsia="zh-CN" w:bidi="ar-SA"/>
        </w:rPr>
      </w:pPr>
      <w:r>
        <w:rPr>
          <w:rFonts w:ascii="仿宋_GB2312" w:hAnsi="仿宋" w:eastAsia="仿宋_GB2312" w:cs="Times New Roman"/>
          <w:snapToGrid/>
          <w:kern w:val="2"/>
          <w:sz w:val="32"/>
          <w:szCs w:val="32"/>
          <w:lang w:val="en-US" w:eastAsia="zh-CN" w:bidi="ar-SA"/>
        </w:rPr>
        <w:t>相关工作人员在征收工作中玩忽职守、滥用职权、徇私舞弊的，依法给予行政处分；构成犯罪的，依法追究其刑事责任。</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_GB2312" w:hAnsi="仿宋" w:eastAsia="仿宋_GB2312" w:cs="Times New Roman"/>
          <w:snapToGrid/>
          <w:kern w:val="2"/>
          <w:sz w:val="32"/>
          <w:szCs w:val="32"/>
          <w:lang w:val="en-US" w:eastAsia="zh-CN" w:bidi="ar-SA"/>
        </w:rPr>
      </w:pPr>
      <w:r>
        <w:rPr>
          <w:rFonts w:hint="eastAsia" w:ascii="楷体_GB2312" w:hAnsi="黑体" w:eastAsia="楷体_GB2312" w:cs="Times New Roman"/>
          <w:b/>
          <w:bCs/>
          <w:snapToGrid/>
          <w:kern w:val="2"/>
          <w:sz w:val="32"/>
          <w:szCs w:val="32"/>
          <w:lang w:val="en-US" w:eastAsia="zh-CN" w:bidi="ar-SA"/>
        </w:rPr>
        <w:t>第六十条</w:t>
      </w:r>
      <w:r>
        <w:rPr>
          <w:rFonts w:ascii="仿宋_GB2312" w:hAnsi="仿宋" w:eastAsia="仿宋_GB2312" w:cs="Times New Roman"/>
          <w:snapToGrid/>
          <w:kern w:val="2"/>
          <w:sz w:val="32"/>
          <w:szCs w:val="32"/>
          <w:lang w:val="en-US" w:eastAsia="zh-CN" w:bidi="ar-SA"/>
        </w:rPr>
        <w:t xml:space="preserve"> </w:t>
      </w:r>
      <w:r>
        <w:rPr>
          <w:rFonts w:hint="eastAsia" w:ascii="仿宋_GB2312" w:hAnsi="仿宋" w:eastAsia="仿宋_GB2312" w:cs="Times New Roman"/>
          <w:snapToGrid/>
          <w:kern w:val="2"/>
          <w:sz w:val="32"/>
          <w:szCs w:val="32"/>
          <w:lang w:val="en-US" w:eastAsia="zh-CN" w:bidi="ar-SA"/>
        </w:rPr>
        <w:t xml:space="preserve"> </w:t>
      </w:r>
      <w:r>
        <w:rPr>
          <w:rFonts w:ascii="仿宋_GB2312" w:hAnsi="仿宋" w:eastAsia="仿宋_GB2312" w:cs="Times New Roman"/>
          <w:snapToGrid/>
          <w:kern w:val="2"/>
          <w:sz w:val="32"/>
          <w:szCs w:val="32"/>
          <w:lang w:val="en-US" w:eastAsia="zh-CN" w:bidi="ar-SA"/>
        </w:rPr>
        <w:t>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构成犯罪的，依法追究刑事责任。</w:t>
      </w:r>
    </w:p>
    <w:p>
      <w:pPr>
        <w:keepNext w:val="0"/>
        <w:keepLines w:val="0"/>
        <w:pageBreakBefore w:val="0"/>
        <w:wordWrap/>
        <w:overflowPunct/>
        <w:topLinePunct w:val="0"/>
        <w:bidi w:val="0"/>
        <w:adjustRightInd w:val="0"/>
        <w:snapToGrid w:val="0"/>
        <w:spacing w:line="640" w:lineRule="exact"/>
        <w:ind w:right="0"/>
        <w:jc w:val="center"/>
        <w:rPr>
          <w:rFonts w:ascii="黑体" w:hAnsi="黑体" w:eastAsia="黑体" w:cs="黑体"/>
          <w:color w:val="auto"/>
          <w:sz w:val="31"/>
          <w:szCs w:val="31"/>
        </w:rPr>
      </w:pPr>
      <w:r>
        <w:rPr>
          <w:rFonts w:ascii="黑体" w:hAnsi="黑体" w:eastAsia="黑体" w:cs="黑体"/>
          <w:b/>
          <w:bCs/>
          <w:color w:val="auto"/>
          <w:spacing w:val="-12"/>
          <w:sz w:val="31"/>
          <w:szCs w:val="31"/>
        </w:rPr>
        <w:t>第七章</w:t>
      </w:r>
      <w:r>
        <w:rPr>
          <w:rFonts w:ascii="黑体" w:hAnsi="黑体" w:eastAsia="黑体" w:cs="黑体"/>
          <w:color w:val="auto"/>
          <w:spacing w:val="128"/>
          <w:sz w:val="31"/>
          <w:szCs w:val="31"/>
        </w:rPr>
        <w:t xml:space="preserve"> </w:t>
      </w:r>
      <w:r>
        <w:rPr>
          <w:rFonts w:ascii="黑体" w:hAnsi="黑体" w:eastAsia="黑体" w:cs="黑体"/>
          <w:b/>
          <w:bCs/>
          <w:color w:val="auto"/>
          <w:spacing w:val="-12"/>
          <w:sz w:val="31"/>
          <w:szCs w:val="31"/>
        </w:rPr>
        <w:t>附</w:t>
      </w:r>
      <w:r>
        <w:rPr>
          <w:rFonts w:ascii="黑体" w:hAnsi="黑体" w:eastAsia="黑体" w:cs="黑体"/>
          <w:color w:val="auto"/>
          <w:spacing w:val="29"/>
          <w:sz w:val="31"/>
          <w:szCs w:val="31"/>
        </w:rPr>
        <w:t xml:space="preserve">  </w:t>
      </w:r>
      <w:r>
        <w:rPr>
          <w:rFonts w:ascii="黑体" w:hAnsi="黑体" w:eastAsia="黑体" w:cs="黑体"/>
          <w:b/>
          <w:bCs/>
          <w:color w:val="auto"/>
          <w:spacing w:val="-12"/>
          <w:sz w:val="31"/>
          <w:szCs w:val="31"/>
        </w:rPr>
        <w:t>则</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楷体_GB2312" w:hAnsi="楷体" w:eastAsia="楷体_GB2312" w:cs="Times New Roman"/>
          <w:b/>
          <w:bCs/>
          <w:snapToGrid/>
          <w:kern w:val="2"/>
          <w:sz w:val="32"/>
          <w:szCs w:val="32"/>
          <w:lang w:val="en-US" w:eastAsia="zh-CN" w:bidi="ar-SA"/>
        </w:rPr>
        <w:t xml:space="preserve">第六十一条  </w:t>
      </w:r>
      <w:r>
        <w:rPr>
          <w:rFonts w:hint="eastAsia" w:ascii="仿宋_GB2312" w:hAnsi="仿宋" w:eastAsia="仿宋_GB2312" w:cs="Times New Roman"/>
          <w:snapToGrid/>
          <w:kern w:val="2"/>
          <w:sz w:val="32"/>
          <w:szCs w:val="32"/>
          <w:lang w:val="en-US" w:eastAsia="zh-CN" w:bidi="ar-SA"/>
        </w:rPr>
        <w:t>有关术语解释</w:t>
      </w:r>
    </w:p>
    <w:p>
      <w:pPr>
        <w:keepNext w:val="0"/>
        <w:keepLines w:val="0"/>
        <w:pageBreakBefore w:val="0"/>
        <w:wordWrap/>
        <w:overflowPunct/>
        <w:topLinePunct w:val="0"/>
        <w:bidi w:val="0"/>
        <w:adjustRightInd w:val="0"/>
        <w:snapToGrid w:val="0"/>
        <w:spacing w:line="640" w:lineRule="exact"/>
        <w:ind w:left="0" w:leftChars="0" w:right="0" w:firstLine="640" w:firstLineChars="200"/>
        <w:jc w:val="both"/>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color w:val="auto"/>
          <w:kern w:val="2"/>
          <w:sz w:val="32"/>
          <w:szCs w:val="32"/>
          <w:u w:val="none"/>
          <w:lang w:val="en-US" w:eastAsia="zh-CN" w:bidi="ar-SA"/>
        </w:rPr>
        <w:t>(一)本办法所称被征拆人，是指被征收土地的所有权人、使用权人。</w:t>
      </w:r>
    </w:p>
    <w:p>
      <w:pPr>
        <w:keepNext w:val="0"/>
        <w:keepLines w:val="0"/>
        <w:pageBreakBefore w:val="0"/>
        <w:wordWrap/>
        <w:overflowPunct/>
        <w:topLinePunct w:val="0"/>
        <w:bidi w:val="0"/>
        <w:adjustRightInd w:val="0"/>
        <w:snapToGrid w:val="0"/>
        <w:spacing w:line="640" w:lineRule="exact"/>
        <w:ind w:left="0" w:leftChars="0" w:right="0" w:firstLine="640" w:firstLineChars="200"/>
        <w:jc w:val="both"/>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color w:val="auto"/>
          <w:kern w:val="2"/>
          <w:sz w:val="32"/>
          <w:szCs w:val="32"/>
          <w:u w:val="none"/>
          <w:lang w:val="en-US" w:eastAsia="zh-CN" w:bidi="ar-SA"/>
        </w:rPr>
        <w:t>(二)本办法所称集体土地上农业附属设施，是指被征收土地上建造的水利设施、道路、沟渠、桥涵、护坡、挡土墙、温室大棚以及其他为农业生产生活服务的设施。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0" w:firstLineChars="2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三)本办法所称房屋内外附属设施，是指被征拆人的房屋庭院内外所有棚屋、花卉苗木、零星果木树木、房屋楼顶、无线电发射装置和机房、各类材质围墙、挡土墙、晒谷地坪、排水管沟、机水井、进户杆线、沼气池、化粪池等生产生活配套设施以及室内外水、电、气、网等管线设施。</w:t>
      </w: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firstLine="643" w:firstLineChars="200"/>
        <w:jc w:val="both"/>
        <w:textAlignment w:val="auto"/>
        <w:rPr>
          <w:rFonts w:ascii="仿宋" w:hAnsi="仿宋" w:eastAsia="仿宋" w:cs="仿宋"/>
          <w:sz w:val="31"/>
          <w:szCs w:val="31"/>
        </w:rPr>
      </w:pPr>
      <w:r>
        <w:rPr>
          <w:rFonts w:hint="eastAsia" w:ascii="楷体_GB2312" w:hAnsi="楷体" w:eastAsia="楷体_GB2312" w:cs="Times New Roman"/>
          <w:b/>
          <w:bCs/>
          <w:snapToGrid/>
          <w:kern w:val="2"/>
          <w:sz w:val="32"/>
          <w:szCs w:val="32"/>
          <w:lang w:val="en-US" w:eastAsia="zh-CN" w:bidi="ar-SA"/>
        </w:rPr>
        <w:t>第六十二条</w:t>
      </w:r>
      <w:r>
        <w:rPr>
          <w:rFonts w:hint="eastAsia" w:ascii="仿宋_GB2312" w:hAnsi="仿宋" w:eastAsia="仿宋_GB2312" w:cs="Times New Roman"/>
          <w:snapToGrid/>
          <w:kern w:val="2"/>
          <w:sz w:val="32"/>
          <w:szCs w:val="32"/>
          <w:lang w:val="en-US" w:eastAsia="zh-CN" w:bidi="ar-SA"/>
        </w:rPr>
        <w:t>　</w:t>
      </w:r>
      <w:r>
        <w:rPr>
          <w:rFonts w:ascii="仿宋" w:hAnsi="仿宋" w:eastAsia="仿宋" w:cs="仿宋"/>
          <w:spacing w:val="20"/>
          <w:sz w:val="31"/>
          <w:szCs w:val="31"/>
        </w:rPr>
        <w:t>本办法未明确或者未覆盖的征拆个案，由县</w:t>
      </w:r>
      <w:r>
        <w:rPr>
          <w:rFonts w:ascii="仿宋" w:hAnsi="仿宋" w:eastAsia="仿宋" w:cs="仿宋"/>
          <w:spacing w:val="23"/>
          <w:sz w:val="31"/>
          <w:szCs w:val="31"/>
        </w:rPr>
        <w:t>人民政府研究决定。涉及市财政出资的项</w:t>
      </w:r>
      <w:r>
        <w:rPr>
          <w:rFonts w:ascii="仿宋" w:hAnsi="仿宋" w:eastAsia="仿宋" w:cs="仿宋"/>
          <w:spacing w:val="28"/>
          <w:sz w:val="31"/>
          <w:szCs w:val="31"/>
        </w:rPr>
        <w:t>目，县人民政府研究的个案</w:t>
      </w:r>
      <w:r>
        <w:rPr>
          <w:rFonts w:ascii="仿宋" w:hAnsi="仿宋" w:eastAsia="仿宋" w:cs="仿宋"/>
          <w:spacing w:val="27"/>
          <w:sz w:val="31"/>
          <w:szCs w:val="31"/>
        </w:rPr>
        <w:t>处理方案应报</w:t>
      </w:r>
      <w:r>
        <w:rPr>
          <w:rFonts w:ascii="仿宋" w:hAnsi="仿宋" w:eastAsia="仿宋" w:cs="仿宋"/>
          <w:spacing w:val="-1"/>
          <w:sz w:val="31"/>
          <w:szCs w:val="31"/>
        </w:rPr>
        <w:t>市自然资源、财政部门审查。</w:t>
      </w:r>
    </w:p>
    <w:p>
      <w:pPr>
        <w:keepNext w:val="0"/>
        <w:keepLines w:val="0"/>
        <w:pageBreakBefore w:val="0"/>
        <w:wordWrap/>
        <w:overflowPunct/>
        <w:topLinePunct w:val="0"/>
        <w:bidi w:val="0"/>
        <w:adjustRightInd w:val="0"/>
        <w:snapToGrid w:val="0"/>
        <w:spacing w:line="640" w:lineRule="exact"/>
        <w:ind w:left="0" w:leftChars="0" w:right="0" w:firstLine="643" w:firstLineChars="200"/>
        <w:jc w:val="both"/>
        <w:rPr>
          <w:rFonts w:hint="eastAsia" w:ascii="仿宋_GB2312" w:hAnsi="仿宋" w:eastAsia="仿宋_GB2312" w:cs="Times New Roman"/>
          <w:snapToGrid/>
          <w:color w:val="auto"/>
          <w:kern w:val="2"/>
          <w:sz w:val="32"/>
          <w:szCs w:val="32"/>
          <w:u w:val="none"/>
          <w:lang w:val="en-US" w:eastAsia="zh-CN" w:bidi="ar-SA"/>
        </w:rPr>
      </w:pPr>
      <w:r>
        <w:rPr>
          <w:rFonts w:hint="eastAsia" w:ascii="楷体_GB2312" w:hAnsi="楷体" w:eastAsia="楷体_GB2312" w:cs="Times New Roman"/>
          <w:b/>
          <w:bCs/>
          <w:snapToGrid/>
          <w:kern w:val="2"/>
          <w:sz w:val="32"/>
          <w:szCs w:val="32"/>
          <w:lang w:val="en-US" w:eastAsia="zh-CN" w:bidi="ar-SA"/>
        </w:rPr>
        <w:t xml:space="preserve">第六十三条  </w:t>
      </w:r>
      <w:r>
        <w:rPr>
          <w:rFonts w:hint="eastAsia" w:ascii="仿宋_GB2312" w:hAnsi="仿宋" w:eastAsia="仿宋_GB2312" w:cs="Times New Roman"/>
          <w:snapToGrid/>
          <w:color w:val="auto"/>
          <w:kern w:val="2"/>
          <w:sz w:val="32"/>
          <w:szCs w:val="32"/>
          <w:u w:val="none"/>
          <w:lang w:val="en-US" w:eastAsia="zh-CN" w:bidi="ar-SA"/>
        </w:rPr>
        <w:t>本办法自2024年  月  日起施行，试行2年。《平江县人民政府关于印发〈平江县集体土地征收与房屋拆迁补偿安置办法〉的通知》(平政发〔2020〕2号)同时废止。法律法规或上级文件有规定的，从其规定。</w:t>
      </w:r>
    </w:p>
    <w:p>
      <w:pPr>
        <w:keepNext w:val="0"/>
        <w:keepLines w:val="0"/>
        <w:pageBreakBefore w:val="0"/>
        <w:wordWrap/>
        <w:overflowPunct/>
        <w:topLinePunct w:val="0"/>
        <w:bidi w:val="0"/>
        <w:adjustRightInd w:val="0"/>
        <w:snapToGrid w:val="0"/>
        <w:spacing w:line="640" w:lineRule="exact"/>
        <w:ind w:left="0" w:leftChars="0" w:right="0" w:firstLine="640" w:firstLineChars="200"/>
        <w:jc w:val="both"/>
        <w:rPr>
          <w:rFonts w:hint="eastAsia" w:ascii="仿宋_GB2312" w:hAnsi="仿宋" w:eastAsia="仿宋_GB2312" w:cs="Times New Roman"/>
          <w:snapToGrid/>
          <w:color w:val="auto"/>
          <w:kern w:val="2"/>
          <w:sz w:val="32"/>
          <w:szCs w:val="32"/>
          <w:u w:val="none"/>
          <w:lang w:val="en-US" w:eastAsia="zh-CN" w:bidi="ar-SA"/>
        </w:rPr>
      </w:pPr>
      <w:r>
        <w:rPr>
          <w:rFonts w:hint="eastAsia" w:ascii="仿宋_GB2312" w:hAnsi="仿宋" w:eastAsia="仿宋_GB2312" w:cs="Times New Roman"/>
          <w:snapToGrid/>
          <w:color w:val="auto"/>
          <w:kern w:val="2"/>
          <w:sz w:val="32"/>
          <w:szCs w:val="32"/>
          <w:u w:val="none"/>
          <w:lang w:val="en-US" w:eastAsia="zh-CN" w:bidi="ar-SA"/>
        </w:rPr>
        <w:t>本办法施行前，已公告征地补偿、安置方案的， 按公告确定的标准执行；已办理征地审批手续，但未公告征地补偿、安置方案的，按照本办法标准执行。</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 w:eastAsia="仿宋_GB2312" w:cs="Times New Roman"/>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 w:eastAsia="仿宋_GB2312" w:cs="Times New Roman"/>
          <w:snapToGrid/>
          <w:spacing w:val="-11"/>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附件：1.</w:t>
      </w:r>
      <w:r>
        <w:rPr>
          <w:rFonts w:hint="eastAsia" w:ascii="仿宋_GB2312" w:hAnsi="仿宋" w:eastAsia="仿宋_GB2312" w:cs="Times New Roman"/>
          <w:snapToGrid/>
          <w:spacing w:val="-11"/>
          <w:kern w:val="2"/>
          <w:sz w:val="32"/>
          <w:szCs w:val="32"/>
          <w:lang w:val="en-US" w:eastAsia="zh-CN" w:bidi="ar-SA"/>
        </w:rPr>
        <w:t>集体土地上青苗和农业附属设施包干补偿标准</w:t>
      </w: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2.苗木、花卉补偿标准</w:t>
      </w: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3.果园、茶园青苗补偿标准</w:t>
      </w: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4.坟墓迁移补偿标准</w:t>
      </w:r>
    </w:p>
    <w:p>
      <w:pPr>
        <w:keepNext w:val="0"/>
        <w:keepLines w:val="0"/>
        <w:pageBreakBefore w:val="0"/>
        <w:widowControl w:val="0"/>
        <w:kinsoku/>
        <w:wordWrap/>
        <w:overflowPunct/>
        <w:topLinePunct w:val="0"/>
        <w:autoSpaceDE/>
        <w:autoSpaceDN/>
        <w:bidi w:val="0"/>
        <w:adjustRightInd w:val="0"/>
        <w:snapToGrid w:val="0"/>
        <w:spacing w:line="640" w:lineRule="exact"/>
        <w:ind w:left="1596" w:leftChars="760" w:firstLine="0" w:firstLineChars="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5.住宅房屋结构、装饰装修要求及补偿标准(5-1表)、偏杂屋结构、设施要求及补偿标准(5-2表)</w:t>
      </w: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6.搬家、过渡费补偿标准</w:t>
      </w: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eastAsia" w:ascii="仿宋_GB2312" w:hAnsi="仿宋" w:eastAsia="仿宋_GB2312" w:cs="Times New Roman"/>
          <w:snapToGrid/>
          <w:kern w:val="2"/>
          <w:sz w:val="32"/>
          <w:szCs w:val="32"/>
          <w:lang w:val="en-US" w:eastAsia="zh-CN" w:bidi="ar-SA"/>
        </w:rPr>
      </w:pPr>
      <w:r>
        <w:rPr>
          <w:rFonts w:hint="eastAsia" w:ascii="仿宋_GB2312" w:hAnsi="仿宋" w:eastAsia="仿宋_GB2312" w:cs="Times New Roman"/>
          <w:snapToGrid/>
          <w:kern w:val="2"/>
          <w:sz w:val="32"/>
          <w:szCs w:val="32"/>
          <w:lang w:val="en-US" w:eastAsia="zh-CN" w:bidi="ar-SA"/>
        </w:rPr>
        <w:t>7.征拆工作费用计提标准</w:t>
      </w: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pStyle w:val="2"/>
        <w:rPr>
          <w:rFonts w:ascii="黑体" w:hAnsi="黑体" w:eastAsia="黑体" w:cs="黑体"/>
          <w:b w:val="0"/>
          <w:bCs w:val="0"/>
          <w:color w:val="auto"/>
          <w:spacing w:val="6"/>
          <w:sz w:val="32"/>
          <w:szCs w:val="32"/>
        </w:rPr>
      </w:pPr>
    </w:p>
    <w:p>
      <w:pPr>
        <w:pStyle w:val="2"/>
        <w:rPr>
          <w:rFonts w:ascii="黑体" w:hAnsi="黑体" w:eastAsia="黑体" w:cs="黑体"/>
          <w:b w:val="0"/>
          <w:bCs w:val="0"/>
          <w:color w:val="auto"/>
          <w:spacing w:val="6"/>
          <w:sz w:val="32"/>
          <w:szCs w:val="32"/>
        </w:rPr>
      </w:pPr>
    </w:p>
    <w:p>
      <w:pPr>
        <w:pStyle w:val="2"/>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z w:val="32"/>
          <w:szCs w:val="32"/>
        </w:rPr>
      </w:pPr>
      <w:r>
        <w:rPr>
          <w:rFonts w:ascii="黑体" w:hAnsi="黑体" w:eastAsia="黑体" w:cs="黑体"/>
          <w:b w:val="0"/>
          <w:bCs w:val="0"/>
          <w:color w:val="auto"/>
          <w:spacing w:val="6"/>
          <w:sz w:val="32"/>
          <w:szCs w:val="32"/>
        </w:rPr>
        <w:t>附件1</w:t>
      </w:r>
    </w:p>
    <w:p>
      <w:pPr>
        <w:spacing w:before="342" w:line="219" w:lineRule="auto"/>
        <w:ind w:left="261"/>
        <w:jc w:val="center"/>
        <w:rPr>
          <w:rFonts w:ascii="宋体" w:hAnsi="宋体" w:eastAsia="宋体" w:cs="宋体"/>
          <w:color w:val="auto"/>
          <w:sz w:val="40"/>
          <w:szCs w:val="40"/>
        </w:rPr>
      </w:pPr>
      <w:r>
        <w:rPr>
          <w:rFonts w:ascii="宋体" w:hAnsi="宋体" w:eastAsia="宋体" w:cs="宋体"/>
          <w:b/>
          <w:bCs/>
          <w:color w:val="auto"/>
          <w:spacing w:val="-11"/>
          <w:sz w:val="40"/>
          <w:szCs w:val="40"/>
        </w:rPr>
        <w:t>集体土地上青苗和农业附属设施包干补偿标准</w:t>
      </w:r>
    </w:p>
    <w:p>
      <w:pPr>
        <w:spacing w:before="269" w:line="222" w:lineRule="auto"/>
        <w:ind w:right="41"/>
        <w:jc w:val="right"/>
        <w:rPr>
          <w:rFonts w:ascii="黑体" w:hAnsi="黑体" w:eastAsia="黑体" w:cs="黑体"/>
          <w:sz w:val="25"/>
          <w:szCs w:val="25"/>
        </w:rPr>
      </w:pPr>
      <w:r>
        <w:rPr>
          <w:rFonts w:ascii="黑体" w:hAnsi="黑体" w:eastAsia="黑体" w:cs="黑体"/>
          <w:spacing w:val="-11"/>
          <w:sz w:val="25"/>
          <w:szCs w:val="25"/>
        </w:rPr>
        <w:t>单位：元/亩</w:t>
      </w:r>
    </w:p>
    <w:p>
      <w:pPr>
        <w:spacing w:line="104" w:lineRule="exact"/>
      </w:pPr>
    </w:p>
    <w:tbl>
      <w:tblPr>
        <w:tblStyle w:val="12"/>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6"/>
        <w:gridCol w:w="1126"/>
        <w:gridCol w:w="1019"/>
        <w:gridCol w:w="5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trPr>
        <w:tc>
          <w:tcPr>
            <w:tcW w:w="1896" w:type="dxa"/>
            <w:vMerge w:val="restart"/>
            <w:tcBorders>
              <w:bottom w:val="nil"/>
            </w:tcBorders>
            <w:vAlign w:val="top"/>
          </w:tcPr>
          <w:p>
            <w:pPr>
              <w:spacing w:line="324" w:lineRule="auto"/>
              <w:rPr>
                <w:rFonts w:ascii="Arial"/>
                <w:sz w:val="21"/>
              </w:rPr>
            </w:pPr>
          </w:p>
          <w:p>
            <w:pPr>
              <w:spacing w:line="325" w:lineRule="auto"/>
              <w:rPr>
                <w:rFonts w:ascii="Arial"/>
                <w:sz w:val="21"/>
              </w:rPr>
            </w:pPr>
          </w:p>
          <w:p>
            <w:pPr>
              <w:spacing w:before="78" w:line="219" w:lineRule="auto"/>
              <w:ind w:left="518"/>
              <w:rPr>
                <w:rFonts w:ascii="宋体" w:hAnsi="宋体" w:eastAsia="宋体" w:cs="宋体"/>
                <w:sz w:val="24"/>
                <w:szCs w:val="24"/>
              </w:rPr>
            </w:pPr>
            <w:r>
              <w:rPr>
                <w:rFonts w:ascii="宋体" w:hAnsi="宋体" w:eastAsia="宋体" w:cs="宋体"/>
                <w:b/>
                <w:bCs/>
                <w:sz w:val="24"/>
                <w:szCs w:val="24"/>
              </w:rPr>
              <w:t>土地类别</w:t>
            </w:r>
          </w:p>
        </w:tc>
        <w:tc>
          <w:tcPr>
            <w:tcW w:w="2145" w:type="dxa"/>
            <w:gridSpan w:val="2"/>
            <w:vAlign w:val="top"/>
          </w:tcPr>
          <w:p>
            <w:pPr>
              <w:spacing w:before="309" w:line="219" w:lineRule="auto"/>
              <w:ind w:left="325"/>
              <w:rPr>
                <w:rFonts w:ascii="宋体" w:hAnsi="宋体" w:eastAsia="宋体" w:cs="宋体"/>
                <w:sz w:val="24"/>
                <w:szCs w:val="24"/>
              </w:rPr>
            </w:pPr>
            <w:r>
              <w:rPr>
                <w:rFonts w:ascii="宋体" w:hAnsi="宋体" w:eastAsia="宋体" w:cs="宋体"/>
                <w:b/>
                <w:bCs/>
                <w:spacing w:val="-4"/>
                <w:sz w:val="24"/>
                <w:szCs w:val="24"/>
              </w:rPr>
              <w:t>包干补偿标准</w:t>
            </w:r>
          </w:p>
        </w:tc>
        <w:tc>
          <w:tcPr>
            <w:tcW w:w="5039" w:type="dxa"/>
            <w:vMerge w:val="restart"/>
            <w:tcBorders>
              <w:bottom w:val="nil"/>
            </w:tcBorders>
            <w:vAlign w:val="top"/>
          </w:tcPr>
          <w:p>
            <w:pPr>
              <w:spacing w:line="325" w:lineRule="auto"/>
              <w:rPr>
                <w:rFonts w:ascii="Arial"/>
                <w:sz w:val="21"/>
              </w:rPr>
            </w:pPr>
          </w:p>
          <w:p>
            <w:pPr>
              <w:spacing w:line="325" w:lineRule="auto"/>
              <w:rPr>
                <w:rFonts w:ascii="Arial"/>
                <w:sz w:val="21"/>
              </w:rPr>
            </w:pPr>
          </w:p>
          <w:p>
            <w:pPr>
              <w:spacing w:before="78" w:line="220" w:lineRule="auto"/>
              <w:ind w:left="2047"/>
              <w:rPr>
                <w:rFonts w:ascii="宋体" w:hAnsi="宋体" w:eastAsia="宋体" w:cs="宋体"/>
                <w:sz w:val="24"/>
                <w:szCs w:val="24"/>
              </w:rPr>
            </w:pPr>
            <w:r>
              <w:rPr>
                <w:rFonts w:ascii="宋体" w:hAnsi="宋体" w:eastAsia="宋体" w:cs="宋体"/>
                <w:b/>
                <w:bCs/>
                <w:spacing w:val="-5"/>
                <w:sz w:val="24"/>
                <w:szCs w:val="24"/>
              </w:rPr>
              <w:t>补偿要求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896" w:type="dxa"/>
            <w:vMerge w:val="continue"/>
            <w:tcBorders>
              <w:top w:val="nil"/>
            </w:tcBorders>
            <w:vAlign w:val="top"/>
          </w:tcPr>
          <w:p>
            <w:pPr>
              <w:rPr>
                <w:rFonts w:ascii="Arial"/>
                <w:sz w:val="21"/>
              </w:rPr>
            </w:pPr>
          </w:p>
        </w:tc>
        <w:tc>
          <w:tcPr>
            <w:tcW w:w="1126" w:type="dxa"/>
            <w:vAlign w:val="top"/>
          </w:tcPr>
          <w:p>
            <w:pPr>
              <w:spacing w:before="129" w:line="234" w:lineRule="auto"/>
              <w:ind w:left="322" w:right="184"/>
              <w:rPr>
                <w:rFonts w:ascii="宋体" w:hAnsi="宋体" w:eastAsia="宋体" w:cs="宋体"/>
                <w:b/>
                <w:bCs/>
                <w:sz w:val="24"/>
                <w:szCs w:val="24"/>
              </w:rPr>
            </w:pPr>
            <w:r>
              <w:rPr>
                <w:rFonts w:ascii="宋体" w:hAnsi="宋体" w:eastAsia="宋体" w:cs="宋体"/>
                <w:b/>
                <w:bCs/>
                <w:spacing w:val="5"/>
                <w:sz w:val="24"/>
                <w:szCs w:val="24"/>
              </w:rPr>
              <w:t>青苗</w:t>
            </w:r>
            <w:r>
              <w:rPr>
                <w:rFonts w:ascii="宋体" w:hAnsi="宋体" w:eastAsia="宋体" w:cs="宋体"/>
                <w:b/>
                <w:bCs/>
                <w:sz w:val="24"/>
                <w:szCs w:val="24"/>
              </w:rPr>
              <w:t xml:space="preserve"> </w:t>
            </w:r>
            <w:r>
              <w:rPr>
                <w:rFonts w:ascii="宋体" w:hAnsi="宋体" w:eastAsia="宋体" w:cs="宋体"/>
                <w:b/>
                <w:bCs/>
                <w:spacing w:val="6"/>
                <w:sz w:val="24"/>
                <w:szCs w:val="24"/>
              </w:rPr>
              <w:t>补偿</w:t>
            </w:r>
          </w:p>
        </w:tc>
        <w:tc>
          <w:tcPr>
            <w:tcW w:w="1019" w:type="dxa"/>
            <w:vAlign w:val="top"/>
          </w:tcPr>
          <w:p>
            <w:pPr>
              <w:spacing w:before="138" w:line="231" w:lineRule="auto"/>
              <w:ind w:left="312" w:right="195"/>
              <w:rPr>
                <w:rFonts w:ascii="宋体" w:hAnsi="宋体" w:eastAsia="宋体" w:cs="宋体"/>
                <w:b/>
                <w:bCs/>
                <w:sz w:val="24"/>
                <w:szCs w:val="24"/>
              </w:rPr>
            </w:pPr>
            <w:r>
              <w:rPr>
                <w:rFonts w:ascii="宋体" w:hAnsi="宋体" w:eastAsia="宋体" w:cs="宋体"/>
                <w:b/>
                <w:bCs/>
                <w:spacing w:val="10"/>
                <w:sz w:val="24"/>
                <w:szCs w:val="24"/>
              </w:rPr>
              <w:t>附属</w:t>
            </w:r>
            <w:r>
              <w:rPr>
                <w:rFonts w:ascii="宋体" w:hAnsi="宋体" w:eastAsia="宋体" w:cs="宋体"/>
                <w:b/>
                <w:bCs/>
                <w:sz w:val="24"/>
                <w:szCs w:val="24"/>
              </w:rPr>
              <w:t xml:space="preserve"> </w:t>
            </w:r>
            <w:r>
              <w:rPr>
                <w:rFonts w:ascii="宋体" w:hAnsi="宋体" w:eastAsia="宋体" w:cs="宋体"/>
                <w:b/>
                <w:bCs/>
                <w:spacing w:val="5"/>
                <w:sz w:val="24"/>
                <w:szCs w:val="24"/>
              </w:rPr>
              <w:t>设施</w:t>
            </w:r>
          </w:p>
        </w:tc>
        <w:tc>
          <w:tcPr>
            <w:tcW w:w="5039"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5" w:hRule="atLeast"/>
        </w:trPr>
        <w:tc>
          <w:tcPr>
            <w:tcW w:w="189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8" w:line="219" w:lineRule="auto"/>
              <w:ind w:left="754"/>
              <w:rPr>
                <w:rFonts w:ascii="宋体" w:hAnsi="宋体" w:eastAsia="宋体" w:cs="宋体"/>
                <w:sz w:val="24"/>
                <w:szCs w:val="24"/>
              </w:rPr>
            </w:pPr>
            <w:r>
              <w:rPr>
                <w:rFonts w:ascii="宋体" w:hAnsi="宋体" w:eastAsia="宋体" w:cs="宋体"/>
                <w:spacing w:val="15"/>
                <w:sz w:val="24"/>
                <w:szCs w:val="24"/>
              </w:rPr>
              <w:t>水田</w:t>
            </w:r>
          </w:p>
        </w:tc>
        <w:tc>
          <w:tcPr>
            <w:tcW w:w="1126" w:type="dxa"/>
            <w:vAlign w:val="center"/>
          </w:tcPr>
          <w:p>
            <w:pPr>
              <w:spacing w:before="78" w:line="248" w:lineRule="auto"/>
              <w:ind w:right="73"/>
              <w:jc w:val="center"/>
              <w:rPr>
                <w:rFonts w:hint="eastAsia" w:ascii="宋体" w:hAnsi="宋体" w:eastAsia="宋体" w:cs="宋体"/>
                <w:color w:val="auto"/>
                <w:sz w:val="24"/>
                <w:szCs w:val="24"/>
                <w:lang w:val="en-US" w:eastAsia="zh-CN"/>
              </w:rPr>
            </w:pPr>
          </w:p>
          <w:p>
            <w:pPr>
              <w:spacing w:before="78" w:line="248" w:lineRule="auto"/>
              <w:ind w:right="73"/>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3825</w:t>
            </w:r>
          </w:p>
        </w:tc>
        <w:tc>
          <w:tcPr>
            <w:tcW w:w="1019" w:type="dxa"/>
            <w:vAlign w:val="center"/>
          </w:tcPr>
          <w:p>
            <w:pPr>
              <w:spacing w:before="78" w:line="248" w:lineRule="auto"/>
              <w:ind w:right="73"/>
              <w:jc w:val="both"/>
              <w:rPr>
                <w:rFonts w:hint="eastAsia" w:ascii="宋体" w:hAnsi="宋体" w:eastAsia="宋体" w:cs="宋体"/>
                <w:color w:val="auto"/>
                <w:sz w:val="24"/>
                <w:szCs w:val="24"/>
                <w:lang w:val="en-US" w:eastAsia="zh-CN"/>
              </w:rPr>
            </w:pPr>
          </w:p>
          <w:p>
            <w:pPr>
              <w:spacing w:before="78" w:line="248" w:lineRule="auto"/>
              <w:ind w:right="73"/>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3400</w:t>
            </w:r>
          </w:p>
        </w:tc>
        <w:tc>
          <w:tcPr>
            <w:tcW w:w="5039" w:type="dxa"/>
            <w:vMerge w:val="restart"/>
            <w:tcBorders>
              <w:bottom w:val="nil"/>
            </w:tcBorders>
            <w:vAlign w:val="top"/>
          </w:tcPr>
          <w:p>
            <w:pPr>
              <w:spacing w:before="78" w:line="248" w:lineRule="auto"/>
              <w:ind w:left="94" w:right="73" w:firstLine="530"/>
              <w:rPr>
                <w:rFonts w:ascii="宋体" w:hAnsi="宋体" w:eastAsia="宋体" w:cs="宋体"/>
                <w:sz w:val="24"/>
                <w:szCs w:val="24"/>
              </w:rPr>
            </w:pPr>
          </w:p>
          <w:p>
            <w:pPr>
              <w:spacing w:before="78" w:line="248" w:lineRule="auto"/>
              <w:ind w:left="94" w:right="73" w:firstLine="530"/>
              <w:rPr>
                <w:rFonts w:ascii="宋体" w:hAnsi="宋体" w:eastAsia="宋体" w:cs="宋体"/>
                <w:sz w:val="24"/>
                <w:szCs w:val="24"/>
              </w:rPr>
            </w:pPr>
          </w:p>
          <w:p>
            <w:pPr>
              <w:spacing w:before="78" w:line="248" w:lineRule="auto"/>
              <w:ind w:left="94" w:right="73" w:firstLine="530"/>
              <w:rPr>
                <w:rFonts w:ascii="宋体" w:hAnsi="宋体" w:eastAsia="宋体" w:cs="宋体"/>
                <w:sz w:val="24"/>
                <w:szCs w:val="24"/>
              </w:rPr>
            </w:pP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1.集体土地上所有青苗和附属设施按该土 地类别的征地面积计算补偿，农业附属设施按照谁投入谁受益的原则进行补偿。</w:t>
            </w: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2.集体土地上无附属设施的，按该土地类别附属设施补偿标准的50</w:t>
            </w:r>
            <w:r>
              <w:rPr>
                <w:rFonts w:hint="eastAsia" w:ascii="宋体" w:hAnsi="宋体" w:eastAsia="宋体" w:cs="宋体"/>
                <w:sz w:val="24"/>
                <w:szCs w:val="24"/>
                <w:lang w:val="en-US" w:eastAsia="zh-CN"/>
              </w:rPr>
              <w:t>%</w:t>
            </w:r>
            <w:r>
              <w:rPr>
                <w:rFonts w:ascii="宋体" w:hAnsi="宋体" w:eastAsia="宋体" w:cs="宋体"/>
                <w:sz w:val="24"/>
                <w:szCs w:val="24"/>
              </w:rPr>
              <w:t>补偿。</w:t>
            </w: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3.水田在插秧前已投成本，按青苗补偿标 准的50</w:t>
            </w:r>
            <w:r>
              <w:rPr>
                <w:rFonts w:hint="eastAsia" w:ascii="宋体" w:hAnsi="宋体" w:eastAsia="宋体" w:cs="宋体"/>
                <w:sz w:val="24"/>
                <w:szCs w:val="24"/>
                <w:lang w:val="en-US" w:eastAsia="zh-CN"/>
              </w:rPr>
              <w:t>%</w:t>
            </w:r>
            <w:r>
              <w:rPr>
                <w:rFonts w:ascii="宋体" w:hAnsi="宋体" w:eastAsia="宋体" w:cs="宋体"/>
                <w:sz w:val="24"/>
                <w:szCs w:val="24"/>
              </w:rPr>
              <w:t>补偿，插秧后按100</w:t>
            </w:r>
            <w:r>
              <w:rPr>
                <w:rFonts w:hint="eastAsia" w:ascii="宋体" w:hAnsi="宋体" w:eastAsia="宋体" w:cs="宋体"/>
                <w:sz w:val="24"/>
                <w:szCs w:val="24"/>
                <w:lang w:val="en-US" w:eastAsia="zh-CN"/>
              </w:rPr>
              <w:t>%</w:t>
            </w:r>
            <w:r>
              <w:rPr>
                <w:rFonts w:ascii="宋体" w:hAnsi="宋体" w:eastAsia="宋体" w:cs="宋体"/>
                <w:sz w:val="24"/>
                <w:szCs w:val="24"/>
              </w:rPr>
              <w:t>标准补偿。藕田 参照执行。</w:t>
            </w: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4.旱地作物冬春季青苗按50</w:t>
            </w:r>
            <w:r>
              <w:rPr>
                <w:rFonts w:hint="eastAsia" w:ascii="宋体" w:hAnsi="宋体" w:eastAsia="宋体" w:cs="宋体"/>
                <w:sz w:val="24"/>
                <w:szCs w:val="24"/>
                <w:lang w:val="en-US" w:eastAsia="zh-CN"/>
              </w:rPr>
              <w:t>%</w:t>
            </w:r>
            <w:r>
              <w:rPr>
                <w:rFonts w:ascii="宋体" w:hAnsi="宋体" w:eastAsia="宋体" w:cs="宋体"/>
                <w:sz w:val="24"/>
                <w:szCs w:val="24"/>
              </w:rPr>
              <w:t>外偿，夏秋季按100</w:t>
            </w:r>
            <w:r>
              <w:rPr>
                <w:rFonts w:hint="eastAsia" w:ascii="宋体" w:hAnsi="宋体" w:eastAsia="宋体" w:cs="宋体"/>
                <w:sz w:val="24"/>
                <w:szCs w:val="24"/>
                <w:lang w:val="en-US" w:eastAsia="zh-CN"/>
              </w:rPr>
              <w:t>%</w:t>
            </w:r>
            <w:r>
              <w:rPr>
                <w:rFonts w:ascii="宋体" w:hAnsi="宋体" w:eastAsia="宋体" w:cs="宋体"/>
                <w:sz w:val="24"/>
                <w:szCs w:val="24"/>
              </w:rPr>
              <w:t>补偿。</w:t>
            </w: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5.耕地荒芜的，不给予青苗补偿。</w:t>
            </w:r>
          </w:p>
          <w:p>
            <w:pPr>
              <w:spacing w:before="78" w:line="248" w:lineRule="auto"/>
              <w:ind w:left="94" w:right="73" w:firstLine="530"/>
              <w:rPr>
                <w:rFonts w:hint="eastAsia" w:ascii="宋体" w:hAnsi="宋体" w:eastAsia="宋体" w:cs="宋体"/>
                <w:sz w:val="24"/>
                <w:szCs w:val="24"/>
                <w:lang w:eastAsia="zh-CN"/>
              </w:rPr>
            </w:pPr>
            <w:r>
              <w:rPr>
                <w:rFonts w:ascii="宋体" w:hAnsi="宋体" w:eastAsia="宋体" w:cs="宋体"/>
                <w:sz w:val="24"/>
                <w:szCs w:val="24"/>
              </w:rPr>
              <w:t>6.种植面积在土地坡度大于25度以上的青 苗，计算补偿面积时，原则上以实际丈量面积 为准，确因特殊情况不能实地丈量，则按征地 红线图上的测算面积增加10%</w:t>
            </w:r>
            <w:r>
              <w:rPr>
                <w:rFonts w:hint="eastAsia" w:ascii="宋体" w:hAnsi="宋体" w:eastAsia="宋体" w:cs="宋体"/>
                <w:sz w:val="24"/>
                <w:szCs w:val="24"/>
                <w:lang w:eastAsia="zh-CN"/>
              </w:rPr>
              <w:t>。</w:t>
            </w:r>
          </w:p>
          <w:p>
            <w:pPr>
              <w:spacing w:before="78" w:line="248" w:lineRule="auto"/>
              <w:ind w:left="94" w:right="73" w:firstLine="530"/>
              <w:rPr>
                <w:rFonts w:ascii="宋体" w:hAnsi="宋体" w:eastAsia="宋体" w:cs="宋体"/>
                <w:sz w:val="24"/>
                <w:szCs w:val="24"/>
              </w:rPr>
            </w:pPr>
            <w:r>
              <w:rPr>
                <w:rFonts w:ascii="宋体" w:hAnsi="宋体" w:eastAsia="宋体" w:cs="宋体"/>
                <w:sz w:val="24"/>
                <w:szCs w:val="24"/>
              </w:rPr>
              <w:t>7.水田是指用于种植水稻、莲藕等水生农 作物的耕地，包括实行水生、旱生农作物轮种</w:t>
            </w:r>
          </w:p>
          <w:p>
            <w:pPr>
              <w:spacing w:before="78" w:line="248" w:lineRule="auto"/>
              <w:ind w:right="73"/>
              <w:rPr>
                <w:rFonts w:ascii="宋体" w:hAnsi="宋体" w:eastAsia="宋体" w:cs="宋体"/>
                <w:sz w:val="24"/>
                <w:szCs w:val="24"/>
              </w:rPr>
            </w:pPr>
            <w:r>
              <w:rPr>
                <w:rFonts w:ascii="宋体" w:hAnsi="宋体" w:eastAsia="宋体" w:cs="宋体"/>
                <w:sz w:val="24"/>
                <w:szCs w:val="24"/>
              </w:rPr>
              <w:t>的耕地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1" w:hRule="atLeast"/>
        </w:trPr>
        <w:tc>
          <w:tcPr>
            <w:tcW w:w="189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78" w:line="221" w:lineRule="auto"/>
              <w:ind w:left="754"/>
              <w:rPr>
                <w:rFonts w:ascii="宋体" w:hAnsi="宋体" w:eastAsia="宋体" w:cs="宋体"/>
                <w:sz w:val="24"/>
                <w:szCs w:val="24"/>
              </w:rPr>
            </w:pPr>
            <w:r>
              <w:rPr>
                <w:rFonts w:ascii="宋体" w:hAnsi="宋体" w:eastAsia="宋体" w:cs="宋体"/>
                <w:spacing w:val="4"/>
                <w:sz w:val="24"/>
                <w:szCs w:val="24"/>
              </w:rPr>
              <w:t>旱地</w:t>
            </w:r>
          </w:p>
        </w:tc>
        <w:tc>
          <w:tcPr>
            <w:tcW w:w="1126" w:type="dxa"/>
            <w:vAlign w:val="center"/>
          </w:tcPr>
          <w:p>
            <w:pPr>
              <w:spacing w:before="78" w:line="183" w:lineRule="auto"/>
              <w:jc w:val="center"/>
              <w:rPr>
                <w:rFonts w:hint="eastAsia" w:ascii="宋体" w:hAnsi="宋体" w:eastAsia="宋体" w:cs="宋体"/>
                <w:color w:val="auto"/>
                <w:spacing w:val="-3"/>
                <w:sz w:val="24"/>
                <w:szCs w:val="24"/>
                <w:lang w:val="en-US" w:eastAsia="zh-CN"/>
              </w:rPr>
            </w:pPr>
          </w:p>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2125</w:t>
            </w:r>
          </w:p>
        </w:tc>
        <w:tc>
          <w:tcPr>
            <w:tcW w:w="1019" w:type="dxa"/>
            <w:vAlign w:val="center"/>
          </w:tcPr>
          <w:p>
            <w:pPr>
              <w:spacing w:before="78" w:line="183" w:lineRule="auto"/>
              <w:jc w:val="center"/>
              <w:rPr>
                <w:rFonts w:hint="default" w:ascii="宋体" w:hAnsi="宋体" w:eastAsia="宋体" w:cs="宋体"/>
                <w:color w:val="auto"/>
                <w:spacing w:val="-3"/>
                <w:sz w:val="24"/>
                <w:szCs w:val="24"/>
                <w:lang w:val="en-US" w:eastAsia="zh-CN"/>
              </w:rPr>
            </w:pPr>
          </w:p>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1700</w:t>
            </w:r>
          </w:p>
        </w:tc>
        <w:tc>
          <w:tcPr>
            <w:tcW w:w="5039" w:type="dxa"/>
            <w:vMerge w:val="continue"/>
            <w:tcBorders>
              <w:top w:val="nil"/>
            </w:tcBorders>
            <w:vAlign w:val="top"/>
          </w:tcPr>
          <w:p>
            <w:pPr>
              <w:rPr>
                <w:rFonts w:ascii="Arial"/>
                <w:sz w:val="21"/>
              </w:rPr>
            </w:pPr>
          </w:p>
        </w:tc>
      </w:tr>
    </w:tbl>
    <w:p>
      <w:pPr>
        <w:spacing w:line="232" w:lineRule="exact"/>
        <w:rPr>
          <w:rFonts w:ascii="Arial"/>
          <w:sz w:val="20"/>
        </w:rPr>
      </w:pPr>
    </w:p>
    <w:p>
      <w:pPr>
        <w:spacing w:line="207" w:lineRule="exact"/>
      </w:pPr>
    </w:p>
    <w:tbl>
      <w:tblPr>
        <w:tblStyle w:val="12"/>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999"/>
        <w:gridCol w:w="1019"/>
        <w:gridCol w:w="1009"/>
        <w:gridCol w:w="5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012" w:type="dxa"/>
            <w:gridSpan w:val="2"/>
            <w:vMerge w:val="restart"/>
            <w:tcBorders>
              <w:bottom w:val="nil"/>
            </w:tcBorders>
            <w:vAlign w:val="top"/>
          </w:tcPr>
          <w:p>
            <w:pPr>
              <w:spacing w:line="326" w:lineRule="auto"/>
              <w:rPr>
                <w:rFonts w:ascii="Arial"/>
                <w:sz w:val="21"/>
              </w:rPr>
            </w:pPr>
          </w:p>
          <w:p>
            <w:pPr>
              <w:spacing w:line="326" w:lineRule="auto"/>
              <w:rPr>
                <w:rFonts w:ascii="Arial"/>
                <w:sz w:val="21"/>
              </w:rPr>
            </w:pPr>
          </w:p>
          <w:p>
            <w:pPr>
              <w:spacing w:before="75" w:line="219" w:lineRule="auto"/>
              <w:ind w:left="538"/>
              <w:rPr>
                <w:rFonts w:ascii="宋体" w:hAnsi="宋体" w:eastAsia="宋体" w:cs="宋体"/>
                <w:sz w:val="23"/>
                <w:szCs w:val="23"/>
              </w:rPr>
            </w:pPr>
            <w:r>
              <w:rPr>
                <w:rFonts w:ascii="宋体" w:hAnsi="宋体" w:eastAsia="宋体" w:cs="宋体"/>
                <w:b/>
                <w:bCs/>
                <w:sz w:val="23"/>
                <w:szCs w:val="23"/>
              </w:rPr>
              <w:t>土地类别</w:t>
            </w:r>
          </w:p>
        </w:tc>
        <w:tc>
          <w:tcPr>
            <w:tcW w:w="2028" w:type="dxa"/>
            <w:gridSpan w:val="2"/>
            <w:vAlign w:val="top"/>
          </w:tcPr>
          <w:p>
            <w:pPr>
              <w:spacing w:before="299" w:line="219" w:lineRule="auto"/>
              <w:ind w:left="316"/>
              <w:rPr>
                <w:rFonts w:ascii="宋体" w:hAnsi="宋体" w:eastAsia="宋体" w:cs="宋体"/>
                <w:sz w:val="23"/>
                <w:szCs w:val="23"/>
              </w:rPr>
            </w:pPr>
            <w:r>
              <w:rPr>
                <w:rFonts w:ascii="宋体" w:hAnsi="宋体" w:eastAsia="宋体" w:cs="宋体"/>
                <w:b/>
                <w:bCs/>
                <w:spacing w:val="-4"/>
                <w:sz w:val="23"/>
                <w:szCs w:val="23"/>
              </w:rPr>
              <w:t>包干补偿标准</w:t>
            </w:r>
          </w:p>
        </w:tc>
        <w:tc>
          <w:tcPr>
            <w:tcW w:w="5019" w:type="dxa"/>
            <w:vMerge w:val="restart"/>
            <w:tcBorders>
              <w:bottom w:val="nil"/>
            </w:tcBorders>
            <w:vAlign w:val="top"/>
          </w:tcPr>
          <w:p>
            <w:pPr>
              <w:spacing w:line="326" w:lineRule="auto"/>
              <w:rPr>
                <w:rFonts w:ascii="Arial"/>
                <w:sz w:val="21"/>
              </w:rPr>
            </w:pPr>
          </w:p>
          <w:p>
            <w:pPr>
              <w:spacing w:line="327" w:lineRule="auto"/>
              <w:rPr>
                <w:rFonts w:ascii="Arial"/>
                <w:sz w:val="21"/>
              </w:rPr>
            </w:pPr>
          </w:p>
          <w:p>
            <w:pPr>
              <w:spacing w:before="74" w:line="220" w:lineRule="auto"/>
              <w:ind w:left="2028"/>
              <w:rPr>
                <w:rFonts w:ascii="宋体" w:hAnsi="宋体" w:eastAsia="宋体" w:cs="宋体"/>
                <w:sz w:val="23"/>
                <w:szCs w:val="23"/>
              </w:rPr>
            </w:pPr>
            <w:r>
              <w:rPr>
                <w:rFonts w:ascii="宋体" w:hAnsi="宋体" w:eastAsia="宋体" w:cs="宋体"/>
                <w:b/>
                <w:bCs/>
                <w:spacing w:val="8"/>
                <w:sz w:val="23"/>
                <w:szCs w:val="23"/>
              </w:rPr>
              <w:t>补偿要求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012" w:type="dxa"/>
            <w:gridSpan w:val="2"/>
            <w:vMerge w:val="continue"/>
            <w:tcBorders>
              <w:top w:val="nil"/>
            </w:tcBorders>
            <w:vAlign w:val="top"/>
          </w:tcPr>
          <w:p>
            <w:pPr>
              <w:rPr>
                <w:rFonts w:ascii="Arial"/>
                <w:sz w:val="21"/>
              </w:rPr>
            </w:pPr>
          </w:p>
        </w:tc>
        <w:tc>
          <w:tcPr>
            <w:tcW w:w="1019" w:type="dxa"/>
            <w:vAlign w:val="top"/>
          </w:tcPr>
          <w:p>
            <w:pPr>
              <w:spacing w:before="129" w:line="322" w:lineRule="exact"/>
              <w:ind w:left="313"/>
              <w:rPr>
                <w:rFonts w:ascii="宋体" w:hAnsi="宋体" w:eastAsia="宋体" w:cs="宋体"/>
                <w:b/>
                <w:bCs/>
                <w:sz w:val="23"/>
                <w:szCs w:val="23"/>
              </w:rPr>
            </w:pPr>
            <w:r>
              <w:rPr>
                <w:rFonts w:ascii="宋体" w:hAnsi="宋体" w:eastAsia="宋体" w:cs="宋体"/>
                <w:b/>
                <w:bCs/>
                <w:spacing w:val="-3"/>
                <w:position w:val="6"/>
                <w:sz w:val="23"/>
                <w:szCs w:val="23"/>
              </w:rPr>
              <w:t>青苗</w:t>
            </w:r>
          </w:p>
          <w:p>
            <w:pPr>
              <w:spacing w:line="220" w:lineRule="auto"/>
              <w:ind w:left="313"/>
              <w:rPr>
                <w:rFonts w:ascii="宋体" w:hAnsi="宋体" w:eastAsia="宋体" w:cs="宋体"/>
                <w:b/>
                <w:bCs/>
                <w:sz w:val="23"/>
                <w:szCs w:val="23"/>
              </w:rPr>
            </w:pPr>
            <w:r>
              <w:rPr>
                <w:rFonts w:ascii="宋体" w:hAnsi="宋体" w:eastAsia="宋体" w:cs="宋体"/>
                <w:b/>
                <w:bCs/>
                <w:spacing w:val="5"/>
                <w:sz w:val="23"/>
                <w:szCs w:val="23"/>
              </w:rPr>
              <w:t>补偿</w:t>
            </w:r>
          </w:p>
        </w:tc>
        <w:tc>
          <w:tcPr>
            <w:tcW w:w="1009" w:type="dxa"/>
            <w:vAlign w:val="top"/>
          </w:tcPr>
          <w:p>
            <w:pPr>
              <w:spacing w:before="139" w:line="244" w:lineRule="auto"/>
              <w:ind w:left="323" w:right="195"/>
              <w:rPr>
                <w:rFonts w:ascii="宋体" w:hAnsi="宋体" w:eastAsia="宋体" w:cs="宋体"/>
                <w:b/>
                <w:bCs/>
                <w:sz w:val="23"/>
                <w:szCs w:val="23"/>
              </w:rPr>
            </w:pPr>
            <w:r>
              <w:rPr>
                <w:rFonts w:ascii="宋体" w:hAnsi="宋体" w:eastAsia="宋体" w:cs="宋体"/>
                <w:b/>
                <w:bCs/>
                <w:spacing w:val="9"/>
                <w:sz w:val="23"/>
                <w:szCs w:val="23"/>
              </w:rPr>
              <w:t>附属</w:t>
            </w:r>
            <w:r>
              <w:rPr>
                <w:rFonts w:ascii="宋体" w:hAnsi="宋体" w:eastAsia="宋体" w:cs="宋体"/>
                <w:b/>
                <w:bCs/>
                <w:sz w:val="23"/>
                <w:szCs w:val="23"/>
              </w:rPr>
              <w:t xml:space="preserve"> </w:t>
            </w:r>
            <w:r>
              <w:rPr>
                <w:rFonts w:ascii="宋体" w:hAnsi="宋体" w:eastAsia="宋体" w:cs="宋体"/>
                <w:b/>
                <w:bCs/>
                <w:spacing w:val="5"/>
                <w:sz w:val="23"/>
                <w:szCs w:val="23"/>
              </w:rPr>
              <w:t>设施</w:t>
            </w:r>
          </w:p>
        </w:tc>
        <w:tc>
          <w:tcPr>
            <w:tcW w:w="5019"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trPr>
        <w:tc>
          <w:tcPr>
            <w:tcW w:w="2012" w:type="dxa"/>
            <w:gridSpan w:val="2"/>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75" w:line="219" w:lineRule="auto"/>
              <w:ind w:left="654"/>
              <w:rPr>
                <w:rFonts w:ascii="宋体" w:hAnsi="宋体" w:eastAsia="宋体" w:cs="宋体"/>
                <w:sz w:val="23"/>
                <w:szCs w:val="23"/>
              </w:rPr>
            </w:pPr>
            <w:r>
              <w:rPr>
                <w:rFonts w:ascii="宋体" w:hAnsi="宋体" w:eastAsia="宋体" w:cs="宋体"/>
                <w:spacing w:val="2"/>
                <w:sz w:val="23"/>
                <w:szCs w:val="23"/>
              </w:rPr>
              <w:t>水浇地</w:t>
            </w:r>
          </w:p>
        </w:tc>
        <w:tc>
          <w:tcPr>
            <w:tcW w:w="1019" w:type="dxa"/>
            <w:vAlign w:val="center"/>
          </w:tcPr>
          <w:p>
            <w:pPr>
              <w:spacing w:before="75" w:line="219" w:lineRule="auto"/>
              <w:jc w:val="center"/>
              <w:rPr>
                <w:rFonts w:hint="default" w:ascii="宋体" w:hAnsi="宋体" w:eastAsia="宋体" w:cs="宋体"/>
                <w:color w:val="auto"/>
                <w:spacing w:val="2"/>
                <w:sz w:val="23"/>
                <w:szCs w:val="23"/>
                <w:lang w:val="en-US" w:eastAsia="zh-CN"/>
              </w:rPr>
            </w:pPr>
            <w:r>
              <w:rPr>
                <w:rFonts w:hint="eastAsia" w:ascii="宋体" w:hAnsi="宋体" w:eastAsia="宋体" w:cs="宋体"/>
                <w:color w:val="auto"/>
                <w:spacing w:val="2"/>
                <w:sz w:val="23"/>
                <w:szCs w:val="23"/>
                <w:lang w:val="en-US" w:eastAsia="zh-CN"/>
              </w:rPr>
              <w:t>4930</w:t>
            </w:r>
          </w:p>
        </w:tc>
        <w:tc>
          <w:tcPr>
            <w:tcW w:w="1009" w:type="dxa"/>
            <w:vAlign w:val="center"/>
          </w:tcPr>
          <w:p>
            <w:pPr>
              <w:spacing w:before="75" w:line="219" w:lineRule="auto"/>
              <w:jc w:val="center"/>
              <w:rPr>
                <w:rFonts w:hint="default" w:ascii="宋体" w:hAnsi="宋体" w:eastAsia="宋体" w:cs="宋体"/>
                <w:color w:val="auto"/>
                <w:spacing w:val="2"/>
                <w:sz w:val="23"/>
                <w:szCs w:val="23"/>
                <w:lang w:val="en-US" w:eastAsia="zh-CN"/>
              </w:rPr>
            </w:pPr>
            <w:r>
              <w:rPr>
                <w:rFonts w:hint="eastAsia" w:ascii="宋体" w:hAnsi="宋体" w:eastAsia="宋体" w:cs="宋体"/>
                <w:color w:val="auto"/>
                <w:spacing w:val="2"/>
                <w:sz w:val="23"/>
                <w:szCs w:val="23"/>
                <w:lang w:val="en-US" w:eastAsia="zh-CN"/>
              </w:rPr>
              <w:t>10200</w:t>
            </w:r>
          </w:p>
        </w:tc>
        <w:tc>
          <w:tcPr>
            <w:tcW w:w="5019" w:type="dxa"/>
            <w:vMerge w:val="restart"/>
            <w:tcBorders>
              <w:bottom w:val="nil"/>
            </w:tcBorders>
            <w:vAlign w:val="top"/>
          </w:tcPr>
          <w:p>
            <w:pPr>
              <w:spacing w:before="75" w:line="219" w:lineRule="auto"/>
              <w:ind w:firstLine="468" w:firstLineChars="200"/>
              <w:rPr>
                <w:rFonts w:ascii="宋体" w:hAnsi="宋体" w:eastAsia="宋体" w:cs="宋体"/>
                <w:spacing w:val="2"/>
                <w:sz w:val="23"/>
                <w:szCs w:val="23"/>
              </w:rPr>
            </w:pPr>
          </w:p>
          <w:p>
            <w:pPr>
              <w:spacing w:before="75" w:line="219" w:lineRule="auto"/>
              <w:ind w:firstLine="468" w:firstLineChars="200"/>
              <w:rPr>
                <w:rFonts w:ascii="宋体" w:hAnsi="宋体" w:eastAsia="宋体" w:cs="宋体"/>
                <w:spacing w:val="2"/>
                <w:sz w:val="23"/>
                <w:szCs w:val="23"/>
              </w:rPr>
            </w:pPr>
          </w:p>
          <w:p>
            <w:pPr>
              <w:spacing w:before="75" w:line="219" w:lineRule="auto"/>
              <w:rPr>
                <w:rFonts w:ascii="宋体" w:hAnsi="宋体" w:eastAsia="宋体" w:cs="宋体"/>
                <w:spacing w:val="2"/>
                <w:sz w:val="23"/>
                <w:szCs w:val="23"/>
              </w:rPr>
            </w:pPr>
          </w:p>
          <w:p>
            <w:pPr>
              <w:spacing w:before="75" w:line="219" w:lineRule="auto"/>
              <w:ind w:firstLine="468" w:firstLineChars="200"/>
              <w:rPr>
                <w:rFonts w:ascii="宋体" w:hAnsi="宋体" w:eastAsia="宋体" w:cs="宋体"/>
                <w:spacing w:val="2"/>
                <w:sz w:val="23"/>
                <w:szCs w:val="23"/>
              </w:rPr>
            </w:pPr>
            <w:r>
              <w:rPr>
                <w:rFonts w:ascii="宋体" w:hAnsi="宋体" w:eastAsia="宋体" w:cs="宋体"/>
                <w:spacing w:val="2"/>
                <w:sz w:val="23"/>
                <w:szCs w:val="23"/>
              </w:rPr>
              <w:t>8.水浇地是指有水源保证和灌溉设施，在一般年景能正常灌溉，种植旱生农作物(含蔬 菜)的耕地，包括种植蔬菜的非工厂化的大棚用 地 。</w:t>
            </w:r>
          </w:p>
          <w:p>
            <w:pPr>
              <w:spacing w:before="75" w:line="219" w:lineRule="auto"/>
              <w:ind w:firstLine="468" w:firstLineChars="200"/>
              <w:rPr>
                <w:rFonts w:ascii="宋体" w:hAnsi="宋体" w:eastAsia="宋体" w:cs="宋体"/>
                <w:spacing w:val="2"/>
                <w:sz w:val="23"/>
                <w:szCs w:val="23"/>
              </w:rPr>
            </w:pPr>
            <w:r>
              <w:rPr>
                <w:rFonts w:ascii="宋体" w:hAnsi="宋体" w:eastAsia="宋体" w:cs="宋体"/>
                <w:spacing w:val="2"/>
                <w:sz w:val="23"/>
                <w:szCs w:val="23"/>
              </w:rPr>
              <w:t>9.旱地是指无灌溉设施，主要靠天然降水 种植旱生农作物的耕地，包括没有灌溉设施仅靠引流淤灌的耕地。</w:t>
            </w:r>
          </w:p>
          <w:p>
            <w:pPr>
              <w:spacing w:before="75" w:line="219" w:lineRule="auto"/>
              <w:ind w:firstLine="468" w:firstLineChars="200"/>
              <w:rPr>
                <w:rFonts w:ascii="宋体" w:hAnsi="宋体" w:eastAsia="宋体" w:cs="宋体"/>
                <w:spacing w:val="2"/>
                <w:sz w:val="23"/>
                <w:szCs w:val="23"/>
              </w:rPr>
            </w:pPr>
            <w:r>
              <w:rPr>
                <w:rFonts w:ascii="宋体" w:hAnsi="宋体" w:eastAsia="宋体" w:cs="宋体"/>
                <w:spacing w:val="2"/>
                <w:sz w:val="23"/>
                <w:szCs w:val="23"/>
              </w:rPr>
              <w:t>10.水产养殖用地指没有灌溉任务专门用 干水产养殖(含特种名贵养殖)的设施农用地(如专业鱼池)。其应达到下列条件：修建规范 塘基路面硬化以上条件，水深常年保持在1.5米以上，排、灌渠及设施功能齐全，各类材质 堤护坡。带有休闲功能的(含垂钓中心等),其附属垂钓设施、停车场地、绿化景观等设施补 偿费：50亩以下(含50亩)的增加2000元/亩</w:t>
            </w:r>
            <w:r>
              <w:rPr>
                <w:rFonts w:hint="eastAsia" w:ascii="宋体" w:hAnsi="宋体" w:eastAsia="宋体" w:cs="宋体"/>
                <w:spacing w:val="2"/>
                <w:sz w:val="23"/>
                <w:szCs w:val="23"/>
                <w:lang w:eastAsia="zh-CN"/>
              </w:rPr>
              <w:t>，</w:t>
            </w:r>
            <w:r>
              <w:rPr>
                <w:rFonts w:ascii="宋体" w:hAnsi="宋体" w:eastAsia="宋体" w:cs="宋体"/>
                <w:spacing w:val="2"/>
                <w:sz w:val="23"/>
                <w:szCs w:val="23"/>
              </w:rPr>
              <w:t>50亩以上的部分增加1000元/亩。水产养殖用地以外的坑塘水面按邻近水田的50</w:t>
            </w:r>
            <w:r>
              <w:rPr>
                <w:rFonts w:hint="eastAsia" w:ascii="宋体" w:hAnsi="宋体" w:eastAsia="宋体" w:cs="宋体"/>
                <w:spacing w:val="2"/>
                <w:sz w:val="23"/>
                <w:szCs w:val="23"/>
                <w:lang w:val="en-US" w:eastAsia="zh-CN"/>
              </w:rPr>
              <w:t>%</w:t>
            </w:r>
            <w:r>
              <w:rPr>
                <w:rFonts w:ascii="宋体" w:hAnsi="宋体" w:eastAsia="宋体" w:cs="宋体"/>
                <w:spacing w:val="2"/>
                <w:sz w:val="23"/>
                <w:szCs w:val="23"/>
              </w:rPr>
              <w:t>补偿。需要移塘养殖的，其青苗补偿费增加0.5倍(包括移塘的人工工资、车辆运输、移塘损失等一切费用 ) 。</w:t>
            </w:r>
          </w:p>
          <w:p>
            <w:pPr>
              <w:spacing w:before="75" w:line="219" w:lineRule="auto"/>
              <w:ind w:firstLine="468" w:firstLineChars="200"/>
              <w:rPr>
                <w:rFonts w:ascii="宋体" w:hAnsi="宋体" w:eastAsia="宋体" w:cs="宋体"/>
                <w:spacing w:val="2"/>
                <w:sz w:val="23"/>
                <w:szCs w:val="23"/>
              </w:rPr>
            </w:pPr>
            <w:r>
              <w:rPr>
                <w:rFonts w:ascii="宋体" w:hAnsi="宋体" w:eastAsia="宋体" w:cs="宋体"/>
                <w:spacing w:val="2"/>
                <w:sz w:val="23"/>
                <w:szCs w:val="23"/>
              </w:rPr>
              <w:t>11.房前屋后自留菜地按水浇地的80</w:t>
            </w:r>
            <w:r>
              <w:rPr>
                <w:rFonts w:hint="eastAsia" w:ascii="宋体" w:hAnsi="宋体" w:eastAsia="宋体" w:cs="宋体"/>
                <w:spacing w:val="2"/>
                <w:sz w:val="23"/>
                <w:szCs w:val="23"/>
                <w:lang w:val="en-US" w:eastAsia="zh-CN"/>
              </w:rPr>
              <w:t>%</w:t>
            </w:r>
            <w:r>
              <w:rPr>
                <w:rFonts w:ascii="宋体" w:hAnsi="宋体" w:eastAsia="宋体" w:cs="宋体"/>
                <w:spacing w:val="2"/>
                <w:sz w:val="23"/>
                <w:szCs w:val="23"/>
              </w:rPr>
              <w:t>给予青苗补偿，不给予设施补偿。</w:t>
            </w:r>
          </w:p>
          <w:p>
            <w:pPr>
              <w:spacing w:before="75" w:line="219" w:lineRule="auto"/>
              <w:ind w:firstLine="468" w:firstLineChars="200"/>
              <w:rPr>
                <w:rFonts w:ascii="宋体" w:hAnsi="宋体" w:eastAsia="宋体" w:cs="宋体"/>
                <w:spacing w:val="2"/>
                <w:sz w:val="23"/>
                <w:szCs w:val="23"/>
              </w:rPr>
            </w:pPr>
            <w:r>
              <w:rPr>
                <w:rFonts w:ascii="宋体" w:hAnsi="宋体" w:eastAsia="宋体" w:cs="宋体"/>
                <w:spacing w:val="2"/>
                <w:sz w:val="23"/>
                <w:szCs w:val="23"/>
              </w:rPr>
              <w:t>12.专业芦苇地(有专业管理机构，沟渠 、道路等设施齐全，且有相应的附属产品加工场所等)参照邻近水田补偿标准给予补偿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2012" w:type="dxa"/>
            <w:gridSpan w:val="2"/>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75" w:line="219" w:lineRule="auto"/>
              <w:ind w:left="304"/>
              <w:rPr>
                <w:rFonts w:ascii="宋体" w:hAnsi="宋体" w:eastAsia="宋体" w:cs="宋体"/>
                <w:sz w:val="23"/>
                <w:szCs w:val="23"/>
              </w:rPr>
            </w:pPr>
            <w:r>
              <w:rPr>
                <w:rFonts w:ascii="宋体" w:hAnsi="宋体" w:eastAsia="宋体" w:cs="宋体"/>
                <w:spacing w:val="1"/>
                <w:sz w:val="23"/>
                <w:szCs w:val="23"/>
              </w:rPr>
              <w:t>水产养殖用地</w:t>
            </w:r>
          </w:p>
        </w:tc>
        <w:tc>
          <w:tcPr>
            <w:tcW w:w="1019" w:type="dxa"/>
            <w:vAlign w:val="center"/>
          </w:tcPr>
          <w:p>
            <w:pPr>
              <w:spacing w:before="75" w:line="183"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3"/>
                <w:sz w:val="23"/>
                <w:szCs w:val="23"/>
                <w:lang w:val="en-US" w:eastAsia="zh-CN"/>
              </w:rPr>
              <w:t>4930</w:t>
            </w:r>
          </w:p>
        </w:tc>
        <w:tc>
          <w:tcPr>
            <w:tcW w:w="1009" w:type="dxa"/>
            <w:vAlign w:val="center"/>
          </w:tcPr>
          <w:p>
            <w:pPr>
              <w:spacing w:before="74" w:line="184"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5"/>
                <w:sz w:val="23"/>
                <w:szCs w:val="23"/>
                <w:lang w:val="en-US" w:eastAsia="zh-CN"/>
              </w:rPr>
              <w:t>8500</w:t>
            </w:r>
          </w:p>
        </w:tc>
        <w:tc>
          <w:tcPr>
            <w:tcW w:w="501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trPr>
        <w:tc>
          <w:tcPr>
            <w:tcW w:w="101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4" w:line="219" w:lineRule="auto"/>
              <w:ind w:left="304"/>
              <w:rPr>
                <w:rFonts w:ascii="宋体" w:hAnsi="宋体" w:eastAsia="宋体" w:cs="宋体"/>
                <w:sz w:val="23"/>
                <w:szCs w:val="23"/>
              </w:rPr>
            </w:pPr>
            <w:r>
              <w:rPr>
                <w:rFonts w:ascii="宋体" w:hAnsi="宋体" w:eastAsia="宋体" w:cs="宋体"/>
                <w:spacing w:val="-3"/>
                <w:sz w:val="23"/>
                <w:szCs w:val="23"/>
              </w:rPr>
              <w:t>林地</w:t>
            </w:r>
          </w:p>
        </w:tc>
        <w:tc>
          <w:tcPr>
            <w:tcW w:w="99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5" w:line="219" w:lineRule="auto"/>
              <w:ind w:left="181"/>
              <w:rPr>
                <w:rFonts w:ascii="宋体" w:hAnsi="宋体" w:eastAsia="宋体" w:cs="宋体"/>
                <w:sz w:val="23"/>
                <w:szCs w:val="23"/>
              </w:rPr>
            </w:pPr>
            <w:r>
              <w:rPr>
                <w:rFonts w:ascii="宋体" w:hAnsi="宋体" w:eastAsia="宋体" w:cs="宋体"/>
                <w:spacing w:val="2"/>
                <w:sz w:val="23"/>
                <w:szCs w:val="23"/>
              </w:rPr>
              <w:t>天然林</w:t>
            </w:r>
          </w:p>
        </w:tc>
        <w:tc>
          <w:tcPr>
            <w:tcW w:w="1019" w:type="dxa"/>
            <w:vAlign w:val="center"/>
          </w:tcPr>
          <w:p>
            <w:pPr>
              <w:spacing w:before="74" w:line="184"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5"/>
                <w:sz w:val="23"/>
                <w:szCs w:val="23"/>
                <w:lang w:val="en-US" w:eastAsia="zh-CN"/>
              </w:rPr>
              <w:t>850</w:t>
            </w:r>
          </w:p>
        </w:tc>
        <w:tc>
          <w:tcPr>
            <w:tcW w:w="1009" w:type="dxa"/>
            <w:vAlign w:val="center"/>
          </w:tcPr>
          <w:p>
            <w:pPr>
              <w:spacing w:before="75" w:line="183"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4"/>
                <w:sz w:val="23"/>
                <w:szCs w:val="23"/>
                <w:lang w:val="en-US" w:eastAsia="zh-CN"/>
              </w:rPr>
              <w:t>425</w:t>
            </w:r>
          </w:p>
        </w:tc>
        <w:tc>
          <w:tcPr>
            <w:tcW w:w="501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1013" w:type="dxa"/>
            <w:vMerge w:val="continue"/>
            <w:tcBorders>
              <w:top w:val="nil"/>
            </w:tcBorders>
            <w:vAlign w:val="top"/>
          </w:tcPr>
          <w:p>
            <w:pPr>
              <w:rPr>
                <w:rFonts w:ascii="Arial"/>
                <w:sz w:val="21"/>
              </w:rPr>
            </w:pPr>
          </w:p>
        </w:tc>
        <w:tc>
          <w:tcPr>
            <w:tcW w:w="999" w:type="dxa"/>
            <w:vAlign w:val="top"/>
          </w:tcPr>
          <w:p>
            <w:pPr>
              <w:spacing w:line="258" w:lineRule="auto"/>
              <w:rPr>
                <w:rFonts w:ascii="Arial"/>
                <w:sz w:val="21"/>
              </w:rPr>
            </w:pPr>
          </w:p>
          <w:p>
            <w:pPr>
              <w:spacing w:line="259" w:lineRule="auto"/>
              <w:rPr>
                <w:rFonts w:ascii="Arial"/>
                <w:sz w:val="21"/>
              </w:rPr>
            </w:pPr>
          </w:p>
          <w:p>
            <w:pPr>
              <w:spacing w:before="75" w:line="219" w:lineRule="auto"/>
              <w:ind w:left="181"/>
              <w:rPr>
                <w:rFonts w:ascii="宋体" w:hAnsi="宋体" w:eastAsia="宋体" w:cs="宋体"/>
                <w:sz w:val="23"/>
                <w:szCs w:val="23"/>
              </w:rPr>
            </w:pPr>
            <w:r>
              <w:rPr>
                <w:rFonts w:ascii="宋体" w:hAnsi="宋体" w:eastAsia="宋体" w:cs="宋体"/>
                <w:spacing w:val="-3"/>
                <w:sz w:val="23"/>
                <w:szCs w:val="23"/>
              </w:rPr>
              <w:t>人工林</w:t>
            </w:r>
          </w:p>
        </w:tc>
        <w:tc>
          <w:tcPr>
            <w:tcW w:w="1019" w:type="dxa"/>
            <w:vAlign w:val="center"/>
          </w:tcPr>
          <w:p>
            <w:pPr>
              <w:spacing w:before="75" w:line="183"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3"/>
                <w:sz w:val="23"/>
                <w:szCs w:val="23"/>
                <w:lang w:val="en-US" w:eastAsia="zh-CN"/>
              </w:rPr>
              <w:t>2448</w:t>
            </w:r>
          </w:p>
        </w:tc>
        <w:tc>
          <w:tcPr>
            <w:tcW w:w="1009" w:type="dxa"/>
            <w:vAlign w:val="center"/>
          </w:tcPr>
          <w:p>
            <w:pPr>
              <w:spacing w:before="74" w:line="184"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5"/>
                <w:sz w:val="23"/>
                <w:szCs w:val="23"/>
                <w:lang w:val="en-US" w:eastAsia="zh-CN"/>
              </w:rPr>
              <w:t>850</w:t>
            </w:r>
          </w:p>
        </w:tc>
        <w:tc>
          <w:tcPr>
            <w:tcW w:w="5019"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2012" w:type="dxa"/>
            <w:gridSpan w:val="2"/>
            <w:vAlign w:val="top"/>
          </w:tcPr>
          <w:p>
            <w:pPr>
              <w:spacing w:line="315" w:lineRule="auto"/>
              <w:rPr>
                <w:rFonts w:ascii="Arial"/>
                <w:sz w:val="21"/>
              </w:rPr>
            </w:pPr>
          </w:p>
          <w:p>
            <w:pPr>
              <w:spacing w:line="315" w:lineRule="auto"/>
              <w:rPr>
                <w:rFonts w:ascii="Arial"/>
                <w:sz w:val="21"/>
              </w:rPr>
            </w:pPr>
          </w:p>
          <w:p>
            <w:pPr>
              <w:spacing w:before="75" w:line="220" w:lineRule="auto"/>
              <w:ind w:left="534"/>
              <w:rPr>
                <w:rFonts w:ascii="宋体" w:hAnsi="宋体" w:eastAsia="宋体" w:cs="宋体"/>
                <w:sz w:val="23"/>
                <w:szCs w:val="23"/>
              </w:rPr>
            </w:pPr>
            <w:r>
              <w:rPr>
                <w:rFonts w:ascii="宋体" w:hAnsi="宋体" w:eastAsia="宋体" w:cs="宋体"/>
                <w:spacing w:val="2"/>
                <w:sz w:val="23"/>
                <w:szCs w:val="23"/>
              </w:rPr>
              <w:t>未利用地</w:t>
            </w:r>
          </w:p>
        </w:tc>
        <w:tc>
          <w:tcPr>
            <w:tcW w:w="2028" w:type="dxa"/>
            <w:gridSpan w:val="2"/>
            <w:vAlign w:val="center"/>
          </w:tcPr>
          <w:p>
            <w:pPr>
              <w:spacing w:before="75" w:line="184" w:lineRule="auto"/>
              <w:jc w:val="center"/>
              <w:rPr>
                <w:rFonts w:hint="default" w:ascii="宋体" w:hAnsi="宋体" w:eastAsia="宋体" w:cs="宋体"/>
                <w:color w:val="auto"/>
                <w:sz w:val="23"/>
                <w:szCs w:val="23"/>
                <w:lang w:val="en-US" w:eastAsia="zh-CN"/>
              </w:rPr>
            </w:pPr>
            <w:r>
              <w:rPr>
                <w:rFonts w:hint="eastAsia" w:ascii="宋体" w:hAnsi="宋体" w:eastAsia="宋体" w:cs="宋体"/>
                <w:color w:val="auto"/>
                <w:spacing w:val="-5"/>
                <w:sz w:val="23"/>
                <w:szCs w:val="23"/>
                <w:lang w:val="en-US" w:eastAsia="zh-CN"/>
              </w:rPr>
              <w:t>850</w:t>
            </w:r>
          </w:p>
        </w:tc>
        <w:tc>
          <w:tcPr>
            <w:tcW w:w="5019" w:type="dxa"/>
            <w:vAlign w:val="top"/>
          </w:tcPr>
          <w:p>
            <w:pPr>
              <w:spacing w:line="312" w:lineRule="auto"/>
              <w:rPr>
                <w:rFonts w:ascii="Arial"/>
                <w:sz w:val="21"/>
              </w:rPr>
            </w:pPr>
          </w:p>
          <w:p>
            <w:pPr>
              <w:spacing w:line="313" w:lineRule="auto"/>
              <w:rPr>
                <w:rFonts w:ascii="Arial"/>
                <w:sz w:val="21"/>
              </w:rPr>
            </w:pPr>
          </w:p>
          <w:p>
            <w:pPr>
              <w:spacing w:before="74" w:line="219" w:lineRule="auto"/>
              <w:ind w:left="68"/>
              <w:jc w:val="center"/>
              <w:rPr>
                <w:rFonts w:ascii="宋体" w:hAnsi="宋体" w:eastAsia="宋体" w:cs="宋体"/>
                <w:sz w:val="23"/>
                <w:szCs w:val="23"/>
              </w:rPr>
            </w:pPr>
            <w:r>
              <w:rPr>
                <w:rFonts w:ascii="宋体" w:hAnsi="宋体" w:eastAsia="宋体" w:cs="宋体"/>
                <w:b w:val="0"/>
                <w:bCs w:val="0"/>
                <w:spacing w:val="2"/>
                <w:sz w:val="23"/>
                <w:szCs w:val="23"/>
              </w:rPr>
              <w:t>不区分青苗补偿和附属设施补偿</w:t>
            </w:r>
          </w:p>
        </w:tc>
      </w:tr>
    </w:tbl>
    <w:p>
      <w:pPr>
        <w:spacing w:line="345"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附件2</w:t>
      </w:r>
    </w:p>
    <w:p>
      <w:pPr>
        <w:spacing w:before="259" w:line="220" w:lineRule="auto"/>
        <w:ind w:left="2611"/>
        <w:rPr>
          <w:rFonts w:ascii="宋体" w:hAnsi="宋体" w:eastAsia="宋体" w:cs="宋体"/>
          <w:sz w:val="44"/>
          <w:szCs w:val="44"/>
        </w:rPr>
      </w:pPr>
      <w:r>
        <w:rPr>
          <w:rFonts w:ascii="宋体" w:hAnsi="宋体" w:eastAsia="宋体" w:cs="宋体"/>
          <w:b/>
          <w:bCs/>
          <w:spacing w:val="-12"/>
          <w:sz w:val="44"/>
          <w:szCs w:val="44"/>
        </w:rPr>
        <w:t>苗木、花卉补偿标准</w:t>
      </w:r>
    </w:p>
    <w:p>
      <w:pPr>
        <w:spacing w:line="349" w:lineRule="auto"/>
        <w:rPr>
          <w:rFonts w:ascii="Arial"/>
          <w:sz w:val="21"/>
        </w:rPr>
      </w:pPr>
    </w:p>
    <w:p>
      <w:pPr>
        <w:spacing w:before="81" w:line="222" w:lineRule="auto"/>
        <w:ind w:right="67"/>
        <w:jc w:val="right"/>
        <w:rPr>
          <w:rFonts w:ascii="黑体" w:hAnsi="黑体" w:eastAsia="黑体" w:cs="黑体"/>
          <w:sz w:val="25"/>
          <w:szCs w:val="25"/>
        </w:rPr>
      </w:pPr>
      <w:r>
        <w:rPr>
          <w:rFonts w:ascii="黑体" w:hAnsi="黑体" w:eastAsia="黑体" w:cs="黑体"/>
          <w:spacing w:val="-11"/>
          <w:sz w:val="25"/>
          <w:szCs w:val="25"/>
        </w:rPr>
        <w:t>单位：元/亩</w:t>
      </w:r>
    </w:p>
    <w:p>
      <w:pPr>
        <w:spacing w:line="123" w:lineRule="exact"/>
      </w:pPr>
    </w:p>
    <w:tbl>
      <w:tblPr>
        <w:tblStyle w:val="12"/>
        <w:tblW w:w="90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638"/>
        <w:gridCol w:w="1258"/>
        <w:gridCol w:w="1658"/>
        <w:gridCol w:w="1339"/>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804"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81" w:line="220" w:lineRule="auto"/>
              <w:ind w:left="188"/>
              <w:rPr>
                <w:rFonts w:ascii="宋体" w:hAnsi="宋体" w:eastAsia="宋体" w:cs="宋体"/>
                <w:sz w:val="25"/>
                <w:szCs w:val="25"/>
              </w:rPr>
            </w:pPr>
            <w:r>
              <w:rPr>
                <w:rFonts w:ascii="宋体" w:hAnsi="宋体" w:eastAsia="宋体" w:cs="宋体"/>
                <w:b/>
                <w:bCs/>
                <w:spacing w:val="3"/>
                <w:sz w:val="25"/>
                <w:szCs w:val="25"/>
              </w:rPr>
              <w:t>品种</w:t>
            </w:r>
          </w:p>
        </w:tc>
        <w:tc>
          <w:tcPr>
            <w:tcW w:w="2896" w:type="dxa"/>
            <w:gridSpan w:val="2"/>
            <w:vAlign w:val="top"/>
          </w:tcPr>
          <w:p>
            <w:pPr>
              <w:spacing w:before="311" w:line="219" w:lineRule="auto"/>
              <w:ind w:left="1194"/>
              <w:rPr>
                <w:rFonts w:ascii="宋体" w:hAnsi="宋体" w:eastAsia="宋体" w:cs="宋体"/>
                <w:sz w:val="25"/>
                <w:szCs w:val="25"/>
              </w:rPr>
            </w:pPr>
            <w:r>
              <w:rPr>
                <w:rFonts w:ascii="宋体" w:hAnsi="宋体" w:eastAsia="宋体" w:cs="宋体"/>
                <w:b/>
                <w:bCs/>
                <w:spacing w:val="-6"/>
                <w:sz w:val="25"/>
                <w:szCs w:val="25"/>
              </w:rPr>
              <w:t>规格</w:t>
            </w:r>
          </w:p>
        </w:tc>
        <w:tc>
          <w:tcPr>
            <w:tcW w:w="1658" w:type="dxa"/>
            <w:vMerge w:val="restart"/>
            <w:tcBorders>
              <w:bottom w:val="nil"/>
            </w:tcBorders>
            <w:vAlign w:val="top"/>
          </w:tcPr>
          <w:p>
            <w:pPr>
              <w:spacing w:line="477" w:lineRule="auto"/>
              <w:rPr>
                <w:rFonts w:ascii="Arial"/>
                <w:sz w:val="21"/>
              </w:rPr>
            </w:pPr>
          </w:p>
          <w:p>
            <w:pPr>
              <w:spacing w:before="81" w:line="219" w:lineRule="auto"/>
              <w:ind w:left="78"/>
              <w:rPr>
                <w:rFonts w:ascii="宋体" w:hAnsi="宋体" w:eastAsia="宋体" w:cs="宋体"/>
                <w:sz w:val="25"/>
                <w:szCs w:val="25"/>
              </w:rPr>
            </w:pPr>
            <w:r>
              <w:rPr>
                <w:rFonts w:ascii="宋体" w:hAnsi="宋体" w:eastAsia="宋体" w:cs="宋体"/>
                <w:b/>
                <w:bCs/>
                <w:spacing w:val="-5"/>
                <w:sz w:val="25"/>
                <w:szCs w:val="25"/>
              </w:rPr>
              <w:t>合理种植密度</w:t>
            </w:r>
          </w:p>
          <w:p>
            <w:pPr>
              <w:spacing w:before="23" w:line="219" w:lineRule="auto"/>
              <w:ind w:left="388"/>
              <w:rPr>
                <w:rFonts w:ascii="宋体" w:hAnsi="宋体" w:eastAsia="宋体" w:cs="宋体"/>
                <w:sz w:val="25"/>
                <w:szCs w:val="25"/>
              </w:rPr>
            </w:pPr>
            <w:r>
              <w:rPr>
                <w:rFonts w:ascii="宋体" w:hAnsi="宋体" w:eastAsia="宋体" w:cs="宋体"/>
                <w:b/>
                <w:bCs/>
                <w:spacing w:val="5"/>
                <w:sz w:val="25"/>
                <w:szCs w:val="25"/>
              </w:rPr>
              <w:t>(株/亩)</w:t>
            </w:r>
          </w:p>
        </w:tc>
        <w:tc>
          <w:tcPr>
            <w:tcW w:w="1339" w:type="dxa"/>
            <w:vMerge w:val="restart"/>
            <w:tcBorders>
              <w:bottom w:val="nil"/>
            </w:tcBorders>
            <w:vAlign w:val="top"/>
          </w:tcPr>
          <w:p>
            <w:pPr>
              <w:spacing w:line="328" w:lineRule="auto"/>
              <w:rPr>
                <w:rFonts w:ascii="Arial"/>
                <w:sz w:val="21"/>
              </w:rPr>
            </w:pPr>
          </w:p>
          <w:p>
            <w:pPr>
              <w:spacing w:line="329" w:lineRule="auto"/>
              <w:rPr>
                <w:rFonts w:ascii="Arial"/>
                <w:sz w:val="21"/>
              </w:rPr>
            </w:pPr>
          </w:p>
          <w:p>
            <w:pPr>
              <w:spacing w:before="81" w:line="220" w:lineRule="auto"/>
              <w:ind w:left="170"/>
              <w:rPr>
                <w:rFonts w:ascii="宋体" w:hAnsi="宋体" w:eastAsia="宋体" w:cs="宋体"/>
                <w:sz w:val="25"/>
                <w:szCs w:val="25"/>
              </w:rPr>
            </w:pPr>
            <w:r>
              <w:rPr>
                <w:rFonts w:ascii="宋体" w:hAnsi="宋体" w:eastAsia="宋体" w:cs="宋体"/>
                <w:b/>
                <w:bCs/>
                <w:spacing w:val="-5"/>
                <w:sz w:val="25"/>
                <w:szCs w:val="25"/>
              </w:rPr>
              <w:t>补偿标准</w:t>
            </w:r>
          </w:p>
        </w:tc>
        <w:tc>
          <w:tcPr>
            <w:tcW w:w="2369" w:type="dxa"/>
            <w:vMerge w:val="restart"/>
            <w:tcBorders>
              <w:bottom w:val="nil"/>
            </w:tcBorders>
            <w:vAlign w:val="top"/>
          </w:tcPr>
          <w:p>
            <w:pPr>
              <w:spacing w:line="330" w:lineRule="auto"/>
              <w:rPr>
                <w:rFonts w:ascii="Arial"/>
                <w:sz w:val="21"/>
              </w:rPr>
            </w:pPr>
          </w:p>
          <w:p>
            <w:pPr>
              <w:spacing w:line="331" w:lineRule="auto"/>
              <w:rPr>
                <w:rFonts w:ascii="Arial"/>
                <w:sz w:val="21"/>
              </w:rPr>
            </w:pPr>
          </w:p>
          <w:p>
            <w:pPr>
              <w:spacing w:before="81" w:line="221" w:lineRule="auto"/>
              <w:ind w:left="968"/>
              <w:rPr>
                <w:rFonts w:ascii="宋体" w:hAnsi="宋体" w:eastAsia="宋体" w:cs="宋体"/>
                <w:sz w:val="25"/>
                <w:szCs w:val="25"/>
              </w:rPr>
            </w:pPr>
            <w:r>
              <w:rPr>
                <w:rFonts w:ascii="宋体" w:hAnsi="宋体" w:eastAsia="宋体" w:cs="宋体"/>
                <w:b/>
                <w:bCs/>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04" w:type="dxa"/>
            <w:vMerge w:val="continue"/>
            <w:tcBorders>
              <w:top w:val="nil"/>
            </w:tcBorders>
            <w:vAlign w:val="top"/>
          </w:tcPr>
          <w:p>
            <w:pPr>
              <w:rPr>
                <w:rFonts w:ascii="Arial"/>
                <w:sz w:val="21"/>
              </w:rPr>
            </w:pPr>
          </w:p>
        </w:tc>
        <w:tc>
          <w:tcPr>
            <w:tcW w:w="1638" w:type="dxa"/>
            <w:vAlign w:val="top"/>
          </w:tcPr>
          <w:p>
            <w:pPr>
              <w:spacing w:before="301" w:line="219" w:lineRule="auto"/>
              <w:ind w:left="561"/>
              <w:rPr>
                <w:rFonts w:ascii="宋体" w:hAnsi="宋体" w:eastAsia="宋体" w:cs="宋体"/>
                <w:b/>
                <w:bCs/>
                <w:sz w:val="25"/>
                <w:szCs w:val="25"/>
              </w:rPr>
            </w:pPr>
            <w:r>
              <w:rPr>
                <w:rFonts w:ascii="宋体" w:hAnsi="宋体" w:eastAsia="宋体" w:cs="宋体"/>
                <w:b/>
                <w:bCs/>
                <w:spacing w:val="6"/>
                <w:sz w:val="25"/>
                <w:szCs w:val="25"/>
              </w:rPr>
              <w:t>胸径</w:t>
            </w:r>
          </w:p>
        </w:tc>
        <w:tc>
          <w:tcPr>
            <w:tcW w:w="1258" w:type="dxa"/>
            <w:vAlign w:val="top"/>
          </w:tcPr>
          <w:p>
            <w:pPr>
              <w:spacing w:before="301" w:line="219" w:lineRule="auto"/>
              <w:jc w:val="center"/>
              <w:rPr>
                <w:rFonts w:ascii="宋体" w:hAnsi="宋体" w:eastAsia="宋体" w:cs="宋体"/>
                <w:b/>
                <w:bCs/>
                <w:sz w:val="25"/>
                <w:szCs w:val="25"/>
              </w:rPr>
            </w:pPr>
            <w:r>
              <w:rPr>
                <w:rFonts w:ascii="宋体" w:hAnsi="宋体" w:eastAsia="宋体" w:cs="宋体"/>
                <w:b/>
                <w:bCs/>
                <w:spacing w:val="7"/>
                <w:sz w:val="25"/>
                <w:szCs w:val="25"/>
              </w:rPr>
              <w:t>高度</w:t>
            </w:r>
          </w:p>
        </w:tc>
        <w:tc>
          <w:tcPr>
            <w:tcW w:w="1658" w:type="dxa"/>
            <w:vMerge w:val="continue"/>
            <w:tcBorders>
              <w:top w:val="nil"/>
            </w:tcBorders>
            <w:vAlign w:val="top"/>
          </w:tcPr>
          <w:p>
            <w:pPr>
              <w:rPr>
                <w:rFonts w:ascii="Arial"/>
                <w:sz w:val="21"/>
              </w:rPr>
            </w:pPr>
          </w:p>
        </w:tc>
        <w:tc>
          <w:tcPr>
            <w:tcW w:w="1339" w:type="dxa"/>
            <w:vMerge w:val="continue"/>
            <w:tcBorders>
              <w:top w:val="nil"/>
            </w:tcBorders>
            <w:vAlign w:val="top"/>
          </w:tcPr>
          <w:p>
            <w:pPr>
              <w:rPr>
                <w:rFonts w:ascii="Arial"/>
                <w:sz w:val="21"/>
              </w:rPr>
            </w:pPr>
          </w:p>
        </w:tc>
        <w:tc>
          <w:tcPr>
            <w:tcW w:w="2369"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0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81" w:line="224" w:lineRule="auto"/>
              <w:ind w:left="188" w:right="94"/>
              <w:rPr>
                <w:rFonts w:ascii="宋体" w:hAnsi="宋体" w:eastAsia="宋体" w:cs="宋体"/>
                <w:sz w:val="25"/>
                <w:szCs w:val="25"/>
              </w:rPr>
            </w:pPr>
            <w:r>
              <w:rPr>
                <w:rFonts w:ascii="宋体" w:hAnsi="宋体" w:eastAsia="宋体" w:cs="宋体"/>
                <w:b/>
                <w:bCs/>
                <w:spacing w:val="3"/>
                <w:sz w:val="25"/>
                <w:szCs w:val="25"/>
              </w:rPr>
              <w:t>各种</w:t>
            </w:r>
            <w:r>
              <w:rPr>
                <w:rFonts w:ascii="宋体" w:hAnsi="宋体" w:eastAsia="宋体" w:cs="宋体"/>
                <w:sz w:val="25"/>
                <w:szCs w:val="25"/>
              </w:rPr>
              <w:t xml:space="preserve"> </w:t>
            </w:r>
            <w:r>
              <w:rPr>
                <w:rFonts w:ascii="宋体" w:hAnsi="宋体" w:eastAsia="宋体" w:cs="宋体"/>
                <w:b/>
                <w:bCs/>
                <w:spacing w:val="-6"/>
                <w:sz w:val="25"/>
                <w:szCs w:val="25"/>
              </w:rPr>
              <w:t>苗木</w:t>
            </w:r>
          </w:p>
        </w:tc>
        <w:tc>
          <w:tcPr>
            <w:tcW w:w="1638" w:type="dxa"/>
            <w:vAlign w:val="center"/>
          </w:tcPr>
          <w:p>
            <w:pPr>
              <w:jc w:val="center"/>
              <w:rPr>
                <w:rFonts w:hint="eastAsia" w:ascii="宋体" w:hAnsi="宋体" w:eastAsia="宋体" w:cs="宋体"/>
                <w:sz w:val="21"/>
                <w:lang w:val="en-US" w:eastAsia="zh-CN"/>
              </w:rPr>
            </w:pPr>
            <w:r>
              <w:rPr>
                <w:rFonts w:hint="eastAsia" w:ascii="宋体" w:hAnsi="宋体" w:eastAsia="宋体" w:cs="宋体"/>
                <w:spacing w:val="4"/>
                <w:sz w:val="25"/>
                <w:szCs w:val="25"/>
                <w:lang w:val="en-US" w:eastAsia="zh-CN"/>
              </w:rPr>
              <w:t>/</w:t>
            </w:r>
          </w:p>
        </w:tc>
        <w:tc>
          <w:tcPr>
            <w:tcW w:w="1258" w:type="dxa"/>
            <w:vAlign w:val="top"/>
          </w:tcPr>
          <w:p>
            <w:pPr>
              <w:spacing w:line="369" w:lineRule="auto"/>
              <w:rPr>
                <w:rFonts w:ascii="Arial"/>
                <w:sz w:val="21"/>
              </w:rPr>
            </w:pPr>
          </w:p>
          <w:p>
            <w:pPr>
              <w:spacing w:before="81" w:line="219" w:lineRule="auto"/>
              <w:ind w:left="242"/>
              <w:rPr>
                <w:rFonts w:ascii="宋体" w:hAnsi="宋体" w:eastAsia="宋体" w:cs="宋体"/>
                <w:sz w:val="25"/>
                <w:szCs w:val="25"/>
              </w:rPr>
            </w:pPr>
            <w:r>
              <w:rPr>
                <w:rFonts w:ascii="宋体" w:hAnsi="宋体" w:eastAsia="宋体" w:cs="宋体"/>
                <w:spacing w:val="5"/>
                <w:sz w:val="25"/>
                <w:szCs w:val="25"/>
              </w:rPr>
              <w:t>1米以下</w:t>
            </w:r>
          </w:p>
        </w:tc>
        <w:tc>
          <w:tcPr>
            <w:tcW w:w="1658" w:type="dxa"/>
            <w:vAlign w:val="center"/>
          </w:tcPr>
          <w:p>
            <w:pPr>
              <w:spacing w:before="82" w:line="183" w:lineRule="auto"/>
              <w:ind w:left="254"/>
              <w:jc w:val="both"/>
              <w:rPr>
                <w:rFonts w:ascii="宋体" w:hAnsi="宋体" w:eastAsia="宋体" w:cs="宋体"/>
                <w:sz w:val="25"/>
                <w:szCs w:val="25"/>
              </w:rPr>
            </w:pPr>
            <w:r>
              <w:rPr>
                <w:rFonts w:ascii="宋体" w:hAnsi="宋体" w:eastAsia="宋体" w:cs="宋体"/>
                <w:spacing w:val="-2"/>
                <w:sz w:val="25"/>
                <w:szCs w:val="25"/>
              </w:rPr>
              <w:t>2800-3000</w:t>
            </w:r>
          </w:p>
        </w:tc>
        <w:tc>
          <w:tcPr>
            <w:tcW w:w="1339" w:type="dxa"/>
            <w:vAlign w:val="center"/>
          </w:tcPr>
          <w:p>
            <w:pPr>
              <w:spacing w:before="82" w:line="183" w:lineRule="auto"/>
              <w:jc w:val="center"/>
              <w:rPr>
                <w:rFonts w:hint="default" w:ascii="宋体" w:hAnsi="宋体" w:eastAsia="宋体" w:cs="宋体"/>
                <w:color w:val="auto"/>
                <w:sz w:val="25"/>
                <w:szCs w:val="25"/>
                <w:lang w:val="en-US" w:eastAsia="zh-CN"/>
              </w:rPr>
            </w:pPr>
            <w:r>
              <w:rPr>
                <w:rFonts w:hint="eastAsia" w:ascii="宋体" w:hAnsi="宋体" w:eastAsia="宋体" w:cs="宋体"/>
                <w:color w:val="auto"/>
                <w:spacing w:val="-3"/>
                <w:sz w:val="25"/>
                <w:szCs w:val="25"/>
                <w:lang w:val="en-US" w:eastAsia="zh-CN"/>
              </w:rPr>
              <w:t>5950</w:t>
            </w:r>
          </w:p>
        </w:tc>
        <w:tc>
          <w:tcPr>
            <w:tcW w:w="2369" w:type="dxa"/>
            <w:vMerge w:val="restart"/>
            <w:tcBorders>
              <w:bottom w:val="nil"/>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8" w:line="266" w:lineRule="auto"/>
              <w:ind w:firstLine="500" w:firstLineChars="200"/>
              <w:rPr>
                <w:rFonts w:ascii="宋体" w:hAnsi="宋体" w:eastAsia="宋体" w:cs="宋体"/>
                <w:sz w:val="24"/>
                <w:szCs w:val="24"/>
              </w:rPr>
            </w:pPr>
            <w:r>
              <w:rPr>
                <w:rFonts w:ascii="宋体" w:hAnsi="宋体" w:eastAsia="宋体" w:cs="宋体"/>
                <w:spacing w:val="5"/>
                <w:sz w:val="24"/>
                <w:szCs w:val="24"/>
              </w:rPr>
              <w:t>1.本补偿标准包</w:t>
            </w:r>
            <w:r>
              <w:rPr>
                <w:rFonts w:ascii="宋体" w:hAnsi="宋体" w:eastAsia="宋体" w:cs="宋体"/>
                <w:sz w:val="24"/>
                <w:szCs w:val="24"/>
              </w:rPr>
              <w:t xml:space="preserve"> </w:t>
            </w:r>
            <w:r>
              <w:rPr>
                <w:rFonts w:ascii="宋体" w:hAnsi="宋体" w:eastAsia="宋体" w:cs="宋体"/>
                <w:spacing w:val="11"/>
                <w:sz w:val="24"/>
                <w:szCs w:val="24"/>
              </w:rPr>
              <w:t>括苗木、附属设施等</w:t>
            </w:r>
            <w:r>
              <w:rPr>
                <w:rFonts w:ascii="宋体" w:hAnsi="宋体" w:eastAsia="宋体" w:cs="宋体"/>
                <w:sz w:val="24"/>
                <w:szCs w:val="24"/>
              </w:rPr>
              <w:t xml:space="preserve"> </w:t>
            </w:r>
            <w:r>
              <w:rPr>
                <w:rFonts w:ascii="宋体" w:hAnsi="宋体" w:eastAsia="宋体" w:cs="宋体"/>
                <w:spacing w:val="23"/>
                <w:sz w:val="24"/>
                <w:szCs w:val="24"/>
              </w:rPr>
              <w:t>一</w:t>
            </w:r>
            <w:r>
              <w:rPr>
                <w:rFonts w:ascii="宋体" w:hAnsi="宋体" w:eastAsia="宋体" w:cs="宋体"/>
                <w:spacing w:val="-67"/>
                <w:sz w:val="24"/>
                <w:szCs w:val="24"/>
              </w:rPr>
              <w:t xml:space="preserve"> </w:t>
            </w:r>
            <w:r>
              <w:rPr>
                <w:rFonts w:ascii="宋体" w:hAnsi="宋体" w:eastAsia="宋体" w:cs="宋体"/>
                <w:spacing w:val="23"/>
                <w:sz w:val="24"/>
                <w:szCs w:val="24"/>
              </w:rPr>
              <w:t>切费用。</w:t>
            </w:r>
          </w:p>
          <w:p>
            <w:pPr>
              <w:spacing w:before="61" w:line="278" w:lineRule="auto"/>
              <w:ind w:firstLine="516" w:firstLineChars="200"/>
              <w:rPr>
                <w:rFonts w:ascii="宋体" w:hAnsi="宋体" w:eastAsia="宋体" w:cs="宋体"/>
                <w:sz w:val="24"/>
                <w:szCs w:val="24"/>
              </w:rPr>
            </w:pPr>
            <w:r>
              <w:rPr>
                <w:rFonts w:ascii="宋体" w:hAnsi="宋体" w:eastAsia="宋体" w:cs="宋体"/>
                <w:spacing w:val="9"/>
                <w:sz w:val="24"/>
                <w:szCs w:val="24"/>
              </w:rPr>
              <w:t>2.种植密度低于</w:t>
            </w:r>
            <w:r>
              <w:rPr>
                <w:rFonts w:ascii="宋体" w:hAnsi="宋体" w:eastAsia="宋体" w:cs="宋体"/>
                <w:spacing w:val="6"/>
                <w:sz w:val="24"/>
                <w:szCs w:val="24"/>
              </w:rPr>
              <w:t xml:space="preserve"> </w:t>
            </w:r>
            <w:r>
              <w:rPr>
                <w:rFonts w:ascii="宋体" w:hAnsi="宋体" w:eastAsia="宋体" w:cs="宋体"/>
                <w:spacing w:val="7"/>
                <w:sz w:val="24"/>
                <w:szCs w:val="24"/>
              </w:rPr>
              <w:t xml:space="preserve">标准要求的，按合理 </w:t>
            </w:r>
            <w:r>
              <w:rPr>
                <w:rFonts w:ascii="宋体" w:hAnsi="宋体" w:eastAsia="宋体" w:cs="宋体"/>
                <w:spacing w:val="11"/>
                <w:sz w:val="24"/>
                <w:szCs w:val="24"/>
              </w:rPr>
              <w:t>密度折算系数予以补</w:t>
            </w:r>
            <w:r>
              <w:rPr>
                <w:rFonts w:ascii="宋体" w:hAnsi="宋体" w:eastAsia="宋体" w:cs="宋体"/>
                <w:sz w:val="24"/>
                <w:szCs w:val="24"/>
              </w:rPr>
              <w:t xml:space="preserve"> </w:t>
            </w:r>
            <w:r>
              <w:rPr>
                <w:rFonts w:ascii="宋体" w:hAnsi="宋体" w:eastAsia="宋体" w:cs="宋体"/>
                <w:spacing w:val="8"/>
                <w:sz w:val="24"/>
                <w:szCs w:val="24"/>
              </w:rPr>
              <w:t>偿(实际密度÷合理</w:t>
            </w:r>
            <w:r>
              <w:rPr>
                <w:rFonts w:ascii="宋体" w:hAnsi="宋体" w:eastAsia="宋体" w:cs="宋体"/>
                <w:spacing w:val="3"/>
                <w:sz w:val="24"/>
                <w:szCs w:val="24"/>
              </w:rPr>
              <w:t xml:space="preserve">  </w:t>
            </w:r>
            <w:r>
              <w:rPr>
                <w:rFonts w:ascii="宋体" w:hAnsi="宋体" w:eastAsia="宋体" w:cs="宋体"/>
                <w:spacing w:val="10"/>
                <w:sz w:val="24"/>
                <w:szCs w:val="24"/>
              </w:rPr>
              <w:t>密度均值×补偿标</w:t>
            </w:r>
          </w:p>
          <w:p>
            <w:pPr>
              <w:spacing w:before="86" w:line="221" w:lineRule="auto"/>
              <w:ind w:left="98"/>
              <w:rPr>
                <w:rFonts w:ascii="宋体" w:hAnsi="宋体" w:eastAsia="宋体" w:cs="宋体"/>
                <w:sz w:val="25"/>
                <w:szCs w:val="25"/>
              </w:rPr>
            </w:pPr>
            <w:r>
              <w:rPr>
                <w:rFonts w:ascii="宋体" w:hAnsi="宋体" w:eastAsia="宋体" w:cs="宋体"/>
                <w:spacing w:val="-8"/>
                <w:sz w:val="25"/>
                <w:szCs w:val="25"/>
              </w:rPr>
              <w:t>准</w:t>
            </w:r>
            <w:r>
              <w:rPr>
                <w:rFonts w:ascii="宋体" w:hAnsi="宋体" w:eastAsia="宋体" w:cs="宋体"/>
                <w:spacing w:val="-30"/>
                <w:sz w:val="25"/>
                <w:szCs w:val="25"/>
              </w:rPr>
              <w:t xml:space="preserve"> </w:t>
            </w:r>
            <w:r>
              <w:rPr>
                <w:rFonts w:ascii="宋体" w:hAnsi="宋体" w:eastAsia="宋体" w:cs="宋体"/>
                <w:spacing w:val="-8"/>
                <w:sz w:val="25"/>
                <w:szCs w:val="25"/>
              </w:rPr>
              <w:t>)</w:t>
            </w:r>
            <w:r>
              <w:rPr>
                <w:rFonts w:ascii="宋体" w:hAnsi="宋体" w:eastAsia="宋体" w:cs="宋体"/>
                <w:spacing w:val="-41"/>
                <w:sz w:val="25"/>
                <w:szCs w:val="25"/>
              </w:rPr>
              <w:t xml:space="preserve"> </w:t>
            </w:r>
            <w:r>
              <w:rPr>
                <w:rFonts w:ascii="宋体" w:hAnsi="宋体" w:eastAsia="宋体" w:cs="宋体"/>
                <w:spacing w:val="-8"/>
                <w:sz w:val="25"/>
                <w:szCs w:val="25"/>
              </w:rPr>
              <w:t>。</w:t>
            </w:r>
          </w:p>
          <w:p>
            <w:pPr>
              <w:spacing w:before="70" w:line="268" w:lineRule="auto"/>
              <w:rPr>
                <w:rFonts w:hint="eastAsia" w:ascii="宋体" w:hAnsi="宋体" w:eastAsia="宋体" w:cs="宋体"/>
                <w:sz w:val="24"/>
                <w:szCs w:val="24"/>
                <w:lang w:val="en-US" w:eastAsia="zh-CN"/>
              </w:rPr>
            </w:pPr>
            <w:r>
              <w:rPr>
                <w:rFonts w:ascii="宋体" w:hAnsi="宋体" w:eastAsia="宋体" w:cs="宋体"/>
                <w:spacing w:val="9"/>
                <w:sz w:val="24"/>
                <w:szCs w:val="24"/>
              </w:rPr>
              <w:t>3.苗木、花卉不</w:t>
            </w:r>
            <w:r>
              <w:rPr>
                <w:rFonts w:ascii="宋体" w:hAnsi="宋体" w:eastAsia="宋体" w:cs="宋体"/>
                <w:spacing w:val="11"/>
                <w:sz w:val="24"/>
                <w:szCs w:val="24"/>
              </w:rPr>
              <w:t>得作为个案进行评估</w:t>
            </w:r>
            <w:r>
              <w:rPr>
                <w:rFonts w:ascii="宋体" w:hAnsi="宋体" w:eastAsia="宋体" w:cs="宋体"/>
                <w:spacing w:val="15"/>
                <w:sz w:val="24"/>
                <w:szCs w:val="24"/>
              </w:rPr>
              <w:t>补偿</w:t>
            </w:r>
            <w:r>
              <w:rPr>
                <w:rFonts w:ascii="宋体" w:hAnsi="宋体" w:eastAsia="宋体" w:cs="宋体"/>
                <w:spacing w:val="-8"/>
                <w:sz w:val="25"/>
                <w:szCs w:val="25"/>
              </w:rPr>
              <w:t>。</w:t>
            </w:r>
            <w:r>
              <w:rPr>
                <w:rFonts w:ascii="宋体" w:hAnsi="宋体" w:eastAsia="宋体" w:cs="宋体"/>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04" w:type="dxa"/>
            <w:vMerge w:val="continue"/>
            <w:tcBorders>
              <w:top w:val="nil"/>
              <w:bottom w:val="nil"/>
            </w:tcBorders>
            <w:vAlign w:val="top"/>
          </w:tcPr>
          <w:p>
            <w:pPr>
              <w:rPr>
                <w:rFonts w:ascii="Arial"/>
                <w:sz w:val="21"/>
              </w:rPr>
            </w:pPr>
          </w:p>
        </w:tc>
        <w:tc>
          <w:tcPr>
            <w:tcW w:w="1638" w:type="dxa"/>
            <w:vAlign w:val="top"/>
          </w:tcPr>
          <w:p>
            <w:pPr>
              <w:spacing w:line="369" w:lineRule="auto"/>
              <w:rPr>
                <w:rFonts w:ascii="Arial"/>
                <w:sz w:val="21"/>
              </w:rPr>
            </w:pPr>
          </w:p>
          <w:p>
            <w:pPr>
              <w:spacing w:before="82" w:line="219" w:lineRule="auto"/>
              <w:ind w:left="241"/>
              <w:rPr>
                <w:rFonts w:ascii="宋体" w:hAnsi="宋体" w:eastAsia="宋体" w:cs="宋体"/>
                <w:sz w:val="25"/>
                <w:szCs w:val="25"/>
              </w:rPr>
            </w:pPr>
            <w:r>
              <w:rPr>
                <w:rFonts w:ascii="宋体" w:hAnsi="宋体" w:eastAsia="宋体" w:cs="宋体"/>
                <w:spacing w:val="4"/>
                <w:sz w:val="25"/>
                <w:szCs w:val="25"/>
              </w:rPr>
              <w:t>4厘米以下</w:t>
            </w:r>
          </w:p>
        </w:tc>
        <w:tc>
          <w:tcPr>
            <w:tcW w:w="1258"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81" w:line="219" w:lineRule="auto"/>
              <w:ind w:left="242"/>
              <w:rPr>
                <w:rFonts w:ascii="宋体" w:hAnsi="宋体" w:eastAsia="宋体" w:cs="宋体"/>
                <w:sz w:val="25"/>
                <w:szCs w:val="25"/>
              </w:rPr>
            </w:pPr>
            <w:r>
              <w:rPr>
                <w:rFonts w:ascii="宋体" w:hAnsi="宋体" w:eastAsia="宋体" w:cs="宋体"/>
                <w:spacing w:val="3"/>
                <w:sz w:val="25"/>
                <w:szCs w:val="25"/>
              </w:rPr>
              <w:t>1米以上</w:t>
            </w:r>
          </w:p>
        </w:tc>
        <w:tc>
          <w:tcPr>
            <w:tcW w:w="1658" w:type="dxa"/>
            <w:vAlign w:val="center"/>
          </w:tcPr>
          <w:p>
            <w:pPr>
              <w:spacing w:before="81" w:line="184" w:lineRule="auto"/>
              <w:ind w:left="325"/>
              <w:jc w:val="both"/>
              <w:rPr>
                <w:rFonts w:ascii="宋体" w:hAnsi="宋体" w:eastAsia="宋体" w:cs="宋体"/>
                <w:sz w:val="25"/>
                <w:szCs w:val="25"/>
              </w:rPr>
            </w:pPr>
            <w:r>
              <w:rPr>
                <w:rFonts w:ascii="宋体" w:hAnsi="宋体" w:eastAsia="宋体" w:cs="宋体"/>
                <w:spacing w:val="-1"/>
                <w:sz w:val="25"/>
                <w:szCs w:val="25"/>
              </w:rPr>
              <w:t>600-1000</w:t>
            </w:r>
          </w:p>
        </w:tc>
        <w:tc>
          <w:tcPr>
            <w:tcW w:w="1339" w:type="dxa"/>
            <w:vAlign w:val="center"/>
          </w:tcPr>
          <w:p>
            <w:pPr>
              <w:spacing w:before="82" w:line="183" w:lineRule="auto"/>
              <w:jc w:val="center"/>
              <w:rPr>
                <w:rFonts w:hint="default" w:ascii="宋体" w:hAnsi="宋体" w:eastAsia="宋体" w:cs="宋体"/>
                <w:color w:val="auto"/>
                <w:sz w:val="25"/>
                <w:szCs w:val="25"/>
                <w:lang w:val="en-US" w:eastAsia="zh-CN"/>
              </w:rPr>
            </w:pPr>
            <w:r>
              <w:rPr>
                <w:rFonts w:hint="eastAsia" w:ascii="宋体" w:hAnsi="宋体" w:eastAsia="宋体" w:cs="宋体"/>
                <w:color w:val="auto"/>
                <w:spacing w:val="-3"/>
                <w:sz w:val="25"/>
                <w:szCs w:val="25"/>
                <w:lang w:val="en-US" w:eastAsia="zh-CN"/>
              </w:rPr>
              <w:t>6800</w:t>
            </w:r>
          </w:p>
        </w:tc>
        <w:tc>
          <w:tcPr>
            <w:tcW w:w="236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804" w:type="dxa"/>
            <w:vMerge w:val="continue"/>
            <w:tcBorders>
              <w:top w:val="nil"/>
              <w:bottom w:val="nil"/>
            </w:tcBorders>
            <w:vAlign w:val="top"/>
          </w:tcPr>
          <w:p>
            <w:pPr>
              <w:rPr>
                <w:rFonts w:ascii="Arial"/>
                <w:sz w:val="21"/>
              </w:rPr>
            </w:pPr>
          </w:p>
        </w:tc>
        <w:tc>
          <w:tcPr>
            <w:tcW w:w="1638" w:type="dxa"/>
            <w:vAlign w:val="top"/>
          </w:tcPr>
          <w:p>
            <w:pPr>
              <w:spacing w:line="367" w:lineRule="auto"/>
              <w:rPr>
                <w:rFonts w:ascii="Arial"/>
                <w:sz w:val="21"/>
              </w:rPr>
            </w:pPr>
          </w:p>
          <w:p>
            <w:pPr>
              <w:spacing w:before="81" w:line="219" w:lineRule="auto"/>
              <w:ind w:left="434"/>
              <w:rPr>
                <w:rFonts w:ascii="宋体" w:hAnsi="宋体" w:eastAsia="宋体" w:cs="宋体"/>
                <w:sz w:val="25"/>
                <w:szCs w:val="25"/>
              </w:rPr>
            </w:pPr>
            <w:r>
              <w:rPr>
                <w:rFonts w:ascii="宋体" w:hAnsi="宋体" w:eastAsia="宋体" w:cs="宋体"/>
                <w:b w:val="0"/>
                <w:bCs w:val="0"/>
                <w:spacing w:val="-5"/>
                <w:sz w:val="25"/>
                <w:szCs w:val="25"/>
              </w:rPr>
              <w:t>4</w:t>
            </w:r>
            <w:r>
              <w:rPr>
                <w:rFonts w:hint="eastAsia" w:ascii="宋体" w:hAnsi="宋体" w:eastAsia="宋体" w:cs="宋体"/>
                <w:b w:val="0"/>
                <w:bCs w:val="0"/>
                <w:spacing w:val="-5"/>
                <w:sz w:val="25"/>
                <w:szCs w:val="25"/>
                <w:lang w:val="en-US" w:eastAsia="zh-CN"/>
              </w:rPr>
              <w:t>-</w:t>
            </w:r>
            <w:r>
              <w:rPr>
                <w:rFonts w:ascii="宋体" w:hAnsi="宋体" w:eastAsia="宋体" w:cs="宋体"/>
                <w:b w:val="0"/>
                <w:bCs w:val="0"/>
                <w:spacing w:val="-5"/>
                <w:sz w:val="25"/>
                <w:szCs w:val="25"/>
              </w:rPr>
              <w:t>9厘米</w:t>
            </w:r>
          </w:p>
        </w:tc>
        <w:tc>
          <w:tcPr>
            <w:tcW w:w="1258" w:type="dxa"/>
            <w:vMerge w:val="continue"/>
            <w:tcBorders>
              <w:top w:val="nil"/>
              <w:bottom w:val="nil"/>
            </w:tcBorders>
            <w:vAlign w:val="top"/>
          </w:tcPr>
          <w:p>
            <w:pPr>
              <w:rPr>
                <w:rFonts w:ascii="Arial"/>
                <w:sz w:val="21"/>
              </w:rPr>
            </w:pPr>
          </w:p>
        </w:tc>
        <w:tc>
          <w:tcPr>
            <w:tcW w:w="1658" w:type="dxa"/>
            <w:vAlign w:val="center"/>
          </w:tcPr>
          <w:p>
            <w:pPr>
              <w:spacing w:before="81" w:line="184" w:lineRule="auto"/>
              <w:ind w:left="385"/>
              <w:jc w:val="both"/>
              <w:rPr>
                <w:rFonts w:ascii="宋体" w:hAnsi="宋体" w:eastAsia="宋体" w:cs="宋体"/>
                <w:sz w:val="25"/>
                <w:szCs w:val="25"/>
              </w:rPr>
            </w:pPr>
            <w:r>
              <w:rPr>
                <w:rFonts w:ascii="宋体" w:hAnsi="宋体" w:eastAsia="宋体" w:cs="宋体"/>
                <w:spacing w:val="-5"/>
                <w:sz w:val="25"/>
                <w:szCs w:val="25"/>
              </w:rPr>
              <w:t>150-600</w:t>
            </w:r>
          </w:p>
        </w:tc>
        <w:tc>
          <w:tcPr>
            <w:tcW w:w="1339" w:type="dxa"/>
            <w:vAlign w:val="center"/>
          </w:tcPr>
          <w:p>
            <w:pPr>
              <w:spacing w:before="81" w:line="184" w:lineRule="auto"/>
              <w:jc w:val="center"/>
              <w:rPr>
                <w:rFonts w:hint="default" w:ascii="宋体" w:hAnsi="宋体" w:eastAsia="宋体" w:cs="宋体"/>
                <w:color w:val="auto"/>
                <w:sz w:val="25"/>
                <w:szCs w:val="25"/>
                <w:lang w:val="en-US" w:eastAsia="zh-CN"/>
              </w:rPr>
            </w:pPr>
            <w:r>
              <w:rPr>
                <w:rFonts w:hint="eastAsia" w:ascii="宋体" w:hAnsi="宋体" w:eastAsia="宋体" w:cs="宋体"/>
                <w:color w:val="auto"/>
                <w:spacing w:val="-5"/>
                <w:sz w:val="25"/>
                <w:szCs w:val="25"/>
                <w:lang w:val="en-US" w:eastAsia="zh-CN"/>
              </w:rPr>
              <w:t>10200</w:t>
            </w:r>
          </w:p>
        </w:tc>
        <w:tc>
          <w:tcPr>
            <w:tcW w:w="236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804" w:type="dxa"/>
            <w:vMerge w:val="continue"/>
            <w:tcBorders>
              <w:top w:val="nil"/>
              <w:bottom w:val="nil"/>
            </w:tcBorders>
            <w:vAlign w:val="top"/>
          </w:tcPr>
          <w:p>
            <w:pPr>
              <w:rPr>
                <w:rFonts w:ascii="Arial"/>
                <w:sz w:val="21"/>
              </w:rPr>
            </w:pPr>
          </w:p>
        </w:tc>
        <w:tc>
          <w:tcPr>
            <w:tcW w:w="1638" w:type="dxa"/>
            <w:vAlign w:val="top"/>
          </w:tcPr>
          <w:p>
            <w:pPr>
              <w:spacing w:line="363" w:lineRule="auto"/>
              <w:rPr>
                <w:rFonts w:ascii="Arial"/>
                <w:sz w:val="21"/>
              </w:rPr>
            </w:pPr>
          </w:p>
          <w:p>
            <w:pPr>
              <w:spacing w:before="81" w:line="219" w:lineRule="auto"/>
              <w:ind w:left="241"/>
              <w:rPr>
                <w:rFonts w:ascii="宋体" w:hAnsi="宋体" w:eastAsia="宋体" w:cs="宋体"/>
                <w:sz w:val="25"/>
                <w:szCs w:val="25"/>
              </w:rPr>
            </w:pPr>
            <w:r>
              <w:rPr>
                <w:rFonts w:ascii="宋体" w:hAnsi="宋体" w:eastAsia="宋体" w:cs="宋体"/>
                <w:spacing w:val="2"/>
                <w:sz w:val="25"/>
                <w:szCs w:val="25"/>
              </w:rPr>
              <w:t>10-19厘米</w:t>
            </w:r>
          </w:p>
        </w:tc>
        <w:tc>
          <w:tcPr>
            <w:tcW w:w="1258" w:type="dxa"/>
            <w:vMerge w:val="continue"/>
            <w:tcBorders>
              <w:top w:val="nil"/>
              <w:bottom w:val="nil"/>
            </w:tcBorders>
            <w:vAlign w:val="top"/>
          </w:tcPr>
          <w:p>
            <w:pPr>
              <w:rPr>
                <w:rFonts w:ascii="Arial"/>
                <w:sz w:val="21"/>
              </w:rPr>
            </w:pPr>
          </w:p>
        </w:tc>
        <w:tc>
          <w:tcPr>
            <w:tcW w:w="1658" w:type="dxa"/>
            <w:vAlign w:val="center"/>
          </w:tcPr>
          <w:p>
            <w:pPr>
              <w:spacing w:before="81" w:line="184" w:lineRule="auto"/>
              <w:ind w:left="385"/>
              <w:jc w:val="both"/>
              <w:rPr>
                <w:rFonts w:ascii="宋体" w:hAnsi="宋体" w:eastAsia="宋体" w:cs="宋体"/>
                <w:sz w:val="25"/>
                <w:szCs w:val="25"/>
              </w:rPr>
            </w:pPr>
            <w:r>
              <w:rPr>
                <w:rFonts w:ascii="宋体" w:hAnsi="宋体" w:eastAsia="宋体" w:cs="宋体"/>
                <w:spacing w:val="-3"/>
                <w:sz w:val="25"/>
                <w:szCs w:val="25"/>
              </w:rPr>
              <w:t>100-120</w:t>
            </w:r>
          </w:p>
        </w:tc>
        <w:tc>
          <w:tcPr>
            <w:tcW w:w="1339" w:type="dxa"/>
            <w:vAlign w:val="center"/>
          </w:tcPr>
          <w:p>
            <w:pPr>
              <w:spacing w:before="81" w:line="183" w:lineRule="auto"/>
              <w:jc w:val="center"/>
              <w:rPr>
                <w:rFonts w:hint="default" w:ascii="宋体" w:hAnsi="宋体" w:eastAsia="宋体" w:cs="宋体"/>
                <w:color w:val="auto"/>
                <w:spacing w:val="-3"/>
                <w:sz w:val="25"/>
                <w:szCs w:val="25"/>
                <w:lang w:val="en-US" w:eastAsia="zh-CN"/>
              </w:rPr>
            </w:pPr>
          </w:p>
          <w:p>
            <w:pPr>
              <w:spacing w:before="82" w:line="183" w:lineRule="auto"/>
              <w:jc w:val="center"/>
              <w:rPr>
                <w:rFonts w:hint="default" w:ascii="宋体" w:hAnsi="宋体" w:eastAsia="宋体" w:cs="宋体"/>
                <w:color w:val="auto"/>
                <w:sz w:val="25"/>
                <w:szCs w:val="25"/>
                <w:lang w:val="en-US" w:eastAsia="zh-CN"/>
              </w:rPr>
            </w:pPr>
            <w:r>
              <w:rPr>
                <w:rFonts w:hint="eastAsia" w:ascii="宋体" w:hAnsi="宋体" w:eastAsia="宋体" w:cs="宋体"/>
                <w:color w:val="auto"/>
                <w:spacing w:val="-3"/>
                <w:sz w:val="25"/>
                <w:szCs w:val="25"/>
                <w:lang w:val="en-US" w:eastAsia="zh-CN"/>
              </w:rPr>
              <w:t>17000</w:t>
            </w:r>
          </w:p>
        </w:tc>
        <w:tc>
          <w:tcPr>
            <w:tcW w:w="236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804" w:type="dxa"/>
            <w:vMerge w:val="continue"/>
            <w:tcBorders>
              <w:top w:val="nil"/>
            </w:tcBorders>
            <w:vAlign w:val="top"/>
          </w:tcPr>
          <w:p>
            <w:pPr>
              <w:rPr>
                <w:rFonts w:ascii="Arial"/>
                <w:sz w:val="21"/>
              </w:rPr>
            </w:pPr>
          </w:p>
        </w:tc>
        <w:tc>
          <w:tcPr>
            <w:tcW w:w="1638" w:type="dxa"/>
            <w:vAlign w:val="top"/>
          </w:tcPr>
          <w:p>
            <w:pPr>
              <w:spacing w:line="364" w:lineRule="auto"/>
              <w:rPr>
                <w:rFonts w:ascii="Arial"/>
                <w:sz w:val="21"/>
              </w:rPr>
            </w:pPr>
          </w:p>
          <w:p>
            <w:pPr>
              <w:spacing w:before="81" w:line="219" w:lineRule="auto"/>
              <w:ind w:left="180"/>
              <w:rPr>
                <w:rFonts w:ascii="宋体" w:hAnsi="宋体" w:eastAsia="宋体" w:cs="宋体"/>
                <w:sz w:val="25"/>
                <w:szCs w:val="25"/>
              </w:rPr>
            </w:pPr>
            <w:r>
              <w:rPr>
                <w:rFonts w:ascii="宋体" w:hAnsi="宋体" w:eastAsia="宋体" w:cs="宋体"/>
                <w:spacing w:val="1"/>
                <w:sz w:val="25"/>
                <w:szCs w:val="25"/>
              </w:rPr>
              <w:t>20厘米以上</w:t>
            </w:r>
          </w:p>
        </w:tc>
        <w:tc>
          <w:tcPr>
            <w:tcW w:w="1258" w:type="dxa"/>
            <w:vMerge w:val="continue"/>
            <w:tcBorders>
              <w:top w:val="nil"/>
            </w:tcBorders>
            <w:vAlign w:val="top"/>
          </w:tcPr>
          <w:p>
            <w:pPr>
              <w:rPr>
                <w:rFonts w:ascii="Arial"/>
                <w:sz w:val="21"/>
              </w:rPr>
            </w:pPr>
          </w:p>
        </w:tc>
        <w:tc>
          <w:tcPr>
            <w:tcW w:w="1658" w:type="dxa"/>
            <w:vAlign w:val="center"/>
          </w:tcPr>
          <w:p>
            <w:pPr>
              <w:spacing w:before="81" w:line="184" w:lineRule="auto"/>
              <w:ind w:left="445"/>
              <w:jc w:val="both"/>
              <w:rPr>
                <w:rFonts w:ascii="宋体" w:hAnsi="宋体" w:eastAsia="宋体" w:cs="宋体"/>
                <w:sz w:val="25"/>
                <w:szCs w:val="25"/>
              </w:rPr>
            </w:pPr>
            <w:r>
              <w:rPr>
                <w:rFonts w:ascii="宋体" w:hAnsi="宋体" w:eastAsia="宋体" w:cs="宋体"/>
                <w:spacing w:val="-1"/>
                <w:sz w:val="25"/>
                <w:szCs w:val="25"/>
              </w:rPr>
              <w:t>80-100</w:t>
            </w:r>
          </w:p>
        </w:tc>
        <w:tc>
          <w:tcPr>
            <w:tcW w:w="1339" w:type="dxa"/>
            <w:vAlign w:val="center"/>
          </w:tcPr>
          <w:p>
            <w:pPr>
              <w:spacing w:before="81" w:line="183" w:lineRule="auto"/>
              <w:jc w:val="center"/>
              <w:rPr>
                <w:rFonts w:hint="default" w:ascii="宋体" w:hAnsi="宋体" w:eastAsia="宋体" w:cs="宋体"/>
                <w:color w:val="auto"/>
                <w:sz w:val="25"/>
                <w:szCs w:val="25"/>
                <w:lang w:val="en-US" w:eastAsia="zh-CN"/>
              </w:rPr>
            </w:pPr>
            <w:r>
              <w:rPr>
                <w:rFonts w:hint="eastAsia" w:ascii="宋体" w:hAnsi="宋体" w:eastAsia="宋体" w:cs="宋体"/>
                <w:color w:val="auto"/>
                <w:spacing w:val="-3"/>
                <w:sz w:val="25"/>
                <w:szCs w:val="25"/>
                <w:lang w:val="en-US" w:eastAsia="zh-CN"/>
              </w:rPr>
              <w:t>27625</w:t>
            </w:r>
          </w:p>
        </w:tc>
        <w:tc>
          <w:tcPr>
            <w:tcW w:w="2369"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804" w:type="dxa"/>
            <w:vAlign w:val="top"/>
          </w:tcPr>
          <w:p>
            <w:pPr>
              <w:spacing w:line="373" w:lineRule="auto"/>
              <w:rPr>
                <w:rFonts w:ascii="Arial"/>
                <w:sz w:val="21"/>
              </w:rPr>
            </w:pPr>
          </w:p>
          <w:p>
            <w:pPr>
              <w:spacing w:before="81" w:line="221" w:lineRule="auto"/>
              <w:ind w:left="188"/>
              <w:rPr>
                <w:rFonts w:ascii="宋体" w:hAnsi="宋体" w:eastAsia="宋体" w:cs="宋体"/>
                <w:sz w:val="25"/>
                <w:szCs w:val="25"/>
              </w:rPr>
            </w:pPr>
            <w:r>
              <w:rPr>
                <w:rFonts w:ascii="宋体" w:hAnsi="宋体" w:eastAsia="宋体" w:cs="宋体"/>
                <w:b/>
                <w:bCs/>
                <w:spacing w:val="-6"/>
                <w:sz w:val="25"/>
                <w:szCs w:val="25"/>
              </w:rPr>
              <w:t>花卉</w:t>
            </w:r>
          </w:p>
        </w:tc>
        <w:tc>
          <w:tcPr>
            <w:tcW w:w="5893" w:type="dxa"/>
            <w:gridSpan w:val="4"/>
            <w:vAlign w:val="center"/>
          </w:tcPr>
          <w:p>
            <w:pPr>
              <w:spacing w:before="82" w:line="183" w:lineRule="auto"/>
              <w:ind w:left="2691"/>
              <w:jc w:val="both"/>
              <w:rPr>
                <w:rFonts w:hint="default" w:ascii="宋体" w:hAnsi="宋体" w:eastAsia="宋体" w:cs="宋体"/>
                <w:sz w:val="25"/>
                <w:szCs w:val="25"/>
                <w:lang w:val="en-US" w:eastAsia="zh-CN"/>
              </w:rPr>
            </w:pPr>
            <w:r>
              <w:rPr>
                <w:rFonts w:hint="eastAsia" w:ascii="宋体" w:hAnsi="宋体" w:eastAsia="宋体" w:cs="宋体"/>
                <w:color w:val="auto"/>
                <w:spacing w:val="-3"/>
                <w:sz w:val="25"/>
                <w:szCs w:val="25"/>
                <w:lang w:val="en-US" w:eastAsia="zh-CN"/>
              </w:rPr>
              <w:t>5950</w:t>
            </w:r>
          </w:p>
        </w:tc>
        <w:tc>
          <w:tcPr>
            <w:tcW w:w="2369" w:type="dxa"/>
            <w:vMerge w:val="continue"/>
            <w:tcBorders>
              <w:top w:val="nil"/>
            </w:tcBorders>
            <w:vAlign w:val="top"/>
          </w:tcPr>
          <w:p>
            <w:pPr>
              <w:rPr>
                <w:rFonts w:ascii="Arial"/>
                <w:sz w:val="21"/>
              </w:rPr>
            </w:pPr>
          </w:p>
        </w:tc>
      </w:tr>
    </w:tbl>
    <w:p>
      <w:pPr>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附件3</w:t>
      </w:r>
    </w:p>
    <w:p>
      <w:pPr>
        <w:spacing w:before="305" w:line="219" w:lineRule="auto"/>
        <w:ind w:left="2241"/>
        <w:rPr>
          <w:rFonts w:ascii="宋体" w:hAnsi="宋体" w:eastAsia="宋体" w:cs="宋体"/>
          <w:sz w:val="44"/>
          <w:szCs w:val="44"/>
        </w:rPr>
      </w:pPr>
      <w:r>
        <w:rPr>
          <w:rFonts w:ascii="宋体" w:hAnsi="宋体" w:eastAsia="宋体" w:cs="宋体"/>
          <w:b/>
          <w:bCs/>
          <w:spacing w:val="-12"/>
          <w:sz w:val="44"/>
          <w:szCs w:val="44"/>
        </w:rPr>
        <w:t>果园、茶园青苗补偿标准</w:t>
      </w:r>
    </w:p>
    <w:p>
      <w:pPr>
        <w:spacing w:line="365" w:lineRule="auto"/>
        <w:rPr>
          <w:rFonts w:ascii="Arial"/>
          <w:sz w:val="21"/>
        </w:rPr>
      </w:pPr>
    </w:p>
    <w:p>
      <w:pPr>
        <w:spacing w:before="82" w:line="222" w:lineRule="auto"/>
        <w:ind w:right="37"/>
        <w:jc w:val="right"/>
        <w:rPr>
          <w:rFonts w:ascii="黑体" w:hAnsi="黑体" w:eastAsia="黑体" w:cs="黑体"/>
          <w:color w:val="auto"/>
          <w:sz w:val="25"/>
          <w:szCs w:val="25"/>
        </w:rPr>
      </w:pPr>
      <w:r>
        <w:rPr>
          <w:rFonts w:ascii="黑体" w:hAnsi="黑体" w:eastAsia="黑体" w:cs="黑体"/>
          <w:color w:val="auto"/>
          <w:spacing w:val="-13"/>
          <w:sz w:val="25"/>
          <w:szCs w:val="25"/>
        </w:rPr>
        <w:t>单位：元/亩</w:t>
      </w:r>
    </w:p>
    <w:p>
      <w:pPr>
        <w:spacing w:line="134" w:lineRule="exact"/>
      </w:pPr>
    </w:p>
    <w:tbl>
      <w:tblPr>
        <w:tblStyle w:val="12"/>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82"/>
        <w:gridCol w:w="2308"/>
        <w:gridCol w:w="1449"/>
        <w:gridCol w:w="1448"/>
        <w:gridCol w:w="14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2382" w:type="dxa"/>
            <w:vAlign w:val="top"/>
          </w:tcPr>
          <w:p>
            <w:pPr>
              <w:spacing w:before="162" w:line="220" w:lineRule="auto"/>
              <w:ind w:left="948"/>
              <w:rPr>
                <w:rFonts w:ascii="宋体" w:hAnsi="宋体" w:eastAsia="宋体" w:cs="宋体"/>
                <w:sz w:val="24"/>
                <w:szCs w:val="24"/>
              </w:rPr>
            </w:pPr>
            <w:r>
              <w:rPr>
                <w:rFonts w:ascii="宋体" w:hAnsi="宋体" w:eastAsia="宋体" w:cs="宋体"/>
                <w:b/>
                <w:bCs/>
                <w:spacing w:val="2"/>
                <w:sz w:val="24"/>
                <w:szCs w:val="24"/>
              </w:rPr>
              <w:t>品种</w:t>
            </w:r>
          </w:p>
        </w:tc>
        <w:tc>
          <w:tcPr>
            <w:tcW w:w="2308" w:type="dxa"/>
            <w:vAlign w:val="top"/>
          </w:tcPr>
          <w:p>
            <w:pPr>
              <w:spacing w:before="162" w:line="220" w:lineRule="auto"/>
              <w:ind w:left="906"/>
              <w:rPr>
                <w:rFonts w:ascii="宋体" w:hAnsi="宋体" w:eastAsia="宋体" w:cs="宋体"/>
                <w:sz w:val="24"/>
                <w:szCs w:val="24"/>
              </w:rPr>
            </w:pPr>
            <w:r>
              <w:rPr>
                <w:rFonts w:ascii="宋体" w:hAnsi="宋体" w:eastAsia="宋体" w:cs="宋体"/>
                <w:b/>
                <w:bCs/>
                <w:spacing w:val="2"/>
                <w:sz w:val="24"/>
                <w:szCs w:val="24"/>
              </w:rPr>
              <w:t>苗期</w:t>
            </w:r>
          </w:p>
        </w:tc>
        <w:tc>
          <w:tcPr>
            <w:tcW w:w="1449" w:type="dxa"/>
            <w:vAlign w:val="top"/>
          </w:tcPr>
          <w:p>
            <w:pPr>
              <w:spacing w:before="161" w:line="219" w:lineRule="auto"/>
              <w:ind w:left="358"/>
              <w:rPr>
                <w:rFonts w:ascii="宋体" w:hAnsi="宋体" w:eastAsia="宋体" w:cs="宋体"/>
                <w:sz w:val="24"/>
                <w:szCs w:val="24"/>
              </w:rPr>
            </w:pPr>
            <w:r>
              <w:rPr>
                <w:rFonts w:ascii="宋体" w:hAnsi="宋体" w:eastAsia="宋体" w:cs="宋体"/>
                <w:b/>
                <w:bCs/>
                <w:sz w:val="24"/>
                <w:szCs w:val="24"/>
              </w:rPr>
              <w:t>定植期</w:t>
            </w:r>
          </w:p>
        </w:tc>
        <w:tc>
          <w:tcPr>
            <w:tcW w:w="1448" w:type="dxa"/>
            <w:vAlign w:val="top"/>
          </w:tcPr>
          <w:p>
            <w:pPr>
              <w:spacing w:before="162" w:line="220" w:lineRule="auto"/>
              <w:ind w:left="359"/>
              <w:rPr>
                <w:rFonts w:ascii="宋体" w:hAnsi="宋体" w:eastAsia="宋体" w:cs="宋体"/>
                <w:sz w:val="24"/>
                <w:szCs w:val="24"/>
              </w:rPr>
            </w:pPr>
            <w:r>
              <w:rPr>
                <w:rFonts w:ascii="宋体" w:hAnsi="宋体" w:eastAsia="宋体" w:cs="宋体"/>
                <w:b/>
                <w:bCs/>
                <w:spacing w:val="-5"/>
                <w:sz w:val="24"/>
                <w:szCs w:val="24"/>
              </w:rPr>
              <w:t>始果期</w:t>
            </w:r>
          </w:p>
        </w:tc>
        <w:tc>
          <w:tcPr>
            <w:tcW w:w="1473" w:type="dxa"/>
            <w:vAlign w:val="top"/>
          </w:tcPr>
          <w:p>
            <w:pPr>
              <w:spacing w:before="161" w:line="219" w:lineRule="auto"/>
              <w:ind w:left="371"/>
              <w:rPr>
                <w:rFonts w:ascii="宋体" w:hAnsi="宋体" w:eastAsia="宋体" w:cs="宋体"/>
                <w:sz w:val="24"/>
                <w:szCs w:val="24"/>
              </w:rPr>
            </w:pPr>
            <w:r>
              <w:rPr>
                <w:rFonts w:ascii="宋体" w:hAnsi="宋体" w:eastAsia="宋体" w:cs="宋体"/>
                <w:b/>
                <w:bCs/>
                <w:sz w:val="24"/>
                <w:szCs w:val="24"/>
              </w:rPr>
              <w:t>盛产期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382" w:type="dxa"/>
            <w:vAlign w:val="top"/>
          </w:tcPr>
          <w:p>
            <w:pPr>
              <w:spacing w:before="171" w:line="219" w:lineRule="auto"/>
              <w:ind w:left="585"/>
              <w:rPr>
                <w:rFonts w:ascii="宋体" w:hAnsi="宋体" w:eastAsia="宋体" w:cs="宋体"/>
                <w:sz w:val="24"/>
                <w:szCs w:val="24"/>
              </w:rPr>
            </w:pPr>
            <w:r>
              <w:rPr>
                <w:rFonts w:ascii="宋体" w:hAnsi="宋体" w:eastAsia="宋体" w:cs="宋体"/>
                <w:spacing w:val="3"/>
                <w:sz w:val="24"/>
                <w:szCs w:val="24"/>
              </w:rPr>
              <w:t>桔、梨、柚</w:t>
            </w:r>
          </w:p>
        </w:tc>
        <w:tc>
          <w:tcPr>
            <w:tcW w:w="2308" w:type="dxa"/>
            <w:vAlign w:val="top"/>
          </w:tcPr>
          <w:p>
            <w:pPr>
              <w:spacing w:before="231" w:line="184" w:lineRule="auto"/>
              <w:ind w:left="902"/>
              <w:rPr>
                <w:rFonts w:ascii="宋体" w:hAnsi="宋体" w:eastAsia="宋体" w:cs="宋体"/>
                <w:sz w:val="24"/>
                <w:szCs w:val="24"/>
              </w:rPr>
            </w:pPr>
            <w:r>
              <w:rPr>
                <w:rFonts w:ascii="宋体" w:hAnsi="宋体" w:eastAsia="宋体" w:cs="宋体"/>
                <w:spacing w:val="-6"/>
                <w:sz w:val="24"/>
                <w:szCs w:val="24"/>
              </w:rPr>
              <w:t>1200</w:t>
            </w:r>
          </w:p>
        </w:tc>
        <w:tc>
          <w:tcPr>
            <w:tcW w:w="1449" w:type="dxa"/>
            <w:vAlign w:val="top"/>
          </w:tcPr>
          <w:p>
            <w:pPr>
              <w:spacing w:before="232" w:line="183" w:lineRule="auto"/>
              <w:ind w:left="474"/>
              <w:rPr>
                <w:rFonts w:ascii="宋体" w:hAnsi="宋体" w:eastAsia="宋体" w:cs="宋体"/>
                <w:sz w:val="24"/>
                <w:szCs w:val="24"/>
              </w:rPr>
            </w:pPr>
            <w:r>
              <w:rPr>
                <w:rFonts w:ascii="宋体" w:hAnsi="宋体" w:eastAsia="宋体" w:cs="宋体"/>
                <w:spacing w:val="-3"/>
                <w:sz w:val="24"/>
                <w:szCs w:val="24"/>
              </w:rPr>
              <w:t>2800</w:t>
            </w:r>
          </w:p>
        </w:tc>
        <w:tc>
          <w:tcPr>
            <w:tcW w:w="1448" w:type="dxa"/>
            <w:vAlign w:val="top"/>
          </w:tcPr>
          <w:p>
            <w:pPr>
              <w:spacing w:before="232" w:line="183" w:lineRule="auto"/>
              <w:ind w:left="476"/>
              <w:rPr>
                <w:rFonts w:ascii="宋体" w:hAnsi="宋体" w:eastAsia="宋体" w:cs="宋体"/>
                <w:sz w:val="24"/>
                <w:szCs w:val="24"/>
              </w:rPr>
            </w:pPr>
            <w:r>
              <w:rPr>
                <w:rFonts w:ascii="宋体" w:hAnsi="宋体" w:eastAsia="宋体" w:cs="宋体"/>
                <w:spacing w:val="-2"/>
                <w:sz w:val="24"/>
                <w:szCs w:val="24"/>
              </w:rPr>
              <w:t>8000</w:t>
            </w:r>
          </w:p>
        </w:tc>
        <w:tc>
          <w:tcPr>
            <w:tcW w:w="1473" w:type="dxa"/>
            <w:vAlign w:val="top"/>
          </w:tcPr>
          <w:p>
            <w:pPr>
              <w:spacing w:before="231" w:line="184" w:lineRule="auto"/>
              <w:ind w:left="428"/>
              <w:rPr>
                <w:rFonts w:ascii="宋体" w:hAnsi="宋体" w:eastAsia="宋体" w:cs="宋体"/>
                <w:sz w:val="24"/>
                <w:szCs w:val="24"/>
              </w:rPr>
            </w:pPr>
            <w:r>
              <w:rPr>
                <w:rFonts w:ascii="宋体" w:hAnsi="宋体" w:eastAsia="宋体" w:cs="宋体"/>
                <w:spacing w:val="-5"/>
                <w:sz w:val="24"/>
                <w:szCs w:val="24"/>
              </w:rPr>
              <w:t>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82" w:type="dxa"/>
            <w:vAlign w:val="top"/>
          </w:tcPr>
          <w:p>
            <w:pPr>
              <w:spacing w:before="171" w:line="219" w:lineRule="auto"/>
              <w:ind w:left="105"/>
              <w:rPr>
                <w:rFonts w:ascii="宋体" w:hAnsi="宋体" w:eastAsia="宋体" w:cs="宋体"/>
                <w:sz w:val="24"/>
                <w:szCs w:val="24"/>
              </w:rPr>
            </w:pPr>
            <w:r>
              <w:rPr>
                <w:rFonts w:ascii="宋体" w:hAnsi="宋体" w:eastAsia="宋体" w:cs="宋体"/>
                <w:spacing w:val="1"/>
                <w:sz w:val="24"/>
                <w:szCs w:val="24"/>
              </w:rPr>
              <w:t>桃、李、枣、椒子等</w:t>
            </w:r>
          </w:p>
        </w:tc>
        <w:tc>
          <w:tcPr>
            <w:tcW w:w="2308" w:type="dxa"/>
            <w:vAlign w:val="top"/>
          </w:tcPr>
          <w:p>
            <w:pPr>
              <w:spacing w:before="231" w:line="184" w:lineRule="auto"/>
              <w:ind w:left="902"/>
              <w:rPr>
                <w:rFonts w:ascii="宋体" w:hAnsi="宋体" w:eastAsia="宋体" w:cs="宋体"/>
                <w:sz w:val="24"/>
                <w:szCs w:val="24"/>
              </w:rPr>
            </w:pPr>
            <w:r>
              <w:rPr>
                <w:rFonts w:ascii="宋体" w:hAnsi="宋体" w:eastAsia="宋体" w:cs="宋体"/>
                <w:spacing w:val="-6"/>
                <w:sz w:val="24"/>
                <w:szCs w:val="24"/>
              </w:rPr>
              <w:t>1200</w:t>
            </w:r>
          </w:p>
        </w:tc>
        <w:tc>
          <w:tcPr>
            <w:tcW w:w="1449" w:type="dxa"/>
            <w:vAlign w:val="top"/>
          </w:tcPr>
          <w:p>
            <w:pPr>
              <w:spacing w:before="232" w:line="183" w:lineRule="auto"/>
              <w:ind w:left="474"/>
              <w:rPr>
                <w:rFonts w:ascii="宋体" w:hAnsi="宋体" w:eastAsia="宋体" w:cs="宋体"/>
                <w:sz w:val="24"/>
                <w:szCs w:val="24"/>
              </w:rPr>
            </w:pPr>
            <w:r>
              <w:rPr>
                <w:rFonts w:ascii="宋体" w:hAnsi="宋体" w:eastAsia="宋体" w:cs="宋体"/>
                <w:spacing w:val="-3"/>
                <w:sz w:val="24"/>
                <w:szCs w:val="24"/>
              </w:rPr>
              <w:t>2400</w:t>
            </w:r>
          </w:p>
        </w:tc>
        <w:tc>
          <w:tcPr>
            <w:tcW w:w="1448" w:type="dxa"/>
            <w:vAlign w:val="top"/>
          </w:tcPr>
          <w:p>
            <w:pPr>
              <w:spacing w:before="232" w:line="183" w:lineRule="auto"/>
              <w:ind w:left="476"/>
              <w:rPr>
                <w:rFonts w:ascii="宋体" w:hAnsi="宋体" w:eastAsia="宋体" w:cs="宋体"/>
                <w:sz w:val="24"/>
                <w:szCs w:val="24"/>
              </w:rPr>
            </w:pPr>
            <w:r>
              <w:rPr>
                <w:rFonts w:ascii="宋体" w:hAnsi="宋体" w:eastAsia="宋体" w:cs="宋体"/>
                <w:spacing w:val="-3"/>
                <w:sz w:val="24"/>
                <w:szCs w:val="24"/>
              </w:rPr>
              <w:t>5000</w:t>
            </w:r>
          </w:p>
        </w:tc>
        <w:tc>
          <w:tcPr>
            <w:tcW w:w="1473" w:type="dxa"/>
            <w:vAlign w:val="top"/>
          </w:tcPr>
          <w:p>
            <w:pPr>
              <w:spacing w:before="231" w:line="184" w:lineRule="auto"/>
              <w:ind w:left="428"/>
              <w:rPr>
                <w:rFonts w:ascii="宋体" w:hAnsi="宋体" w:eastAsia="宋体" w:cs="宋体"/>
                <w:sz w:val="24"/>
                <w:szCs w:val="24"/>
              </w:rPr>
            </w:pPr>
            <w:r>
              <w:rPr>
                <w:rFonts w:ascii="宋体" w:hAnsi="宋体" w:eastAsia="宋体" w:cs="宋体"/>
                <w:spacing w:val="-5"/>
                <w:sz w:val="24"/>
                <w:szCs w:val="24"/>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382" w:type="dxa"/>
            <w:vAlign w:val="top"/>
          </w:tcPr>
          <w:p>
            <w:pPr>
              <w:spacing w:before="163" w:line="221" w:lineRule="auto"/>
              <w:ind w:left="944"/>
              <w:rPr>
                <w:rFonts w:ascii="宋体" w:hAnsi="宋体" w:eastAsia="宋体" w:cs="宋体"/>
                <w:sz w:val="24"/>
                <w:szCs w:val="24"/>
              </w:rPr>
            </w:pPr>
            <w:r>
              <w:rPr>
                <w:rFonts w:ascii="宋体" w:hAnsi="宋体" w:eastAsia="宋体" w:cs="宋体"/>
                <w:spacing w:val="10"/>
                <w:sz w:val="24"/>
                <w:szCs w:val="24"/>
              </w:rPr>
              <w:t>茶园</w:t>
            </w:r>
          </w:p>
        </w:tc>
        <w:tc>
          <w:tcPr>
            <w:tcW w:w="2308" w:type="dxa"/>
            <w:vAlign w:val="top"/>
          </w:tcPr>
          <w:p>
            <w:pPr>
              <w:spacing w:before="223" w:line="183" w:lineRule="auto"/>
              <w:ind w:left="902"/>
              <w:rPr>
                <w:rFonts w:ascii="宋体" w:hAnsi="宋体" w:eastAsia="宋体" w:cs="宋体"/>
                <w:sz w:val="24"/>
                <w:szCs w:val="24"/>
              </w:rPr>
            </w:pPr>
            <w:r>
              <w:rPr>
                <w:rFonts w:ascii="宋体" w:hAnsi="宋体" w:eastAsia="宋体" w:cs="宋体"/>
                <w:spacing w:val="-3"/>
                <w:sz w:val="24"/>
                <w:szCs w:val="24"/>
              </w:rPr>
              <w:t>2000</w:t>
            </w:r>
          </w:p>
        </w:tc>
        <w:tc>
          <w:tcPr>
            <w:tcW w:w="1449" w:type="dxa"/>
            <w:vAlign w:val="top"/>
          </w:tcPr>
          <w:p>
            <w:pPr>
              <w:spacing w:before="223" w:line="183" w:lineRule="auto"/>
              <w:ind w:left="474"/>
              <w:rPr>
                <w:rFonts w:ascii="宋体" w:hAnsi="宋体" w:eastAsia="宋体" w:cs="宋体"/>
                <w:sz w:val="24"/>
                <w:szCs w:val="24"/>
              </w:rPr>
            </w:pPr>
            <w:r>
              <w:rPr>
                <w:rFonts w:ascii="宋体" w:hAnsi="宋体" w:eastAsia="宋体" w:cs="宋体"/>
                <w:spacing w:val="-3"/>
                <w:sz w:val="24"/>
                <w:szCs w:val="24"/>
              </w:rPr>
              <w:t>3000</w:t>
            </w:r>
          </w:p>
        </w:tc>
        <w:tc>
          <w:tcPr>
            <w:tcW w:w="1448" w:type="dxa"/>
            <w:vAlign w:val="top"/>
          </w:tcPr>
          <w:p>
            <w:pPr>
              <w:spacing w:before="223" w:line="183" w:lineRule="auto"/>
              <w:ind w:left="476"/>
              <w:rPr>
                <w:rFonts w:ascii="宋体" w:hAnsi="宋体" w:eastAsia="宋体" w:cs="宋体"/>
                <w:sz w:val="24"/>
                <w:szCs w:val="24"/>
              </w:rPr>
            </w:pPr>
            <w:r>
              <w:rPr>
                <w:rFonts w:ascii="宋体" w:hAnsi="宋体" w:eastAsia="宋体" w:cs="宋体"/>
                <w:spacing w:val="-2"/>
                <w:sz w:val="24"/>
                <w:szCs w:val="24"/>
              </w:rPr>
              <w:t>4000</w:t>
            </w:r>
          </w:p>
        </w:tc>
        <w:tc>
          <w:tcPr>
            <w:tcW w:w="1473" w:type="dxa"/>
            <w:vAlign w:val="top"/>
          </w:tcPr>
          <w:p>
            <w:pPr>
              <w:spacing w:before="223" w:line="183" w:lineRule="auto"/>
              <w:ind w:left="488"/>
              <w:rPr>
                <w:rFonts w:ascii="宋体" w:hAnsi="宋体" w:eastAsia="宋体" w:cs="宋体"/>
                <w:sz w:val="24"/>
                <w:szCs w:val="24"/>
              </w:rPr>
            </w:pPr>
            <w:r>
              <w:rPr>
                <w:rFonts w:ascii="宋体" w:hAnsi="宋体" w:eastAsia="宋体" w:cs="宋体"/>
                <w:spacing w:val="-2"/>
                <w:sz w:val="24"/>
                <w:szCs w:val="24"/>
              </w:rPr>
              <w:t>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82" w:type="dxa"/>
            <w:vAlign w:val="top"/>
          </w:tcPr>
          <w:p>
            <w:pPr>
              <w:spacing w:before="173" w:line="220" w:lineRule="auto"/>
              <w:ind w:left="585"/>
              <w:rPr>
                <w:rFonts w:ascii="宋体" w:hAnsi="宋体" w:eastAsia="宋体" w:cs="宋体"/>
                <w:sz w:val="24"/>
                <w:szCs w:val="24"/>
              </w:rPr>
            </w:pPr>
            <w:r>
              <w:rPr>
                <w:rFonts w:ascii="宋体" w:hAnsi="宋体" w:eastAsia="宋体" w:cs="宋体"/>
                <w:spacing w:val="2"/>
                <w:sz w:val="24"/>
                <w:szCs w:val="24"/>
              </w:rPr>
              <w:t>葡萄、提子</w:t>
            </w:r>
          </w:p>
        </w:tc>
        <w:tc>
          <w:tcPr>
            <w:tcW w:w="3757" w:type="dxa"/>
            <w:gridSpan w:val="2"/>
            <w:vAlign w:val="top"/>
          </w:tcPr>
          <w:p>
            <w:pPr>
              <w:spacing w:before="234" w:line="183" w:lineRule="auto"/>
              <w:ind w:left="1633"/>
              <w:rPr>
                <w:rFonts w:ascii="宋体" w:hAnsi="宋体" w:eastAsia="宋体" w:cs="宋体"/>
                <w:sz w:val="24"/>
                <w:szCs w:val="24"/>
              </w:rPr>
            </w:pPr>
            <w:r>
              <w:rPr>
                <w:rFonts w:ascii="宋体" w:hAnsi="宋体" w:eastAsia="宋体" w:cs="宋体"/>
                <w:spacing w:val="-3"/>
                <w:sz w:val="24"/>
                <w:szCs w:val="24"/>
              </w:rPr>
              <w:t>6000</w:t>
            </w:r>
          </w:p>
        </w:tc>
        <w:tc>
          <w:tcPr>
            <w:tcW w:w="1448" w:type="dxa"/>
            <w:vAlign w:val="top"/>
          </w:tcPr>
          <w:p>
            <w:pPr>
              <w:spacing w:before="233" w:line="184" w:lineRule="auto"/>
              <w:ind w:left="415"/>
              <w:rPr>
                <w:rFonts w:ascii="宋体" w:hAnsi="宋体" w:eastAsia="宋体" w:cs="宋体"/>
                <w:sz w:val="24"/>
                <w:szCs w:val="24"/>
              </w:rPr>
            </w:pPr>
            <w:r>
              <w:rPr>
                <w:rFonts w:ascii="宋体" w:hAnsi="宋体" w:eastAsia="宋体" w:cs="宋体"/>
                <w:spacing w:val="-5"/>
                <w:sz w:val="24"/>
                <w:szCs w:val="24"/>
              </w:rPr>
              <w:t>10000</w:t>
            </w:r>
          </w:p>
        </w:tc>
        <w:tc>
          <w:tcPr>
            <w:tcW w:w="1473" w:type="dxa"/>
            <w:vAlign w:val="top"/>
          </w:tcPr>
          <w:p>
            <w:pPr>
              <w:spacing w:before="234" w:line="183" w:lineRule="auto"/>
              <w:ind w:left="428"/>
              <w:rPr>
                <w:rFonts w:ascii="宋体" w:hAnsi="宋体" w:eastAsia="宋体" w:cs="宋体"/>
                <w:sz w:val="24"/>
                <w:szCs w:val="24"/>
              </w:rPr>
            </w:pPr>
            <w:r>
              <w:rPr>
                <w:rFonts w:ascii="宋体" w:hAnsi="宋体" w:eastAsia="宋体" w:cs="宋体"/>
                <w:spacing w:val="-2"/>
                <w:sz w:val="24"/>
                <w:szCs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382" w:type="dxa"/>
            <w:vAlign w:val="top"/>
          </w:tcPr>
          <w:p>
            <w:pPr>
              <w:spacing w:before="164" w:line="219" w:lineRule="auto"/>
              <w:ind w:left="944"/>
              <w:rPr>
                <w:rFonts w:ascii="宋体" w:hAnsi="宋体" w:eastAsia="宋体" w:cs="宋体"/>
                <w:sz w:val="24"/>
                <w:szCs w:val="24"/>
              </w:rPr>
            </w:pPr>
            <w:r>
              <w:rPr>
                <w:rFonts w:ascii="宋体" w:hAnsi="宋体" w:eastAsia="宋体" w:cs="宋体"/>
                <w:spacing w:val="5"/>
                <w:sz w:val="24"/>
                <w:szCs w:val="24"/>
              </w:rPr>
              <w:t>草莓</w:t>
            </w:r>
          </w:p>
        </w:tc>
        <w:tc>
          <w:tcPr>
            <w:tcW w:w="6678" w:type="dxa"/>
            <w:gridSpan w:val="4"/>
            <w:vAlign w:val="top"/>
          </w:tcPr>
          <w:p>
            <w:pPr>
              <w:spacing w:before="225" w:line="183" w:lineRule="auto"/>
              <w:ind w:left="3063"/>
              <w:rPr>
                <w:rFonts w:ascii="宋体" w:hAnsi="宋体" w:eastAsia="宋体" w:cs="宋体"/>
                <w:sz w:val="24"/>
                <w:szCs w:val="24"/>
              </w:rPr>
            </w:pPr>
            <w:r>
              <w:rPr>
                <w:rFonts w:ascii="宋体" w:hAnsi="宋体" w:eastAsia="宋体" w:cs="宋体"/>
                <w:spacing w:val="-2"/>
                <w:sz w:val="24"/>
                <w:szCs w:val="24"/>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382" w:type="dxa"/>
            <w:vAlign w:val="top"/>
          </w:tcPr>
          <w:p>
            <w:pPr>
              <w:spacing w:before="178" w:line="222" w:lineRule="auto"/>
              <w:ind w:left="944"/>
              <w:rPr>
                <w:rFonts w:ascii="宋体" w:hAnsi="宋体" w:eastAsia="宋体" w:cs="宋体"/>
                <w:sz w:val="24"/>
                <w:szCs w:val="24"/>
              </w:rPr>
            </w:pPr>
            <w:r>
              <w:rPr>
                <w:rFonts w:ascii="宋体" w:hAnsi="宋体" w:eastAsia="宋体" w:cs="宋体"/>
                <w:spacing w:val="5"/>
                <w:sz w:val="24"/>
                <w:szCs w:val="24"/>
              </w:rPr>
              <w:t>西瓜</w:t>
            </w:r>
          </w:p>
        </w:tc>
        <w:tc>
          <w:tcPr>
            <w:tcW w:w="6678" w:type="dxa"/>
            <w:gridSpan w:val="4"/>
            <w:vAlign w:val="top"/>
          </w:tcPr>
          <w:p>
            <w:pPr>
              <w:spacing w:before="236" w:line="183" w:lineRule="auto"/>
              <w:ind w:left="3073"/>
              <w:rPr>
                <w:rFonts w:ascii="宋体" w:hAnsi="宋体" w:eastAsia="宋体" w:cs="宋体"/>
                <w:sz w:val="24"/>
                <w:szCs w:val="24"/>
              </w:rPr>
            </w:pPr>
            <w:r>
              <w:rPr>
                <w:rFonts w:ascii="宋体" w:hAnsi="宋体" w:eastAsia="宋体" w:cs="宋体"/>
                <w:spacing w:val="-3"/>
                <w:sz w:val="24"/>
                <w:szCs w:val="24"/>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82" w:type="dxa"/>
            <w:vAlign w:val="top"/>
          </w:tcPr>
          <w:p>
            <w:pPr>
              <w:spacing w:before="173" w:line="219" w:lineRule="auto"/>
              <w:ind w:left="944"/>
              <w:rPr>
                <w:rFonts w:ascii="宋体" w:hAnsi="宋体" w:eastAsia="宋体" w:cs="宋体"/>
                <w:sz w:val="24"/>
                <w:szCs w:val="24"/>
              </w:rPr>
            </w:pPr>
            <w:r>
              <w:rPr>
                <w:rFonts w:ascii="宋体" w:hAnsi="宋体" w:eastAsia="宋体" w:cs="宋体"/>
                <w:spacing w:val="4"/>
                <w:sz w:val="24"/>
                <w:szCs w:val="24"/>
              </w:rPr>
              <w:t>药材</w:t>
            </w:r>
          </w:p>
        </w:tc>
        <w:tc>
          <w:tcPr>
            <w:tcW w:w="6678" w:type="dxa"/>
            <w:gridSpan w:val="4"/>
            <w:vAlign w:val="top"/>
          </w:tcPr>
          <w:p>
            <w:pPr>
              <w:spacing w:before="235" w:line="183" w:lineRule="auto"/>
              <w:ind w:left="3086"/>
              <w:rPr>
                <w:rFonts w:ascii="宋体" w:hAnsi="宋体" w:eastAsia="宋体" w:cs="宋体"/>
                <w:sz w:val="24"/>
                <w:szCs w:val="24"/>
              </w:rPr>
            </w:pPr>
            <w:r>
              <w:rPr>
                <w:rFonts w:ascii="宋体" w:hAnsi="宋体" w:eastAsia="宋体" w:cs="宋体"/>
                <w:b w:val="0"/>
                <w:bCs w:val="0"/>
                <w:spacing w:val="-5"/>
                <w:sz w:val="24"/>
                <w:szCs w:val="24"/>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382" w:type="dxa"/>
            <w:vAlign w:val="top"/>
          </w:tcPr>
          <w:p>
            <w:pPr>
              <w:spacing w:before="176" w:line="219" w:lineRule="auto"/>
              <w:ind w:left="825"/>
              <w:rPr>
                <w:rFonts w:ascii="宋体" w:hAnsi="宋体" w:eastAsia="宋体" w:cs="宋体"/>
                <w:sz w:val="24"/>
                <w:szCs w:val="24"/>
              </w:rPr>
            </w:pPr>
            <w:r>
              <w:rPr>
                <w:rFonts w:ascii="宋体" w:hAnsi="宋体" w:eastAsia="宋体" w:cs="宋体"/>
                <w:spacing w:val="4"/>
                <w:sz w:val="24"/>
                <w:szCs w:val="24"/>
              </w:rPr>
              <w:t>猕猴桃</w:t>
            </w:r>
          </w:p>
        </w:tc>
        <w:tc>
          <w:tcPr>
            <w:tcW w:w="3757" w:type="dxa"/>
            <w:gridSpan w:val="2"/>
            <w:vAlign w:val="top"/>
          </w:tcPr>
          <w:p>
            <w:pPr>
              <w:spacing w:before="237" w:line="183" w:lineRule="auto"/>
              <w:ind w:left="1633"/>
              <w:rPr>
                <w:rFonts w:ascii="宋体" w:hAnsi="宋体" w:eastAsia="宋体" w:cs="宋体"/>
                <w:sz w:val="24"/>
                <w:szCs w:val="24"/>
              </w:rPr>
            </w:pPr>
            <w:r>
              <w:rPr>
                <w:rFonts w:ascii="宋体" w:hAnsi="宋体" w:eastAsia="宋体" w:cs="宋体"/>
                <w:spacing w:val="-3"/>
                <w:sz w:val="24"/>
                <w:szCs w:val="24"/>
              </w:rPr>
              <w:t>6000</w:t>
            </w:r>
          </w:p>
        </w:tc>
        <w:tc>
          <w:tcPr>
            <w:tcW w:w="1448" w:type="dxa"/>
            <w:vAlign w:val="top"/>
          </w:tcPr>
          <w:p>
            <w:pPr>
              <w:spacing w:before="236" w:line="184" w:lineRule="auto"/>
              <w:ind w:left="415"/>
              <w:rPr>
                <w:rFonts w:ascii="宋体" w:hAnsi="宋体" w:eastAsia="宋体" w:cs="宋体"/>
                <w:sz w:val="24"/>
                <w:szCs w:val="24"/>
              </w:rPr>
            </w:pPr>
            <w:r>
              <w:rPr>
                <w:rFonts w:ascii="宋体" w:hAnsi="宋体" w:eastAsia="宋体" w:cs="宋体"/>
                <w:spacing w:val="-5"/>
                <w:sz w:val="24"/>
                <w:szCs w:val="24"/>
              </w:rPr>
              <w:t>11000</w:t>
            </w:r>
          </w:p>
        </w:tc>
        <w:tc>
          <w:tcPr>
            <w:tcW w:w="1473" w:type="dxa"/>
            <w:vAlign w:val="top"/>
          </w:tcPr>
          <w:p>
            <w:pPr>
              <w:spacing w:before="237" w:line="183" w:lineRule="auto"/>
              <w:ind w:left="428"/>
              <w:rPr>
                <w:rFonts w:ascii="宋体" w:hAnsi="宋体" w:eastAsia="宋体" w:cs="宋体"/>
                <w:sz w:val="24"/>
                <w:szCs w:val="24"/>
              </w:rPr>
            </w:pPr>
            <w:r>
              <w:rPr>
                <w:rFonts w:ascii="宋体" w:hAnsi="宋体" w:eastAsia="宋体" w:cs="宋体"/>
                <w:spacing w:val="-2"/>
                <w:sz w:val="24"/>
                <w:szCs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0" w:hRule="atLeast"/>
        </w:trPr>
        <w:tc>
          <w:tcPr>
            <w:tcW w:w="238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8" w:line="221" w:lineRule="auto"/>
              <w:ind w:left="944"/>
              <w:rPr>
                <w:rFonts w:ascii="宋体" w:hAnsi="宋体" w:eastAsia="宋体" w:cs="宋体"/>
                <w:sz w:val="24"/>
                <w:szCs w:val="24"/>
              </w:rPr>
            </w:pPr>
            <w:r>
              <w:rPr>
                <w:rFonts w:ascii="宋体" w:hAnsi="宋体" w:eastAsia="宋体" w:cs="宋体"/>
                <w:spacing w:val="6"/>
                <w:sz w:val="24"/>
                <w:szCs w:val="24"/>
              </w:rPr>
              <w:t>备注</w:t>
            </w:r>
          </w:p>
        </w:tc>
        <w:tc>
          <w:tcPr>
            <w:tcW w:w="6678" w:type="dxa"/>
            <w:gridSpan w:val="4"/>
            <w:vAlign w:val="top"/>
          </w:tcPr>
          <w:p>
            <w:pPr>
              <w:spacing w:before="35" w:line="249" w:lineRule="auto"/>
              <w:ind w:left="43" w:right="67" w:firstLine="539"/>
              <w:rPr>
                <w:rFonts w:ascii="宋体" w:hAnsi="宋体" w:eastAsia="宋体" w:cs="宋体"/>
                <w:b w:val="0"/>
                <w:bCs w:val="0"/>
                <w:sz w:val="24"/>
                <w:szCs w:val="24"/>
              </w:rPr>
            </w:pPr>
            <w:r>
              <w:rPr>
                <w:rFonts w:ascii="宋体" w:hAnsi="宋体" w:eastAsia="宋体" w:cs="宋体"/>
                <w:b w:val="0"/>
                <w:bCs w:val="0"/>
                <w:sz w:val="24"/>
                <w:szCs w:val="24"/>
              </w:rPr>
              <w:t>1.上述补偿中包括套种或混栽的其他作物、附属设施的补</w:t>
            </w:r>
            <w:r>
              <w:rPr>
                <w:rFonts w:ascii="宋体" w:hAnsi="宋体" w:eastAsia="宋体" w:cs="宋体"/>
                <w:b w:val="0"/>
                <w:bCs w:val="0"/>
                <w:spacing w:val="16"/>
                <w:sz w:val="24"/>
                <w:szCs w:val="24"/>
              </w:rPr>
              <w:t xml:space="preserve"> </w:t>
            </w:r>
            <w:r>
              <w:rPr>
                <w:rFonts w:ascii="宋体" w:hAnsi="宋体" w:eastAsia="宋体" w:cs="宋体"/>
                <w:b w:val="0"/>
                <w:bCs w:val="0"/>
                <w:spacing w:val="-5"/>
                <w:sz w:val="24"/>
                <w:szCs w:val="24"/>
              </w:rPr>
              <w:t>偿</w:t>
            </w:r>
            <w:r>
              <w:rPr>
                <w:rFonts w:ascii="宋体" w:hAnsi="宋体" w:eastAsia="宋体" w:cs="宋体"/>
                <w:b w:val="0"/>
                <w:bCs w:val="0"/>
                <w:spacing w:val="43"/>
                <w:sz w:val="24"/>
                <w:szCs w:val="24"/>
              </w:rPr>
              <w:t xml:space="preserve"> </w:t>
            </w:r>
            <w:r>
              <w:rPr>
                <w:rFonts w:ascii="宋体" w:hAnsi="宋体" w:eastAsia="宋体" w:cs="宋体"/>
                <w:b w:val="0"/>
                <w:bCs w:val="0"/>
                <w:spacing w:val="-5"/>
                <w:sz w:val="24"/>
                <w:szCs w:val="24"/>
              </w:rPr>
              <w:t>。</w:t>
            </w:r>
          </w:p>
          <w:p>
            <w:pPr>
              <w:spacing w:before="100" w:line="219" w:lineRule="auto"/>
              <w:ind w:left="566"/>
              <w:rPr>
                <w:rFonts w:ascii="宋体" w:hAnsi="宋体" w:eastAsia="宋体" w:cs="宋体"/>
                <w:b w:val="0"/>
                <w:bCs w:val="0"/>
                <w:sz w:val="24"/>
                <w:szCs w:val="24"/>
              </w:rPr>
            </w:pPr>
            <w:r>
              <w:rPr>
                <w:rFonts w:ascii="宋体" w:hAnsi="宋体" w:eastAsia="宋体" w:cs="宋体"/>
                <w:b w:val="0"/>
                <w:bCs w:val="0"/>
                <w:spacing w:val="2"/>
                <w:sz w:val="24"/>
                <w:szCs w:val="24"/>
              </w:rPr>
              <w:t>2.果树的栽种必须符合国家相关栽种技术规定。</w:t>
            </w:r>
          </w:p>
          <w:p>
            <w:pPr>
              <w:spacing w:before="75" w:line="253" w:lineRule="auto"/>
              <w:ind w:left="43" w:right="104" w:firstLine="523"/>
              <w:rPr>
                <w:rFonts w:ascii="宋体" w:hAnsi="宋体" w:eastAsia="宋体" w:cs="宋体"/>
                <w:b w:val="0"/>
                <w:bCs w:val="0"/>
                <w:sz w:val="24"/>
                <w:szCs w:val="24"/>
              </w:rPr>
            </w:pPr>
            <w:r>
              <w:rPr>
                <w:rFonts w:ascii="宋体" w:hAnsi="宋体" w:eastAsia="宋体" w:cs="宋体"/>
                <w:b w:val="0"/>
                <w:bCs w:val="0"/>
                <w:spacing w:val="-2"/>
                <w:sz w:val="24"/>
                <w:szCs w:val="24"/>
              </w:rPr>
              <w:t>3.桔、梨、柚等合理种植密度50-80株/亩；茶菟合理栽</w:t>
            </w:r>
            <w:r>
              <w:rPr>
                <w:rFonts w:ascii="宋体" w:hAnsi="宋体" w:eastAsia="宋体" w:cs="宋体"/>
                <w:b w:val="0"/>
                <w:bCs w:val="0"/>
                <w:spacing w:val="-3"/>
                <w:sz w:val="24"/>
                <w:szCs w:val="24"/>
              </w:rPr>
              <w:t>植</w:t>
            </w:r>
            <w:r>
              <w:rPr>
                <w:rFonts w:ascii="宋体" w:hAnsi="宋体" w:eastAsia="宋体" w:cs="宋体"/>
                <w:b w:val="0"/>
                <w:bCs w:val="0"/>
                <w:sz w:val="24"/>
                <w:szCs w:val="24"/>
              </w:rPr>
              <w:t xml:space="preserve"> </w:t>
            </w:r>
            <w:r>
              <w:rPr>
                <w:rFonts w:ascii="宋体" w:hAnsi="宋体" w:eastAsia="宋体" w:cs="宋体"/>
                <w:b w:val="0"/>
                <w:bCs w:val="0"/>
                <w:spacing w:val="8"/>
                <w:sz w:val="24"/>
                <w:szCs w:val="24"/>
              </w:rPr>
              <w:t>密度为600-800株/亩。</w:t>
            </w:r>
          </w:p>
          <w:p>
            <w:pPr>
              <w:spacing w:before="85" w:line="260" w:lineRule="auto"/>
              <w:ind w:left="43" w:right="85" w:firstLine="520"/>
              <w:rPr>
                <w:rFonts w:ascii="宋体" w:hAnsi="宋体" w:eastAsia="宋体" w:cs="宋体"/>
                <w:b w:val="0"/>
                <w:bCs w:val="0"/>
                <w:sz w:val="24"/>
                <w:szCs w:val="24"/>
              </w:rPr>
            </w:pPr>
            <w:r>
              <w:rPr>
                <w:rFonts w:ascii="宋体" w:hAnsi="宋体" w:eastAsia="宋体" w:cs="宋体"/>
                <w:b w:val="0"/>
                <w:bCs w:val="0"/>
                <w:spacing w:val="10"/>
                <w:sz w:val="24"/>
                <w:szCs w:val="24"/>
              </w:rPr>
              <w:t>4.油茶在茶园补偿标准的基础上按不同生长期相应上调</w:t>
            </w:r>
            <w:r>
              <w:rPr>
                <w:rFonts w:ascii="宋体" w:hAnsi="宋体" w:eastAsia="宋体" w:cs="宋体"/>
                <w:b w:val="0"/>
                <w:bCs w:val="0"/>
                <w:spacing w:val="8"/>
                <w:sz w:val="24"/>
                <w:szCs w:val="24"/>
              </w:rPr>
              <w:t xml:space="preserve"> </w:t>
            </w:r>
            <w:r>
              <w:rPr>
                <w:rFonts w:ascii="宋体" w:hAnsi="宋体" w:eastAsia="宋体" w:cs="宋体"/>
                <w:b w:val="0"/>
                <w:bCs w:val="0"/>
                <w:spacing w:val="15"/>
                <w:sz w:val="24"/>
                <w:szCs w:val="24"/>
              </w:rPr>
              <w:t>50</w:t>
            </w:r>
            <w:r>
              <w:rPr>
                <w:rFonts w:hint="eastAsia" w:ascii="宋体" w:hAnsi="宋体" w:eastAsia="宋体" w:cs="宋体"/>
                <w:b w:val="0"/>
                <w:bCs w:val="0"/>
                <w:spacing w:val="15"/>
                <w:sz w:val="24"/>
                <w:szCs w:val="24"/>
                <w:lang w:val="en-US" w:eastAsia="zh-CN"/>
              </w:rPr>
              <w:t>%</w:t>
            </w:r>
            <w:r>
              <w:rPr>
                <w:rFonts w:ascii="宋体" w:hAnsi="宋体" w:eastAsia="宋体" w:cs="宋体"/>
                <w:b w:val="0"/>
                <w:bCs w:val="0"/>
                <w:spacing w:val="15"/>
                <w:sz w:val="24"/>
                <w:szCs w:val="24"/>
              </w:rPr>
              <w:t>予以补偿。</w:t>
            </w:r>
          </w:p>
          <w:p>
            <w:pPr>
              <w:spacing w:before="83" w:line="219" w:lineRule="auto"/>
              <w:ind w:left="563"/>
              <w:rPr>
                <w:rFonts w:ascii="宋体" w:hAnsi="宋体" w:eastAsia="宋体" w:cs="宋体"/>
                <w:b w:val="0"/>
                <w:bCs w:val="0"/>
                <w:sz w:val="24"/>
                <w:szCs w:val="24"/>
              </w:rPr>
            </w:pPr>
            <w:r>
              <w:rPr>
                <w:rFonts w:ascii="宋体" w:hAnsi="宋体" w:eastAsia="宋体" w:cs="宋体"/>
                <w:b w:val="0"/>
                <w:bCs w:val="0"/>
                <w:sz w:val="24"/>
                <w:szCs w:val="24"/>
              </w:rPr>
              <w:t>5.两种或多种果树及其他经济作物混栽的，以栽种最多的</w:t>
            </w:r>
          </w:p>
          <w:p>
            <w:pPr>
              <w:spacing w:before="71" w:line="219" w:lineRule="auto"/>
              <w:ind w:left="46"/>
              <w:rPr>
                <w:rFonts w:ascii="宋体" w:hAnsi="宋体" w:eastAsia="宋体" w:cs="宋体"/>
                <w:b w:val="0"/>
                <w:bCs w:val="0"/>
                <w:sz w:val="24"/>
                <w:szCs w:val="24"/>
              </w:rPr>
            </w:pPr>
            <w:r>
              <w:rPr>
                <w:rFonts w:ascii="宋体" w:hAnsi="宋体" w:eastAsia="宋体" w:cs="宋体"/>
                <w:b w:val="0"/>
                <w:bCs w:val="0"/>
                <w:spacing w:val="4"/>
                <w:sz w:val="24"/>
                <w:szCs w:val="24"/>
              </w:rPr>
              <w:t>一种计算补偿，其余不另计算补偿。</w:t>
            </w:r>
          </w:p>
          <w:p>
            <w:pPr>
              <w:spacing w:before="88" w:line="274" w:lineRule="auto"/>
              <w:ind w:left="43" w:firstLine="512"/>
              <w:jc w:val="both"/>
              <w:rPr>
                <w:rFonts w:ascii="宋体" w:hAnsi="宋体" w:eastAsia="宋体" w:cs="宋体"/>
                <w:b w:val="0"/>
                <w:bCs w:val="0"/>
                <w:sz w:val="23"/>
                <w:szCs w:val="23"/>
              </w:rPr>
            </w:pPr>
            <w:r>
              <w:rPr>
                <w:rFonts w:ascii="宋体" w:hAnsi="宋体" w:eastAsia="宋体" w:cs="宋体"/>
                <w:b w:val="0"/>
                <w:bCs w:val="0"/>
                <w:spacing w:val="10"/>
                <w:sz w:val="23"/>
                <w:szCs w:val="23"/>
              </w:rPr>
              <w:t>6.苗期：指高度0.5米以下的果树苗；定值期：将苗期的</w:t>
            </w:r>
            <w:r>
              <w:rPr>
                <w:rFonts w:ascii="宋体" w:hAnsi="宋体" w:eastAsia="宋体" w:cs="宋体"/>
                <w:b w:val="0"/>
                <w:bCs w:val="0"/>
                <w:spacing w:val="3"/>
                <w:sz w:val="23"/>
                <w:szCs w:val="23"/>
              </w:rPr>
              <w:t xml:space="preserve">  </w:t>
            </w:r>
            <w:r>
              <w:rPr>
                <w:rFonts w:ascii="宋体" w:hAnsi="宋体" w:eastAsia="宋体" w:cs="宋体"/>
                <w:b w:val="0"/>
                <w:bCs w:val="0"/>
                <w:spacing w:val="10"/>
                <w:sz w:val="23"/>
                <w:szCs w:val="23"/>
              </w:rPr>
              <w:t>树苗按国家相关栽培技术规定进行移植，且高度在0.5米以上、</w:t>
            </w:r>
            <w:r>
              <w:rPr>
                <w:rFonts w:ascii="宋体" w:hAnsi="宋体" w:eastAsia="宋体" w:cs="宋体"/>
                <w:b w:val="0"/>
                <w:bCs w:val="0"/>
                <w:spacing w:val="5"/>
                <w:sz w:val="23"/>
                <w:szCs w:val="23"/>
              </w:rPr>
              <w:t xml:space="preserve"> </w:t>
            </w:r>
            <w:r>
              <w:rPr>
                <w:rFonts w:ascii="宋体" w:hAnsi="宋体" w:eastAsia="宋体" w:cs="宋体"/>
                <w:b w:val="0"/>
                <w:bCs w:val="0"/>
                <w:spacing w:val="10"/>
                <w:sz w:val="23"/>
                <w:szCs w:val="23"/>
              </w:rPr>
              <w:t>1.5米以下的果树；始果期：指果树移栽一年以后，开始挂果。</w:t>
            </w:r>
          </w:p>
          <w:p>
            <w:pPr>
              <w:spacing w:before="104" w:line="248" w:lineRule="auto"/>
              <w:ind w:left="46" w:right="88" w:firstLine="60"/>
              <w:rPr>
                <w:rFonts w:ascii="宋体" w:hAnsi="宋体" w:eastAsia="宋体" w:cs="宋体"/>
                <w:b w:val="0"/>
                <w:bCs w:val="0"/>
                <w:sz w:val="24"/>
                <w:szCs w:val="24"/>
              </w:rPr>
            </w:pPr>
            <w:r>
              <w:rPr>
                <w:rFonts w:ascii="宋体" w:hAnsi="宋体" w:eastAsia="宋体" w:cs="宋体"/>
                <w:b w:val="0"/>
                <w:bCs w:val="0"/>
                <w:spacing w:val="-3"/>
                <w:sz w:val="24"/>
                <w:szCs w:val="24"/>
              </w:rPr>
              <w:t>但未达到一定产量的果树；盛产期：果树生长期已经稳定，每</w:t>
            </w:r>
            <w:r>
              <w:rPr>
                <w:rFonts w:ascii="宋体" w:hAnsi="宋体" w:eastAsia="宋体" w:cs="宋体"/>
                <w:b w:val="0"/>
                <w:bCs w:val="0"/>
                <w:spacing w:val="4"/>
                <w:sz w:val="24"/>
                <w:szCs w:val="24"/>
              </w:rPr>
              <w:t xml:space="preserve"> </w:t>
            </w:r>
            <w:r>
              <w:rPr>
                <w:rFonts w:ascii="宋体" w:hAnsi="宋体" w:eastAsia="宋体" w:cs="宋体"/>
                <w:b w:val="0"/>
                <w:bCs w:val="0"/>
                <w:spacing w:val="3"/>
                <w:sz w:val="24"/>
                <w:szCs w:val="24"/>
              </w:rPr>
              <w:t>年产果达到一定数量，且果树冠径大于2米。</w:t>
            </w:r>
          </w:p>
          <w:p>
            <w:pPr>
              <w:spacing w:before="88" w:line="252" w:lineRule="auto"/>
              <w:ind w:left="43" w:right="73" w:firstLine="539"/>
              <w:rPr>
                <w:rFonts w:hint="eastAsia" w:ascii="宋体" w:hAnsi="宋体" w:eastAsia="宋体" w:cs="宋体"/>
                <w:sz w:val="24"/>
                <w:szCs w:val="24"/>
                <w:lang w:val="en-US" w:eastAsia="zh-CN"/>
              </w:rPr>
            </w:pPr>
            <w:r>
              <w:rPr>
                <w:rFonts w:ascii="宋体" w:hAnsi="宋体" w:eastAsia="宋体" w:cs="宋体"/>
                <w:b w:val="0"/>
                <w:bCs w:val="0"/>
                <w:sz w:val="24"/>
                <w:szCs w:val="24"/>
              </w:rPr>
              <w:t>7.上述种类的青苗、设施补偿不得与本办法其他规定重复</w:t>
            </w:r>
            <w:r>
              <w:rPr>
                <w:rFonts w:ascii="宋体" w:hAnsi="宋体" w:eastAsia="宋体" w:cs="宋体"/>
                <w:b w:val="0"/>
                <w:bCs w:val="0"/>
                <w:spacing w:val="10"/>
                <w:sz w:val="24"/>
                <w:szCs w:val="24"/>
              </w:rPr>
              <w:t xml:space="preserve"> </w:t>
            </w:r>
            <w:r>
              <w:rPr>
                <w:rFonts w:ascii="宋体" w:hAnsi="宋体" w:eastAsia="宋体" w:cs="宋体"/>
                <w:b w:val="0"/>
                <w:bCs w:val="0"/>
                <w:spacing w:val="31"/>
                <w:sz w:val="24"/>
                <w:szCs w:val="24"/>
              </w:rPr>
              <w:t>计算</w:t>
            </w:r>
            <w:r>
              <w:rPr>
                <w:rFonts w:hint="eastAsia" w:ascii="宋体" w:hAnsi="宋体" w:eastAsia="宋体" w:cs="宋体"/>
                <w:b w:val="0"/>
                <w:bCs w:val="0"/>
                <w:spacing w:val="31"/>
                <w:sz w:val="24"/>
                <w:szCs w:val="24"/>
                <w:lang w:eastAsia="zh-CN"/>
              </w:rPr>
              <w:t>。</w:t>
            </w:r>
          </w:p>
        </w:tc>
      </w:tr>
    </w:tbl>
    <w:p>
      <w:pPr>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附件4</w:t>
      </w:r>
    </w:p>
    <w:p>
      <w:pPr>
        <w:spacing w:before="317" w:line="220" w:lineRule="auto"/>
        <w:ind w:left="2901"/>
        <w:rPr>
          <w:rFonts w:ascii="宋体" w:hAnsi="宋体" w:eastAsia="宋体" w:cs="宋体"/>
          <w:sz w:val="44"/>
          <w:szCs w:val="44"/>
        </w:rPr>
      </w:pPr>
      <w:r>
        <w:rPr>
          <w:rFonts w:ascii="宋体" w:hAnsi="宋体" w:eastAsia="宋体" w:cs="宋体"/>
          <w:b/>
          <w:bCs/>
          <w:spacing w:val="-11"/>
          <w:sz w:val="44"/>
          <w:szCs w:val="44"/>
        </w:rPr>
        <w:t>坟墓迁移补偿标准</w:t>
      </w:r>
    </w:p>
    <w:p>
      <w:pPr>
        <w:spacing w:line="379" w:lineRule="auto"/>
        <w:rPr>
          <w:rFonts w:ascii="Arial"/>
          <w:sz w:val="21"/>
        </w:rPr>
      </w:pPr>
    </w:p>
    <w:p>
      <w:pPr>
        <w:spacing w:before="81" w:line="222" w:lineRule="auto"/>
        <w:jc w:val="right"/>
        <w:rPr>
          <w:rFonts w:ascii="黑体" w:hAnsi="黑体" w:eastAsia="黑体" w:cs="黑体"/>
          <w:sz w:val="25"/>
          <w:szCs w:val="25"/>
        </w:rPr>
      </w:pPr>
      <w:r>
        <w:rPr>
          <w:rFonts w:ascii="黑体" w:hAnsi="黑体" w:eastAsia="黑体" w:cs="黑体"/>
          <w:spacing w:val="-11"/>
          <w:sz w:val="25"/>
          <w:szCs w:val="25"/>
        </w:rPr>
        <w:t>单位：元/冢</w:t>
      </w:r>
    </w:p>
    <w:p>
      <w:pPr>
        <w:spacing w:line="93" w:lineRule="exact"/>
      </w:pPr>
    </w:p>
    <w:tbl>
      <w:tblPr>
        <w:tblStyle w:val="12"/>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3"/>
        <w:gridCol w:w="2317"/>
        <w:gridCol w:w="4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313" w:type="dxa"/>
            <w:vAlign w:val="top"/>
          </w:tcPr>
          <w:p>
            <w:pPr>
              <w:spacing w:before="315" w:line="220" w:lineRule="auto"/>
              <w:ind w:left="905"/>
              <w:rPr>
                <w:rFonts w:ascii="宋体" w:hAnsi="宋体" w:eastAsia="宋体" w:cs="宋体"/>
                <w:b/>
                <w:bCs/>
                <w:sz w:val="24"/>
                <w:szCs w:val="24"/>
              </w:rPr>
            </w:pPr>
            <w:r>
              <w:rPr>
                <w:rFonts w:ascii="宋体" w:hAnsi="宋体" w:eastAsia="宋体" w:cs="宋体"/>
                <w:b/>
                <w:bCs/>
                <w:spacing w:val="-7"/>
                <w:sz w:val="24"/>
                <w:szCs w:val="24"/>
              </w:rPr>
              <w:t>项</w:t>
            </w:r>
            <w:r>
              <w:rPr>
                <w:rFonts w:ascii="宋体" w:hAnsi="宋体" w:eastAsia="宋体" w:cs="宋体"/>
                <w:b/>
                <w:bCs/>
                <w:spacing w:val="-6"/>
                <w:sz w:val="24"/>
                <w:szCs w:val="24"/>
              </w:rPr>
              <w:t xml:space="preserve"> </w:t>
            </w:r>
            <w:r>
              <w:rPr>
                <w:rFonts w:ascii="宋体" w:hAnsi="宋体" w:eastAsia="宋体" w:cs="宋体"/>
                <w:b/>
                <w:bCs/>
                <w:spacing w:val="-7"/>
                <w:sz w:val="24"/>
                <w:szCs w:val="24"/>
              </w:rPr>
              <w:t>目</w:t>
            </w:r>
          </w:p>
        </w:tc>
        <w:tc>
          <w:tcPr>
            <w:tcW w:w="2317" w:type="dxa"/>
            <w:vAlign w:val="top"/>
          </w:tcPr>
          <w:p>
            <w:pPr>
              <w:spacing w:before="315" w:line="219" w:lineRule="auto"/>
              <w:ind w:left="671"/>
              <w:rPr>
                <w:rFonts w:ascii="宋体" w:hAnsi="宋体" w:eastAsia="宋体" w:cs="宋体"/>
                <w:b/>
                <w:bCs/>
                <w:sz w:val="24"/>
                <w:szCs w:val="24"/>
              </w:rPr>
            </w:pPr>
            <w:r>
              <w:rPr>
                <w:rFonts w:ascii="宋体" w:hAnsi="宋体" w:eastAsia="宋体" w:cs="宋体"/>
                <w:b/>
                <w:bCs/>
                <w:spacing w:val="-2"/>
                <w:sz w:val="24"/>
                <w:szCs w:val="24"/>
              </w:rPr>
              <w:t>补偿金额</w:t>
            </w:r>
          </w:p>
        </w:tc>
        <w:tc>
          <w:tcPr>
            <w:tcW w:w="4430" w:type="dxa"/>
            <w:vAlign w:val="top"/>
          </w:tcPr>
          <w:p>
            <w:pPr>
              <w:spacing w:before="312" w:line="221" w:lineRule="auto"/>
              <w:ind w:left="1988"/>
              <w:rPr>
                <w:rFonts w:ascii="宋体" w:hAnsi="宋体" w:eastAsia="宋体" w:cs="宋体"/>
                <w:sz w:val="24"/>
                <w:szCs w:val="24"/>
              </w:rPr>
            </w:pPr>
            <w:r>
              <w:rPr>
                <w:rFonts w:ascii="宋体" w:hAnsi="宋体" w:eastAsia="宋体" w:cs="宋体"/>
                <w:b/>
                <w:bCs/>
                <w:spacing w:val="24"/>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2313"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20" w:lineRule="auto"/>
              <w:ind w:left="665"/>
              <w:rPr>
                <w:rFonts w:ascii="宋体" w:hAnsi="宋体" w:eastAsia="宋体" w:cs="宋体"/>
                <w:sz w:val="24"/>
                <w:szCs w:val="24"/>
              </w:rPr>
            </w:pPr>
            <w:r>
              <w:rPr>
                <w:rFonts w:ascii="宋体" w:hAnsi="宋体" w:eastAsia="宋体" w:cs="宋体"/>
                <w:spacing w:val="2"/>
                <w:sz w:val="24"/>
                <w:szCs w:val="24"/>
              </w:rPr>
              <w:t>混凝土坟</w:t>
            </w:r>
          </w:p>
        </w:tc>
        <w:tc>
          <w:tcPr>
            <w:tcW w:w="2317"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3800</w:t>
            </w:r>
          </w:p>
        </w:tc>
        <w:tc>
          <w:tcPr>
            <w:tcW w:w="4430" w:type="dxa"/>
            <w:vMerge w:val="restart"/>
            <w:tcBorders>
              <w:bottom w:val="nil"/>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8" w:line="480" w:lineRule="exact"/>
              <w:ind w:left="605"/>
              <w:rPr>
                <w:rFonts w:ascii="宋体" w:hAnsi="宋体" w:eastAsia="宋体" w:cs="宋体"/>
                <w:color w:val="auto"/>
                <w:sz w:val="24"/>
                <w:szCs w:val="24"/>
              </w:rPr>
            </w:pPr>
            <w:r>
              <w:rPr>
                <w:rFonts w:ascii="宋体" w:hAnsi="宋体" w:eastAsia="宋体" w:cs="宋体"/>
                <w:color w:val="auto"/>
                <w:spacing w:val="-2"/>
                <w:position w:val="18"/>
                <w:sz w:val="24"/>
                <w:szCs w:val="24"/>
              </w:rPr>
              <w:t>1.征收土地所要迁移的坟墓，必须严</w:t>
            </w:r>
          </w:p>
          <w:p>
            <w:pPr>
              <w:spacing w:line="219" w:lineRule="auto"/>
              <w:ind w:left="55"/>
              <w:rPr>
                <w:rFonts w:ascii="宋体" w:hAnsi="宋体" w:eastAsia="宋体" w:cs="宋体"/>
                <w:color w:val="auto"/>
                <w:sz w:val="24"/>
                <w:szCs w:val="24"/>
              </w:rPr>
            </w:pPr>
            <w:r>
              <w:rPr>
                <w:rFonts w:ascii="宋体" w:hAnsi="宋体" w:eastAsia="宋体" w:cs="宋体"/>
                <w:color w:val="auto"/>
                <w:spacing w:val="9"/>
                <w:sz w:val="24"/>
                <w:szCs w:val="24"/>
              </w:rPr>
              <w:t>格执行</w:t>
            </w:r>
            <w:r>
              <w:rPr>
                <w:rFonts w:hint="eastAsia" w:ascii="宋体" w:hAnsi="宋体" w:eastAsia="宋体" w:cs="宋体"/>
                <w:color w:val="auto"/>
                <w:spacing w:val="9"/>
                <w:sz w:val="24"/>
                <w:szCs w:val="24"/>
                <w:lang w:val="en-US" w:eastAsia="zh-CN"/>
              </w:rPr>
              <w:t>平江县</w:t>
            </w:r>
            <w:r>
              <w:rPr>
                <w:rFonts w:ascii="宋体" w:hAnsi="宋体" w:eastAsia="宋体" w:cs="宋体"/>
                <w:color w:val="auto"/>
                <w:spacing w:val="9"/>
                <w:sz w:val="24"/>
                <w:szCs w:val="24"/>
              </w:rPr>
              <w:t>殡葬改革制度。</w:t>
            </w:r>
          </w:p>
          <w:p>
            <w:pPr>
              <w:spacing w:before="194" w:line="358" w:lineRule="auto"/>
              <w:ind w:left="55" w:right="35" w:firstLine="540"/>
              <w:rPr>
                <w:rFonts w:ascii="宋体" w:hAnsi="宋体" w:eastAsia="宋体" w:cs="宋体"/>
                <w:color w:val="auto"/>
                <w:sz w:val="24"/>
                <w:szCs w:val="24"/>
              </w:rPr>
            </w:pPr>
            <w:r>
              <w:rPr>
                <w:rFonts w:ascii="宋体" w:hAnsi="宋体" w:eastAsia="宋体" w:cs="宋体"/>
                <w:color w:val="auto"/>
                <w:sz w:val="24"/>
                <w:szCs w:val="24"/>
              </w:rPr>
              <w:t>2.烈士、宗教和少数民族坟墓迁移</w:t>
            </w:r>
            <w:r>
              <w:rPr>
                <w:rFonts w:ascii="宋体" w:hAnsi="宋体" w:eastAsia="宋体" w:cs="宋体"/>
                <w:color w:val="auto"/>
                <w:spacing w:val="6"/>
                <w:sz w:val="24"/>
                <w:szCs w:val="24"/>
              </w:rPr>
              <w:t xml:space="preserve">  </w:t>
            </w:r>
            <w:r>
              <w:rPr>
                <w:rFonts w:ascii="宋体" w:hAnsi="宋体" w:eastAsia="宋体" w:cs="宋体"/>
                <w:color w:val="auto"/>
                <w:sz w:val="24"/>
                <w:szCs w:val="24"/>
              </w:rPr>
              <w:t>由土地征收实施机构会同民政、民族宗教</w:t>
            </w:r>
          </w:p>
          <w:p>
            <w:pPr>
              <w:spacing w:line="219" w:lineRule="auto"/>
              <w:ind w:left="55"/>
              <w:rPr>
                <w:rFonts w:ascii="Arial"/>
                <w:color w:val="auto"/>
                <w:sz w:val="24"/>
                <w:szCs w:val="24"/>
              </w:rPr>
            </w:pPr>
            <w:r>
              <w:rPr>
                <w:rFonts w:ascii="宋体" w:hAnsi="宋体" w:eastAsia="宋体" w:cs="宋体"/>
                <w:color w:val="auto"/>
                <w:spacing w:val="24"/>
                <w:sz w:val="24"/>
                <w:szCs w:val="24"/>
              </w:rPr>
              <w:t>部门处理。</w:t>
            </w:r>
          </w:p>
          <w:p>
            <w:pPr>
              <w:spacing w:before="78" w:line="480" w:lineRule="exact"/>
              <w:ind w:firstLine="472" w:firstLineChars="200"/>
              <w:rPr>
                <w:rFonts w:ascii="宋体" w:hAnsi="宋体" w:eastAsia="宋体" w:cs="宋体"/>
                <w:color w:val="auto"/>
                <w:spacing w:val="-2"/>
                <w:position w:val="18"/>
                <w:sz w:val="24"/>
                <w:szCs w:val="24"/>
              </w:rPr>
            </w:pPr>
            <w:r>
              <w:rPr>
                <w:rFonts w:ascii="宋体" w:hAnsi="宋体" w:eastAsia="宋体" w:cs="宋体"/>
                <w:color w:val="auto"/>
                <w:spacing w:val="-2"/>
                <w:position w:val="18"/>
                <w:sz w:val="24"/>
                <w:szCs w:val="24"/>
              </w:rPr>
              <w:t>3.</w:t>
            </w:r>
            <w:r>
              <w:rPr>
                <w:rFonts w:hint="eastAsia" w:ascii="宋体" w:hAnsi="宋体" w:eastAsia="宋体" w:cs="宋体"/>
                <w:color w:val="auto"/>
                <w:spacing w:val="-2"/>
                <w:position w:val="18"/>
                <w:sz w:val="24"/>
                <w:szCs w:val="24"/>
                <w:lang w:val="en-US" w:eastAsia="zh-CN"/>
              </w:rPr>
              <w:t>双冢坟补偿金额、迁葬地费用增加补偿标准的50%。坟墓有碑石增加补偿标准20%。</w:t>
            </w:r>
          </w:p>
          <w:p>
            <w:pPr>
              <w:spacing w:before="78" w:line="480" w:lineRule="exact"/>
              <w:ind w:firstLine="472" w:firstLineChars="200"/>
              <w:rPr>
                <w:rFonts w:hint="eastAsia" w:ascii="宋体" w:hAnsi="宋体" w:eastAsia="宋体" w:cs="宋体"/>
                <w:color w:val="auto"/>
                <w:spacing w:val="-2"/>
                <w:position w:val="18"/>
                <w:sz w:val="24"/>
                <w:szCs w:val="24"/>
                <w:lang w:eastAsia="zh-CN"/>
              </w:rPr>
            </w:pPr>
            <w:r>
              <w:rPr>
                <w:rFonts w:ascii="宋体" w:hAnsi="宋体" w:eastAsia="宋体" w:cs="宋体"/>
                <w:color w:val="auto"/>
                <w:spacing w:val="-2"/>
                <w:position w:val="18"/>
                <w:sz w:val="24"/>
                <w:szCs w:val="24"/>
              </w:rPr>
              <w:t>4.国土空间规划确定的城市建设用 地范围内，迁葬地由县级以上民政部门会 同自然资源部门负责确定，迁葬地的费用 经征拆实施机构据实核定后计入征拆成本，每冢最高不超过1</w:t>
            </w:r>
            <w:r>
              <w:rPr>
                <w:rFonts w:hint="eastAsia" w:ascii="宋体" w:hAnsi="宋体" w:eastAsia="宋体" w:cs="宋体"/>
                <w:color w:val="auto"/>
                <w:spacing w:val="-2"/>
                <w:position w:val="18"/>
                <w:sz w:val="24"/>
                <w:szCs w:val="24"/>
                <w:lang w:val="en-US" w:eastAsia="zh-CN"/>
              </w:rPr>
              <w:t>0</w:t>
            </w:r>
            <w:r>
              <w:rPr>
                <w:rFonts w:ascii="宋体" w:hAnsi="宋体" w:eastAsia="宋体" w:cs="宋体"/>
                <w:color w:val="auto"/>
                <w:spacing w:val="-2"/>
                <w:position w:val="18"/>
                <w:sz w:val="24"/>
                <w:szCs w:val="24"/>
              </w:rPr>
              <w:t>000元</w:t>
            </w:r>
            <w:r>
              <w:rPr>
                <w:rFonts w:hint="eastAsia" w:ascii="宋体" w:hAnsi="宋体" w:eastAsia="宋体" w:cs="宋体"/>
                <w:color w:val="auto"/>
                <w:spacing w:val="-2"/>
                <w:position w:val="18"/>
                <w:sz w:val="24"/>
                <w:szCs w:val="24"/>
                <w:lang w:eastAsia="zh-CN"/>
              </w:rPr>
              <w:t>。</w:t>
            </w:r>
          </w:p>
          <w:p>
            <w:pPr>
              <w:spacing w:before="78" w:line="480" w:lineRule="exact"/>
              <w:ind w:firstLine="472" w:firstLineChars="200"/>
              <w:rPr>
                <w:rFonts w:hint="eastAsia" w:ascii="宋体" w:hAnsi="宋体" w:eastAsia="宋体" w:cs="宋体"/>
                <w:color w:val="auto"/>
                <w:spacing w:val="-2"/>
                <w:position w:val="18"/>
                <w:sz w:val="24"/>
                <w:szCs w:val="24"/>
                <w:lang w:val="en-US" w:eastAsia="zh-CN"/>
              </w:rPr>
            </w:pPr>
            <w:r>
              <w:rPr>
                <w:rFonts w:hint="eastAsia" w:ascii="宋体" w:hAnsi="宋体" w:eastAsia="宋体" w:cs="宋体"/>
                <w:color w:val="auto"/>
                <w:spacing w:val="-2"/>
                <w:position w:val="18"/>
                <w:sz w:val="24"/>
                <w:szCs w:val="24"/>
                <w:lang w:val="en-US" w:eastAsia="zh-CN"/>
              </w:rPr>
              <w:t>5.迁葬费按1000元/具包干到乡镇（街道）或村。</w:t>
            </w:r>
          </w:p>
          <w:p>
            <w:pPr>
              <w:spacing w:before="78" w:line="480" w:lineRule="exact"/>
              <w:ind w:firstLine="472" w:firstLineChars="200"/>
              <w:rPr>
                <w:rFonts w:hint="eastAsia" w:ascii="宋体" w:hAnsi="宋体" w:eastAsia="宋体" w:cs="宋体"/>
                <w:color w:val="auto"/>
                <w:spacing w:val="-2"/>
                <w:position w:val="18"/>
                <w:sz w:val="24"/>
                <w:szCs w:val="24"/>
                <w:lang w:val="en-US" w:eastAsia="zh-CN"/>
              </w:rPr>
            </w:pPr>
            <w:r>
              <w:rPr>
                <w:rFonts w:hint="eastAsia" w:ascii="宋体" w:hAnsi="宋体" w:eastAsia="宋体" w:cs="宋体"/>
                <w:color w:val="auto"/>
                <w:spacing w:val="-2"/>
                <w:position w:val="18"/>
                <w:sz w:val="24"/>
                <w:szCs w:val="24"/>
                <w:lang w:val="en-US" w:eastAsia="zh-CN"/>
              </w:rPr>
              <w:t>6.麻石、大理石等豪华坟墓，按个案相关规定处理。</w:t>
            </w:r>
          </w:p>
          <w:p>
            <w:pPr>
              <w:spacing w:before="1" w:line="218" w:lineRule="auto"/>
              <w:ind w:left="55" w:firstLine="480" w:firstLineChars="200"/>
              <w:rPr>
                <w:rFonts w:hint="default" w:ascii="仿宋_GB2312" w:hAnsi="宋体" w:eastAsia="仿宋_GB2312" w:cs="Times New Roman"/>
                <w:snapToGrid/>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trPr>
        <w:tc>
          <w:tcPr>
            <w:tcW w:w="2313"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8" w:line="220" w:lineRule="auto"/>
              <w:ind w:left="665"/>
              <w:rPr>
                <w:rFonts w:ascii="宋体" w:hAnsi="宋体" w:eastAsia="宋体" w:cs="宋体"/>
                <w:sz w:val="24"/>
                <w:szCs w:val="24"/>
              </w:rPr>
            </w:pPr>
            <w:r>
              <w:rPr>
                <w:rFonts w:ascii="宋体" w:hAnsi="宋体" w:eastAsia="宋体" w:cs="宋体"/>
                <w:spacing w:val="-2"/>
                <w:sz w:val="24"/>
                <w:szCs w:val="24"/>
              </w:rPr>
              <w:t>砖、石坟</w:t>
            </w:r>
          </w:p>
        </w:tc>
        <w:tc>
          <w:tcPr>
            <w:tcW w:w="2317"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3000</w:t>
            </w:r>
          </w:p>
        </w:tc>
        <w:tc>
          <w:tcPr>
            <w:tcW w:w="4430"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2313"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78" w:line="220" w:lineRule="auto"/>
              <w:ind w:left="905"/>
              <w:rPr>
                <w:rFonts w:ascii="宋体" w:hAnsi="宋体" w:eastAsia="宋体" w:cs="宋体"/>
                <w:sz w:val="24"/>
                <w:szCs w:val="24"/>
              </w:rPr>
            </w:pPr>
            <w:r>
              <w:rPr>
                <w:rFonts w:ascii="宋体" w:hAnsi="宋体" w:eastAsia="宋体" w:cs="宋体"/>
                <w:spacing w:val="5"/>
                <w:sz w:val="24"/>
                <w:szCs w:val="24"/>
              </w:rPr>
              <w:t>土坟</w:t>
            </w:r>
          </w:p>
        </w:tc>
        <w:tc>
          <w:tcPr>
            <w:tcW w:w="2317" w:type="dxa"/>
            <w:vAlign w:val="center"/>
          </w:tcPr>
          <w:p>
            <w:pPr>
              <w:spacing w:before="78" w:line="184"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2000</w:t>
            </w:r>
          </w:p>
        </w:tc>
        <w:tc>
          <w:tcPr>
            <w:tcW w:w="4430"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3" w:hRule="atLeast"/>
        </w:trPr>
        <w:tc>
          <w:tcPr>
            <w:tcW w:w="2313"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78" w:line="219" w:lineRule="auto"/>
              <w:ind w:left="785"/>
              <w:rPr>
                <w:rFonts w:ascii="宋体" w:hAnsi="宋体" w:eastAsia="宋体" w:cs="宋体"/>
                <w:sz w:val="24"/>
                <w:szCs w:val="24"/>
              </w:rPr>
            </w:pPr>
            <w:r>
              <w:rPr>
                <w:rFonts w:ascii="宋体" w:hAnsi="宋体" w:eastAsia="宋体" w:cs="宋体"/>
                <w:spacing w:val="3"/>
                <w:sz w:val="24"/>
                <w:szCs w:val="24"/>
              </w:rPr>
              <w:t>尸骨罐</w:t>
            </w:r>
          </w:p>
        </w:tc>
        <w:tc>
          <w:tcPr>
            <w:tcW w:w="2317"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lang w:val="en-US" w:eastAsia="zh-CN"/>
              </w:rPr>
              <w:t>800</w:t>
            </w:r>
          </w:p>
        </w:tc>
        <w:tc>
          <w:tcPr>
            <w:tcW w:w="4430" w:type="dxa"/>
            <w:vMerge w:val="continue"/>
            <w:tcBorders>
              <w:top w:val="nil"/>
            </w:tcBorders>
            <w:vAlign w:val="top"/>
          </w:tcPr>
          <w:p>
            <w:pPr>
              <w:rPr>
                <w:rFonts w:ascii="Arial"/>
                <w:sz w:val="21"/>
              </w:rPr>
            </w:pPr>
          </w:p>
        </w:tc>
      </w:tr>
    </w:tbl>
    <w:p>
      <w:pPr>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附件5-1</w:t>
      </w:r>
    </w:p>
    <w:p>
      <w:pPr>
        <w:spacing w:before="306" w:line="219" w:lineRule="auto"/>
        <w:ind w:left="681"/>
        <w:rPr>
          <w:rFonts w:ascii="宋体" w:hAnsi="宋体" w:eastAsia="宋体" w:cs="宋体"/>
          <w:sz w:val="44"/>
          <w:szCs w:val="44"/>
        </w:rPr>
      </w:pPr>
      <w:r>
        <w:rPr>
          <w:rFonts w:ascii="宋体" w:hAnsi="宋体" w:eastAsia="宋体" w:cs="宋体"/>
          <w:b/>
          <w:bCs/>
          <w:spacing w:val="-9"/>
          <w:sz w:val="44"/>
          <w:szCs w:val="44"/>
        </w:rPr>
        <w:t>住宅房屋结构、装饰装修要求及补偿标准</w:t>
      </w:r>
    </w:p>
    <w:p>
      <w:pPr>
        <w:spacing w:line="357" w:lineRule="auto"/>
        <w:rPr>
          <w:rFonts w:ascii="Arial"/>
          <w:sz w:val="21"/>
        </w:rPr>
      </w:pPr>
    </w:p>
    <w:p>
      <w:pPr>
        <w:spacing w:before="85" w:line="221" w:lineRule="auto"/>
        <w:ind w:right="24"/>
        <w:jc w:val="right"/>
        <w:rPr>
          <w:rFonts w:ascii="黑体" w:hAnsi="黑体" w:eastAsia="黑体" w:cs="黑体"/>
          <w:sz w:val="26"/>
          <w:szCs w:val="26"/>
        </w:rPr>
      </w:pPr>
      <w:r>
        <w:rPr>
          <w:rFonts w:ascii="黑体" w:hAnsi="黑体" w:eastAsia="黑体" w:cs="黑体"/>
          <w:spacing w:val="-18"/>
          <w:sz w:val="26"/>
          <w:szCs w:val="26"/>
        </w:rPr>
        <w:t>单位：元/平方米</w:t>
      </w:r>
    </w:p>
    <w:p>
      <w:pPr>
        <w:spacing w:line="115" w:lineRule="exact"/>
      </w:pPr>
    </w:p>
    <w:tbl>
      <w:tblPr>
        <w:tblStyle w:val="12"/>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059"/>
        <w:gridCol w:w="5933"/>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trPr>
        <w:tc>
          <w:tcPr>
            <w:tcW w:w="854" w:type="dxa"/>
            <w:vAlign w:val="top"/>
          </w:tcPr>
          <w:p>
            <w:pPr>
              <w:spacing w:before="316" w:line="221" w:lineRule="auto"/>
              <w:ind w:left="234"/>
              <w:rPr>
                <w:rFonts w:ascii="宋体" w:hAnsi="宋体" w:eastAsia="宋体" w:cs="宋体"/>
                <w:b/>
                <w:bCs/>
                <w:sz w:val="24"/>
                <w:szCs w:val="24"/>
              </w:rPr>
            </w:pPr>
            <w:r>
              <w:rPr>
                <w:rFonts w:ascii="宋体" w:hAnsi="宋体" w:eastAsia="宋体" w:cs="宋体"/>
                <w:b/>
                <w:bCs/>
                <w:spacing w:val="7"/>
                <w:sz w:val="24"/>
                <w:szCs w:val="24"/>
              </w:rPr>
              <w:t>序号</w:t>
            </w:r>
          </w:p>
        </w:tc>
        <w:tc>
          <w:tcPr>
            <w:tcW w:w="1059" w:type="dxa"/>
            <w:vAlign w:val="top"/>
          </w:tcPr>
          <w:p>
            <w:pPr>
              <w:spacing w:before="315" w:line="220" w:lineRule="auto"/>
              <w:ind w:left="280"/>
              <w:rPr>
                <w:rFonts w:ascii="宋体" w:hAnsi="宋体" w:eastAsia="宋体" w:cs="宋体"/>
                <w:b/>
                <w:bCs/>
                <w:sz w:val="24"/>
                <w:szCs w:val="24"/>
              </w:rPr>
            </w:pPr>
            <w:r>
              <w:rPr>
                <w:rFonts w:ascii="宋体" w:hAnsi="宋体" w:eastAsia="宋体" w:cs="宋体"/>
                <w:b/>
                <w:bCs/>
                <w:spacing w:val="7"/>
                <w:sz w:val="24"/>
                <w:szCs w:val="24"/>
              </w:rPr>
              <w:t>结构</w:t>
            </w:r>
          </w:p>
        </w:tc>
        <w:tc>
          <w:tcPr>
            <w:tcW w:w="5933" w:type="dxa"/>
            <w:vAlign w:val="top"/>
          </w:tcPr>
          <w:p>
            <w:pPr>
              <w:spacing w:before="314" w:line="219" w:lineRule="auto"/>
              <w:ind w:left="1692"/>
              <w:rPr>
                <w:rFonts w:ascii="宋体" w:hAnsi="宋体" w:eastAsia="宋体" w:cs="宋体"/>
                <w:b/>
                <w:bCs/>
                <w:sz w:val="24"/>
                <w:szCs w:val="24"/>
              </w:rPr>
            </w:pPr>
            <w:r>
              <w:rPr>
                <w:rFonts w:ascii="宋体" w:hAnsi="宋体" w:eastAsia="宋体" w:cs="宋体"/>
                <w:b/>
                <w:bCs/>
                <w:spacing w:val="1"/>
                <w:sz w:val="24"/>
                <w:szCs w:val="24"/>
              </w:rPr>
              <w:t>主体结构、装饰装修要求</w:t>
            </w:r>
          </w:p>
        </w:tc>
        <w:tc>
          <w:tcPr>
            <w:tcW w:w="123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ascii="宋体" w:hAnsi="宋体" w:eastAsia="宋体" w:cs="宋体"/>
                <w:b/>
                <w:bCs/>
                <w:spacing w:val="3"/>
                <w:sz w:val="24"/>
                <w:szCs w:val="24"/>
              </w:rPr>
            </w:pPr>
            <w:r>
              <w:rPr>
                <w:rFonts w:ascii="宋体" w:hAnsi="宋体" w:eastAsia="宋体" w:cs="宋体"/>
                <w:b/>
                <w:bCs/>
                <w:spacing w:val="3"/>
                <w:sz w:val="24"/>
                <w:szCs w:val="24"/>
              </w:rPr>
              <w:t>征收补偿</w:t>
            </w:r>
          </w:p>
          <w:p>
            <w:pPr>
              <w:spacing w:before="125" w:line="237" w:lineRule="auto"/>
              <w:ind w:left="367" w:right="121" w:hanging="239"/>
              <w:jc w:val="center"/>
              <w:rPr>
                <w:rFonts w:ascii="宋体" w:hAnsi="宋体" w:eastAsia="宋体" w:cs="宋体"/>
                <w:b/>
                <w:bCs/>
                <w:sz w:val="24"/>
                <w:szCs w:val="24"/>
              </w:rPr>
            </w:pPr>
            <w:r>
              <w:rPr>
                <w:rFonts w:ascii="宋体" w:hAnsi="宋体" w:eastAsia="宋体" w:cs="宋体"/>
                <w:b/>
                <w:bCs/>
                <w:spacing w:val="5"/>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54" w:type="dxa"/>
            <w:vMerge w:val="restart"/>
            <w:tcBorders>
              <w:bottom w:val="nil"/>
            </w:tcBorders>
            <w:vAlign w:val="top"/>
          </w:tcPr>
          <w:p>
            <w:pPr>
              <w:rPr>
                <w:rFonts w:ascii="Arial"/>
                <w:sz w:val="21"/>
              </w:rPr>
            </w:pPr>
          </w:p>
        </w:tc>
        <w:tc>
          <w:tcPr>
            <w:tcW w:w="105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19" w:lineRule="auto"/>
              <w:ind w:left="280"/>
              <w:rPr>
                <w:rFonts w:ascii="宋体" w:hAnsi="宋体" w:eastAsia="宋体" w:cs="宋体"/>
                <w:sz w:val="24"/>
                <w:szCs w:val="24"/>
              </w:rPr>
            </w:pPr>
            <w:r>
              <w:rPr>
                <w:rFonts w:ascii="宋体" w:hAnsi="宋体" w:eastAsia="宋体" w:cs="宋体"/>
                <w:spacing w:val="6"/>
                <w:sz w:val="24"/>
                <w:szCs w:val="24"/>
              </w:rPr>
              <w:t>框架</w:t>
            </w:r>
          </w:p>
        </w:tc>
        <w:tc>
          <w:tcPr>
            <w:tcW w:w="5933" w:type="dxa"/>
            <w:vAlign w:val="top"/>
          </w:tcPr>
          <w:p>
            <w:pPr>
              <w:spacing w:before="128" w:line="220" w:lineRule="auto"/>
              <w:ind w:left="595"/>
              <w:rPr>
                <w:rFonts w:ascii="宋体" w:hAnsi="宋体" w:eastAsia="宋体" w:cs="宋体"/>
                <w:b w:val="0"/>
                <w:bCs w:val="0"/>
                <w:sz w:val="24"/>
                <w:szCs w:val="24"/>
              </w:rPr>
            </w:pPr>
            <w:r>
              <w:rPr>
                <w:rFonts w:ascii="宋体" w:hAnsi="宋体" w:eastAsia="宋体" w:cs="宋体"/>
                <w:b w:val="0"/>
                <w:bCs w:val="0"/>
                <w:spacing w:val="-2"/>
                <w:sz w:val="24"/>
                <w:szCs w:val="24"/>
              </w:rPr>
              <w:t>1.主体结构要求</w:t>
            </w:r>
          </w:p>
          <w:p>
            <w:pPr>
              <w:spacing w:before="21" w:line="227" w:lineRule="auto"/>
              <w:ind w:left="745"/>
              <w:rPr>
                <w:rFonts w:ascii="宋体" w:hAnsi="宋体" w:eastAsia="宋体" w:cs="宋体"/>
                <w:b w:val="0"/>
                <w:bCs w:val="0"/>
                <w:sz w:val="23"/>
                <w:szCs w:val="23"/>
              </w:rPr>
            </w:pPr>
            <w:r>
              <w:rPr>
                <w:rFonts w:ascii="宋体" w:hAnsi="宋体" w:eastAsia="宋体" w:cs="宋体"/>
                <w:b w:val="0"/>
                <w:bCs w:val="0"/>
                <w:spacing w:val="-3"/>
                <w:sz w:val="23"/>
                <w:szCs w:val="23"/>
              </w:rPr>
              <w:t>(1)地基与基础：条形基础、独立基础、筏板基础、</w:t>
            </w:r>
          </w:p>
          <w:p>
            <w:pPr>
              <w:spacing w:before="40" w:line="238" w:lineRule="auto"/>
              <w:ind w:left="91" w:right="57"/>
              <w:rPr>
                <w:rFonts w:ascii="宋体" w:hAnsi="宋体" w:eastAsia="宋体" w:cs="宋体"/>
                <w:b w:val="0"/>
                <w:bCs w:val="0"/>
                <w:sz w:val="24"/>
                <w:szCs w:val="24"/>
              </w:rPr>
            </w:pPr>
            <w:r>
              <w:rPr>
                <w:rFonts w:ascii="宋体" w:hAnsi="宋体" w:eastAsia="宋体" w:cs="宋体"/>
                <w:b w:val="0"/>
                <w:bCs w:val="0"/>
                <w:spacing w:val="5"/>
                <w:sz w:val="24"/>
                <w:szCs w:val="24"/>
              </w:rPr>
              <w:t>桩基础；(2)由梁和柱以钢筋相连接混凝土</w:t>
            </w:r>
            <w:r>
              <w:rPr>
                <w:rFonts w:ascii="宋体" w:hAnsi="宋体" w:eastAsia="宋体" w:cs="宋体"/>
                <w:b w:val="0"/>
                <w:bCs w:val="0"/>
                <w:spacing w:val="4"/>
                <w:sz w:val="24"/>
                <w:szCs w:val="24"/>
              </w:rPr>
              <w:t>混合而成，</w:t>
            </w:r>
            <w:r>
              <w:rPr>
                <w:rFonts w:ascii="宋体" w:hAnsi="宋体" w:eastAsia="宋体" w:cs="宋体"/>
                <w:b w:val="0"/>
                <w:bCs w:val="0"/>
                <w:sz w:val="24"/>
                <w:szCs w:val="24"/>
              </w:rPr>
              <w:t xml:space="preserve"> 构成水平荷载和竖向荷载承重体系，其中梁的截面宽度</w:t>
            </w:r>
            <w:r>
              <w:rPr>
                <w:rFonts w:ascii="宋体" w:hAnsi="宋体" w:eastAsia="宋体" w:cs="宋体"/>
                <w:b w:val="0"/>
                <w:bCs w:val="0"/>
                <w:spacing w:val="12"/>
                <w:sz w:val="24"/>
                <w:szCs w:val="24"/>
              </w:rPr>
              <w:t xml:space="preserve"> </w:t>
            </w:r>
            <w:r>
              <w:rPr>
                <w:rFonts w:ascii="宋体" w:hAnsi="宋体" w:eastAsia="宋体" w:cs="宋体"/>
                <w:b w:val="0"/>
                <w:bCs w:val="0"/>
                <w:spacing w:val="8"/>
                <w:sz w:val="24"/>
                <w:szCs w:val="24"/>
              </w:rPr>
              <w:t>不宜小于200毫米、高宽比不大于4、净跨与截面高度</w:t>
            </w:r>
            <w:r>
              <w:rPr>
                <w:rFonts w:ascii="宋体" w:hAnsi="宋体" w:eastAsia="宋体" w:cs="宋体"/>
                <w:b w:val="0"/>
                <w:bCs w:val="0"/>
                <w:spacing w:val="13"/>
                <w:sz w:val="24"/>
                <w:szCs w:val="24"/>
              </w:rPr>
              <w:t xml:space="preserve"> 之比不宜小于4;柱的截面的宽度和高度均不小于300</w:t>
            </w:r>
            <w:r>
              <w:rPr>
                <w:rFonts w:ascii="宋体" w:hAnsi="宋体" w:eastAsia="宋体" w:cs="宋体"/>
                <w:b w:val="0"/>
                <w:bCs w:val="0"/>
                <w:spacing w:val="6"/>
                <w:sz w:val="24"/>
                <w:szCs w:val="24"/>
              </w:rPr>
              <w:t xml:space="preserve"> </w:t>
            </w:r>
            <w:r>
              <w:rPr>
                <w:rFonts w:ascii="宋体" w:hAnsi="宋体" w:eastAsia="宋体" w:cs="宋体"/>
                <w:b w:val="0"/>
                <w:bCs w:val="0"/>
                <w:spacing w:val="2"/>
                <w:sz w:val="24"/>
                <w:szCs w:val="24"/>
              </w:rPr>
              <w:t>毫米；圆柱直径不小于350毫米，柱净高与截面高之比</w:t>
            </w:r>
          </w:p>
          <w:p>
            <w:pPr>
              <w:spacing w:before="12" w:line="220" w:lineRule="auto"/>
              <w:ind w:left="95"/>
              <w:rPr>
                <w:rFonts w:ascii="宋体" w:hAnsi="宋体" w:eastAsia="宋体" w:cs="宋体"/>
                <w:b w:val="0"/>
                <w:bCs w:val="0"/>
                <w:sz w:val="24"/>
                <w:szCs w:val="24"/>
              </w:rPr>
            </w:pPr>
            <w:r>
              <w:rPr>
                <w:rFonts w:ascii="宋体" w:hAnsi="宋体" w:eastAsia="宋体" w:cs="宋体"/>
                <w:b w:val="0"/>
                <w:bCs w:val="0"/>
                <w:spacing w:val="9"/>
                <w:sz w:val="24"/>
                <w:szCs w:val="24"/>
              </w:rPr>
              <w:t>不小于4;(3)房屋墙体一般为预制的加气</w:t>
            </w:r>
            <w:r>
              <w:rPr>
                <w:rFonts w:ascii="宋体" w:hAnsi="宋体" w:eastAsia="宋体" w:cs="宋体"/>
                <w:b w:val="0"/>
                <w:bCs w:val="0"/>
                <w:spacing w:val="8"/>
                <w:sz w:val="24"/>
                <w:szCs w:val="24"/>
              </w:rPr>
              <w:t>混凝土、胰</w:t>
            </w:r>
          </w:p>
          <w:p>
            <w:pPr>
              <w:tabs>
                <w:tab w:val="left" w:pos="5922"/>
              </w:tabs>
              <w:spacing w:before="18" w:line="249" w:lineRule="auto"/>
              <w:ind w:left="91" w:firstLine="19"/>
              <w:jc w:val="both"/>
              <w:rPr>
                <w:rFonts w:ascii="宋体" w:hAnsi="宋体" w:eastAsia="宋体" w:cs="宋体"/>
                <w:b w:val="0"/>
                <w:bCs w:val="0"/>
                <w:sz w:val="23"/>
                <w:szCs w:val="23"/>
              </w:rPr>
            </w:pPr>
            <w:r>
              <w:rPr>
                <w:rFonts w:ascii="宋体" w:hAnsi="宋体" w:eastAsia="宋体" w:cs="宋体"/>
                <w:b w:val="0"/>
                <w:bCs w:val="0"/>
                <w:spacing w:val="6"/>
                <w:sz w:val="23"/>
                <w:szCs w:val="23"/>
              </w:rPr>
              <w:t>胀珍珠岩、空心砖或多孔砖、浮石、蛭石、陶粒等轻质</w:t>
            </w:r>
            <w:r>
              <w:rPr>
                <w:rFonts w:ascii="宋体" w:hAnsi="宋体" w:eastAsia="宋体" w:cs="宋体"/>
                <w:b w:val="0"/>
                <w:bCs w:val="0"/>
                <w:spacing w:val="3"/>
                <w:sz w:val="23"/>
                <w:szCs w:val="23"/>
              </w:rPr>
              <w:t xml:space="preserve">  </w:t>
            </w:r>
            <w:r>
              <w:rPr>
                <w:rFonts w:ascii="宋体" w:hAnsi="宋体" w:eastAsia="宋体" w:cs="宋体"/>
                <w:b w:val="0"/>
                <w:bCs w:val="0"/>
                <w:spacing w:val="8"/>
                <w:sz w:val="23"/>
                <w:szCs w:val="23"/>
              </w:rPr>
              <w:t>板材砌筑或装配；(4)现浇踏步、装配式踏</w:t>
            </w:r>
            <w:r>
              <w:rPr>
                <w:rFonts w:ascii="宋体" w:hAnsi="宋体" w:eastAsia="宋体" w:cs="宋体"/>
                <w:b w:val="0"/>
                <w:bCs w:val="0"/>
                <w:spacing w:val="7"/>
                <w:sz w:val="23"/>
                <w:szCs w:val="23"/>
              </w:rPr>
              <w:t>步、普通铝</w:t>
            </w:r>
            <w:r>
              <w:rPr>
                <w:rFonts w:ascii="宋体" w:hAnsi="宋体" w:eastAsia="宋体" w:cs="宋体"/>
                <w:b w:val="0"/>
                <w:bCs w:val="0"/>
                <w:sz w:val="23"/>
                <w:szCs w:val="23"/>
              </w:rPr>
              <w:tab/>
            </w:r>
            <w:r>
              <w:rPr>
                <w:rFonts w:ascii="宋体" w:hAnsi="宋体" w:eastAsia="宋体" w:cs="宋体"/>
                <w:b w:val="0"/>
                <w:bCs w:val="0"/>
                <w:sz w:val="23"/>
                <w:szCs w:val="23"/>
              </w:rPr>
              <w:t xml:space="preserve"> </w:t>
            </w:r>
            <w:r>
              <w:rPr>
                <w:rFonts w:ascii="宋体" w:hAnsi="宋体" w:eastAsia="宋体" w:cs="宋体"/>
                <w:b w:val="0"/>
                <w:bCs w:val="0"/>
                <w:spacing w:val="7"/>
                <w:sz w:val="23"/>
                <w:szCs w:val="23"/>
              </w:rPr>
              <w:t>合金、型钢护栏；(5)板、屋面等采用现浇钢筋混凝土、</w:t>
            </w:r>
            <w:r>
              <w:rPr>
                <w:rFonts w:ascii="宋体" w:hAnsi="宋体" w:eastAsia="宋体" w:cs="宋体"/>
                <w:b w:val="0"/>
                <w:bCs w:val="0"/>
                <w:spacing w:val="10"/>
                <w:sz w:val="23"/>
                <w:szCs w:val="23"/>
              </w:rPr>
              <w:t xml:space="preserve"> </w:t>
            </w:r>
            <w:r>
              <w:rPr>
                <w:rFonts w:ascii="宋体" w:hAnsi="宋体" w:eastAsia="宋体" w:cs="宋体"/>
                <w:b w:val="0"/>
                <w:bCs w:val="0"/>
                <w:spacing w:val="7"/>
                <w:sz w:val="23"/>
                <w:szCs w:val="23"/>
              </w:rPr>
              <w:t>平顶瓦屋面、女儿墙、隔热层防水层；(6)房屋四周水</w:t>
            </w:r>
          </w:p>
          <w:p>
            <w:pPr>
              <w:spacing w:before="14" w:line="228" w:lineRule="auto"/>
              <w:ind w:left="125" w:right="106" w:hanging="30"/>
              <w:rPr>
                <w:rFonts w:ascii="宋体" w:hAnsi="宋体" w:eastAsia="宋体" w:cs="宋体"/>
                <w:b w:val="0"/>
                <w:bCs w:val="0"/>
                <w:sz w:val="24"/>
                <w:szCs w:val="24"/>
              </w:rPr>
            </w:pPr>
            <w:r>
              <w:rPr>
                <w:rFonts w:ascii="宋体" w:hAnsi="宋体" w:eastAsia="宋体" w:cs="宋体"/>
                <w:b w:val="0"/>
                <w:bCs w:val="0"/>
                <w:sz w:val="24"/>
                <w:szCs w:val="24"/>
              </w:rPr>
              <w:t>泥砌筑、排水明沟暗沟、散水；(7)配套给水排水、保</w:t>
            </w:r>
            <w:r>
              <w:rPr>
                <w:rFonts w:ascii="宋体" w:hAnsi="宋体" w:eastAsia="宋体" w:cs="宋体"/>
                <w:b w:val="0"/>
                <w:bCs w:val="0"/>
                <w:spacing w:val="17"/>
                <w:sz w:val="24"/>
                <w:szCs w:val="24"/>
              </w:rPr>
              <w:t xml:space="preserve"> </w:t>
            </w:r>
            <w:r>
              <w:rPr>
                <w:rFonts w:ascii="宋体" w:hAnsi="宋体" w:eastAsia="宋体" w:cs="宋体"/>
                <w:b w:val="0"/>
                <w:bCs w:val="0"/>
                <w:spacing w:val="4"/>
                <w:sz w:val="24"/>
                <w:szCs w:val="24"/>
              </w:rPr>
              <w:t>温隔热、通风采暖、电气工程(弱电强电);(8)</w:t>
            </w:r>
            <w:r>
              <w:rPr>
                <w:rFonts w:ascii="宋体" w:hAnsi="宋体" w:eastAsia="宋体" w:cs="宋体"/>
                <w:b w:val="0"/>
                <w:bCs w:val="0"/>
                <w:spacing w:val="3"/>
                <w:sz w:val="24"/>
                <w:szCs w:val="24"/>
              </w:rPr>
              <w:t>框架结</w:t>
            </w:r>
          </w:p>
          <w:p>
            <w:pPr>
              <w:spacing w:before="38" w:line="227" w:lineRule="auto"/>
              <w:ind w:left="91"/>
              <w:rPr>
                <w:rFonts w:ascii="宋体" w:hAnsi="宋体" w:eastAsia="宋体" w:cs="宋体"/>
                <w:b w:val="0"/>
                <w:bCs w:val="0"/>
                <w:sz w:val="23"/>
                <w:szCs w:val="23"/>
              </w:rPr>
            </w:pPr>
            <w:r>
              <w:rPr>
                <w:rFonts w:ascii="宋体" w:hAnsi="宋体" w:eastAsia="宋体" w:cs="宋体"/>
                <w:b w:val="0"/>
                <w:bCs w:val="0"/>
                <w:spacing w:val="12"/>
                <w:sz w:val="23"/>
                <w:szCs w:val="23"/>
              </w:rPr>
              <w:t>构层高的规定：底层的基本高度3.3米，楼层</w:t>
            </w:r>
            <w:r>
              <w:rPr>
                <w:rFonts w:ascii="宋体" w:hAnsi="宋体" w:eastAsia="宋体" w:cs="宋体"/>
                <w:b w:val="0"/>
                <w:bCs w:val="0"/>
                <w:spacing w:val="11"/>
                <w:sz w:val="23"/>
                <w:szCs w:val="23"/>
              </w:rPr>
              <w:t>高度3米；</w:t>
            </w:r>
          </w:p>
          <w:p>
            <w:pPr>
              <w:spacing w:before="20" w:line="244" w:lineRule="auto"/>
              <w:ind w:left="91" w:right="4" w:firstLine="169"/>
              <w:rPr>
                <w:rFonts w:hint="eastAsia" w:ascii="宋体" w:hAnsi="宋体" w:eastAsia="宋体" w:cs="宋体"/>
                <w:sz w:val="24"/>
                <w:szCs w:val="24"/>
                <w:lang w:eastAsia="zh-CN"/>
              </w:rPr>
            </w:pPr>
            <w:r>
              <w:rPr>
                <w:rFonts w:ascii="宋体" w:hAnsi="宋体" w:eastAsia="宋体" w:cs="宋体"/>
                <w:b w:val="0"/>
                <w:bCs w:val="0"/>
                <w:sz w:val="24"/>
                <w:szCs w:val="24"/>
              </w:rPr>
              <w:t>(9)房屋外墙防水涂料、真石漆、条形砖、方砖、异型</w:t>
            </w:r>
            <w:r>
              <w:rPr>
                <w:rFonts w:ascii="宋体" w:hAnsi="宋体" w:eastAsia="宋体" w:cs="宋体"/>
                <w:b w:val="0"/>
                <w:bCs w:val="0"/>
                <w:spacing w:val="15"/>
                <w:sz w:val="24"/>
                <w:szCs w:val="24"/>
              </w:rPr>
              <w:t xml:space="preserve"> </w:t>
            </w:r>
            <w:r>
              <w:rPr>
                <w:rFonts w:ascii="宋体" w:hAnsi="宋体" w:eastAsia="宋体" w:cs="宋体"/>
                <w:b w:val="0"/>
                <w:bCs w:val="0"/>
                <w:spacing w:val="2"/>
                <w:sz w:val="24"/>
                <w:szCs w:val="24"/>
              </w:rPr>
              <w:t>砖等贴瓷</w:t>
            </w:r>
            <w:r>
              <w:rPr>
                <w:rFonts w:hint="eastAsia" w:ascii="宋体" w:hAnsi="宋体" w:eastAsia="宋体" w:cs="宋体"/>
                <w:b w:val="0"/>
                <w:bCs w:val="0"/>
                <w:spacing w:val="2"/>
                <w:sz w:val="24"/>
                <w:szCs w:val="24"/>
                <w:lang w:eastAsia="zh-CN"/>
              </w:rPr>
              <w:t>。</w:t>
            </w:r>
          </w:p>
        </w:tc>
        <w:tc>
          <w:tcPr>
            <w:tcW w:w="1233" w:type="dxa"/>
            <w:vAlign w:val="center"/>
          </w:tcPr>
          <w:p>
            <w:pPr>
              <w:spacing w:before="78" w:line="183" w:lineRule="auto"/>
              <w:jc w:val="center"/>
              <w:rPr>
                <w:rFonts w:hint="default" w:ascii="宋体" w:hAnsi="宋体" w:eastAsia="宋体" w:cs="宋体"/>
                <w:color w:val="auto"/>
                <w:spacing w:val="-3"/>
                <w:sz w:val="24"/>
                <w:szCs w:val="24"/>
                <w:lang w:val="en-US" w:eastAsia="zh-CN"/>
              </w:rPr>
            </w:pPr>
          </w:p>
          <w:p>
            <w:pPr>
              <w:spacing w:before="78" w:line="184"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1573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1" w:hRule="atLeast"/>
        </w:trPr>
        <w:tc>
          <w:tcPr>
            <w:tcW w:w="85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5933" w:type="dxa"/>
            <w:vAlign w:val="top"/>
          </w:tcPr>
          <w:p>
            <w:pPr>
              <w:spacing w:before="282" w:line="219" w:lineRule="auto"/>
              <w:ind w:left="565"/>
              <w:rPr>
                <w:rFonts w:ascii="宋体" w:hAnsi="宋体" w:eastAsia="宋体" w:cs="宋体"/>
                <w:b w:val="0"/>
                <w:bCs w:val="0"/>
                <w:sz w:val="24"/>
                <w:szCs w:val="24"/>
              </w:rPr>
            </w:pPr>
            <w:r>
              <w:rPr>
                <w:rFonts w:ascii="宋体" w:hAnsi="宋体" w:eastAsia="宋体" w:cs="宋体"/>
                <w:b w:val="0"/>
                <w:bCs w:val="0"/>
                <w:spacing w:val="-4"/>
                <w:sz w:val="24"/>
                <w:szCs w:val="24"/>
              </w:rPr>
              <w:t>2.装饰装修要求</w:t>
            </w:r>
          </w:p>
          <w:p>
            <w:pPr>
              <w:spacing w:before="45" w:line="219" w:lineRule="auto"/>
              <w:ind w:left="735"/>
              <w:rPr>
                <w:rFonts w:ascii="宋体" w:hAnsi="宋体" w:eastAsia="宋体" w:cs="宋体"/>
                <w:b w:val="0"/>
                <w:bCs w:val="0"/>
                <w:sz w:val="24"/>
                <w:szCs w:val="24"/>
              </w:rPr>
            </w:pPr>
            <w:r>
              <w:rPr>
                <w:rFonts w:ascii="宋体" w:hAnsi="宋体" w:eastAsia="宋体" w:cs="宋体"/>
                <w:b w:val="0"/>
                <w:bCs w:val="0"/>
                <w:spacing w:val="-1"/>
                <w:sz w:val="24"/>
                <w:szCs w:val="24"/>
              </w:rPr>
              <w:t>(1)涂料类：国产高档墙漆、进口墙漆；(2)装饰</w:t>
            </w:r>
          </w:p>
          <w:p>
            <w:pPr>
              <w:spacing w:before="17" w:line="219" w:lineRule="auto"/>
              <w:ind w:left="111"/>
              <w:rPr>
                <w:rFonts w:ascii="宋体" w:hAnsi="宋体" w:eastAsia="宋体" w:cs="宋体"/>
                <w:b w:val="0"/>
                <w:bCs w:val="0"/>
                <w:sz w:val="24"/>
                <w:szCs w:val="24"/>
              </w:rPr>
            </w:pPr>
            <w:r>
              <w:rPr>
                <w:rFonts w:ascii="宋体" w:hAnsi="宋体" w:eastAsia="宋体" w:cs="宋体"/>
                <w:b w:val="0"/>
                <w:bCs w:val="0"/>
                <w:spacing w:val="3"/>
                <w:sz w:val="24"/>
                <w:szCs w:val="24"/>
              </w:rPr>
              <w:t>类：墙布、贴瓷，局部墙面高级装饰造型；(3)墙裙</w:t>
            </w:r>
            <w:r>
              <w:rPr>
                <w:rFonts w:ascii="宋体" w:hAnsi="宋体" w:eastAsia="宋体" w:cs="宋体"/>
                <w:b w:val="0"/>
                <w:bCs w:val="0"/>
                <w:spacing w:val="2"/>
                <w:sz w:val="24"/>
                <w:szCs w:val="24"/>
              </w:rPr>
              <w:t>脚</w:t>
            </w:r>
          </w:p>
          <w:p>
            <w:pPr>
              <w:spacing w:before="27" w:line="241" w:lineRule="auto"/>
              <w:ind w:left="91"/>
              <w:rPr>
                <w:rFonts w:ascii="宋体" w:hAnsi="宋体" w:eastAsia="宋体" w:cs="宋体"/>
                <w:b w:val="0"/>
                <w:bCs w:val="0"/>
                <w:sz w:val="23"/>
                <w:szCs w:val="23"/>
              </w:rPr>
            </w:pPr>
            <w:r>
              <w:rPr>
                <w:rFonts w:ascii="宋体" w:hAnsi="宋体" w:eastAsia="宋体" w:cs="宋体"/>
                <w:b w:val="0"/>
                <w:bCs w:val="0"/>
                <w:spacing w:val="7"/>
                <w:sz w:val="23"/>
                <w:szCs w:val="23"/>
              </w:rPr>
              <w:t>线类：各类木质板材质墙裙脚线；(4)各类高档地面砖、</w:t>
            </w:r>
            <w:r>
              <w:rPr>
                <w:rFonts w:ascii="宋体" w:hAnsi="宋体" w:eastAsia="宋体" w:cs="宋体"/>
                <w:b w:val="0"/>
                <w:bCs w:val="0"/>
                <w:spacing w:val="10"/>
                <w:sz w:val="23"/>
                <w:szCs w:val="23"/>
              </w:rPr>
              <w:t xml:space="preserve"> </w:t>
            </w:r>
            <w:r>
              <w:rPr>
                <w:rFonts w:ascii="宋体" w:hAnsi="宋体" w:eastAsia="宋体" w:cs="宋体"/>
                <w:b w:val="0"/>
                <w:bCs w:val="0"/>
                <w:spacing w:val="7"/>
                <w:sz w:val="23"/>
                <w:szCs w:val="23"/>
              </w:rPr>
              <w:t>高档仿古砖、大理石、花岗岩地面砖、微晶石；(5)高</w:t>
            </w:r>
            <w:r>
              <w:rPr>
                <w:rFonts w:ascii="宋体" w:hAnsi="宋体" w:eastAsia="宋体" w:cs="宋体"/>
                <w:b w:val="0"/>
                <w:bCs w:val="0"/>
                <w:spacing w:val="4"/>
                <w:sz w:val="23"/>
                <w:szCs w:val="23"/>
              </w:rPr>
              <w:t xml:space="preserve">   </w:t>
            </w:r>
            <w:r>
              <w:rPr>
                <w:rFonts w:ascii="宋体" w:hAnsi="宋体" w:eastAsia="宋体" w:cs="宋体"/>
                <w:b w:val="0"/>
                <w:bCs w:val="0"/>
                <w:spacing w:val="5"/>
                <w:sz w:val="23"/>
                <w:szCs w:val="23"/>
              </w:rPr>
              <w:t>档原木地板(柚木、紫檀、红橡木、云香等)、高档复合</w:t>
            </w:r>
          </w:p>
          <w:p>
            <w:pPr>
              <w:spacing w:before="33" w:line="229" w:lineRule="auto"/>
              <w:ind w:left="95" w:right="85"/>
              <w:rPr>
                <w:rFonts w:ascii="宋体" w:hAnsi="宋体" w:eastAsia="宋体" w:cs="宋体"/>
                <w:b w:val="0"/>
                <w:bCs w:val="0"/>
                <w:sz w:val="24"/>
                <w:szCs w:val="24"/>
              </w:rPr>
            </w:pPr>
            <w:r>
              <w:rPr>
                <w:rFonts w:ascii="宋体" w:hAnsi="宋体" w:eastAsia="宋体" w:cs="宋体"/>
                <w:b w:val="0"/>
                <w:bCs w:val="0"/>
                <w:spacing w:val="-1"/>
                <w:sz w:val="24"/>
                <w:szCs w:val="24"/>
              </w:rPr>
              <w:t>木地板；(6)石膏线或木角线装饰、石膏板吊顶(异形)</w:t>
            </w:r>
            <w:r>
              <w:rPr>
                <w:rFonts w:ascii="宋体" w:hAnsi="宋体" w:eastAsia="宋体" w:cs="宋体"/>
                <w:b w:val="0"/>
                <w:bCs w:val="0"/>
                <w:spacing w:val="2"/>
                <w:sz w:val="24"/>
                <w:szCs w:val="24"/>
              </w:rPr>
              <w:t xml:space="preserve">  </w:t>
            </w:r>
            <w:r>
              <w:rPr>
                <w:rFonts w:ascii="宋体" w:hAnsi="宋体" w:eastAsia="宋体" w:cs="宋体"/>
                <w:b w:val="0"/>
                <w:bCs w:val="0"/>
                <w:spacing w:val="15"/>
                <w:sz w:val="24"/>
                <w:szCs w:val="24"/>
              </w:rPr>
              <w:t>或夹板吊顶(异形);(7)样木吊顶(异形)、水曲柳吊</w:t>
            </w:r>
          </w:p>
          <w:p>
            <w:pPr>
              <w:spacing w:before="32" w:line="231" w:lineRule="auto"/>
              <w:ind w:left="91" w:right="37"/>
              <w:rPr>
                <w:rFonts w:ascii="宋体" w:hAnsi="宋体" w:eastAsia="宋体" w:cs="宋体"/>
                <w:b w:val="0"/>
                <w:bCs w:val="0"/>
                <w:sz w:val="24"/>
                <w:szCs w:val="24"/>
              </w:rPr>
            </w:pPr>
            <w:r>
              <w:rPr>
                <w:rFonts w:ascii="宋体" w:hAnsi="宋体" w:eastAsia="宋体" w:cs="宋体"/>
                <w:b w:val="0"/>
                <w:bCs w:val="0"/>
                <w:spacing w:val="7"/>
                <w:sz w:val="24"/>
                <w:szCs w:val="24"/>
              </w:rPr>
              <w:t>顶(异形)、玻璃格栅造型顶3级；(8)中空双层玻璃塑</w:t>
            </w:r>
            <w:r>
              <w:rPr>
                <w:rFonts w:ascii="宋体" w:hAnsi="宋体" w:eastAsia="宋体" w:cs="宋体"/>
                <w:b w:val="0"/>
                <w:bCs w:val="0"/>
                <w:spacing w:val="8"/>
                <w:sz w:val="24"/>
                <w:szCs w:val="24"/>
              </w:rPr>
              <w:t xml:space="preserve"> </w:t>
            </w:r>
            <w:r>
              <w:rPr>
                <w:rFonts w:ascii="宋体" w:hAnsi="宋体" w:eastAsia="宋体" w:cs="宋体"/>
                <w:b w:val="0"/>
                <w:bCs w:val="0"/>
                <w:spacing w:val="1"/>
                <w:sz w:val="24"/>
                <w:szCs w:val="24"/>
              </w:rPr>
              <w:t>钢窗、电泳铝窗、断桥铝窗、平开铝窗、各类材质防盗</w:t>
            </w:r>
            <w:r>
              <w:rPr>
                <w:rFonts w:ascii="宋体" w:hAnsi="宋体" w:eastAsia="宋体" w:cs="宋体"/>
                <w:b w:val="0"/>
                <w:bCs w:val="0"/>
                <w:spacing w:val="8"/>
                <w:sz w:val="24"/>
                <w:szCs w:val="24"/>
              </w:rPr>
              <w:t xml:space="preserve"> </w:t>
            </w:r>
            <w:r>
              <w:rPr>
                <w:rFonts w:ascii="宋体" w:hAnsi="宋体" w:eastAsia="宋体" w:cs="宋体"/>
                <w:b w:val="0"/>
                <w:bCs w:val="0"/>
                <w:spacing w:val="4"/>
                <w:sz w:val="24"/>
                <w:szCs w:val="24"/>
              </w:rPr>
              <w:t>网，雨蓬等；(9)各类入户不锈钢防盗门(双层带板)、</w:t>
            </w:r>
            <w:r>
              <w:rPr>
                <w:rFonts w:ascii="宋体" w:hAnsi="宋体" w:eastAsia="宋体" w:cs="宋体"/>
                <w:b w:val="0"/>
                <w:bCs w:val="0"/>
                <w:spacing w:val="15"/>
                <w:sz w:val="24"/>
                <w:szCs w:val="24"/>
              </w:rPr>
              <w:t xml:space="preserve"> </w:t>
            </w:r>
            <w:r>
              <w:rPr>
                <w:rFonts w:ascii="宋体" w:hAnsi="宋体" w:eastAsia="宋体" w:cs="宋体"/>
                <w:b w:val="0"/>
                <w:bCs w:val="0"/>
                <w:spacing w:val="12"/>
                <w:sz w:val="24"/>
                <w:szCs w:val="24"/>
              </w:rPr>
              <w:t>各类材质装饰门、各类材质门套窗套(双面);(10)各</w:t>
            </w:r>
          </w:p>
          <w:p>
            <w:pPr>
              <w:spacing w:before="32" w:line="229" w:lineRule="auto"/>
              <w:ind w:left="95" w:right="75"/>
              <w:rPr>
                <w:rFonts w:hint="eastAsia" w:ascii="宋体" w:hAnsi="宋体" w:eastAsia="宋体" w:cs="宋体"/>
                <w:sz w:val="24"/>
                <w:szCs w:val="24"/>
                <w:lang w:eastAsia="zh-CN"/>
              </w:rPr>
            </w:pPr>
            <w:r>
              <w:rPr>
                <w:rFonts w:ascii="宋体" w:hAnsi="宋体" w:eastAsia="宋体" w:cs="宋体"/>
                <w:b w:val="0"/>
                <w:bCs w:val="0"/>
                <w:spacing w:val="-3"/>
                <w:sz w:val="24"/>
                <w:szCs w:val="24"/>
              </w:rPr>
              <w:t>尺寸高档防滑玻化砖、仿古砖，高档墙砖；(11)整体橱</w:t>
            </w:r>
            <w:r>
              <w:rPr>
                <w:rFonts w:ascii="宋体" w:hAnsi="宋体" w:eastAsia="宋体" w:cs="宋体"/>
                <w:b w:val="0"/>
                <w:bCs w:val="0"/>
                <w:spacing w:val="3"/>
                <w:sz w:val="24"/>
                <w:szCs w:val="24"/>
              </w:rPr>
              <w:t xml:space="preserve"> </w:t>
            </w:r>
            <w:r>
              <w:rPr>
                <w:rFonts w:ascii="宋体" w:hAnsi="宋体" w:eastAsia="宋体" w:cs="宋体"/>
                <w:b w:val="0"/>
                <w:bCs w:val="0"/>
                <w:spacing w:val="-2"/>
                <w:sz w:val="24"/>
                <w:szCs w:val="24"/>
              </w:rPr>
              <w:t>柜，各类高档洁具；(12)高档木质吊顶或集成吊顶</w:t>
            </w:r>
            <w:r>
              <w:rPr>
                <w:rFonts w:hint="eastAsia" w:ascii="宋体" w:hAnsi="宋体" w:eastAsia="宋体" w:cs="宋体"/>
                <w:b w:val="0"/>
                <w:bCs w:val="0"/>
                <w:spacing w:val="-2"/>
                <w:sz w:val="24"/>
                <w:szCs w:val="24"/>
                <w:lang w:eastAsia="zh-CN"/>
              </w:rPr>
              <w:t>。</w:t>
            </w:r>
          </w:p>
        </w:tc>
        <w:tc>
          <w:tcPr>
            <w:tcW w:w="1233"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680</w:t>
            </w:r>
          </w:p>
        </w:tc>
      </w:tr>
    </w:tbl>
    <w:p>
      <w:pPr>
        <w:spacing w:line="212" w:lineRule="exact"/>
        <w:rPr>
          <w:rFonts w:ascii="Arial"/>
          <w:sz w:val="18"/>
        </w:rPr>
      </w:pPr>
    </w:p>
    <w:p>
      <w:pPr>
        <w:spacing w:line="199" w:lineRule="exact"/>
      </w:pPr>
    </w:p>
    <w:p>
      <w:pPr>
        <w:spacing w:line="199" w:lineRule="exact"/>
      </w:pPr>
    </w:p>
    <w:p>
      <w:pPr>
        <w:spacing w:line="199" w:lineRule="exact"/>
      </w:pPr>
    </w:p>
    <w:p>
      <w:pPr>
        <w:spacing w:line="199" w:lineRule="exact"/>
      </w:pPr>
    </w:p>
    <w:p>
      <w:pPr>
        <w:spacing w:line="199" w:lineRule="exact"/>
      </w:pPr>
    </w:p>
    <w:tbl>
      <w:tblPr>
        <w:tblStyle w:val="12"/>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1059"/>
        <w:gridCol w:w="5923"/>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4" w:hRule="atLeast"/>
        </w:trPr>
        <w:tc>
          <w:tcPr>
            <w:tcW w:w="854" w:type="dxa"/>
            <w:vAlign w:val="top"/>
          </w:tcPr>
          <w:p>
            <w:pPr>
              <w:spacing w:before="312" w:line="221" w:lineRule="auto"/>
              <w:ind w:left="98"/>
              <w:rPr>
                <w:rFonts w:ascii="宋体" w:hAnsi="宋体" w:eastAsia="宋体" w:cs="宋体"/>
                <w:b/>
                <w:bCs/>
                <w:sz w:val="24"/>
                <w:szCs w:val="24"/>
              </w:rPr>
            </w:pPr>
            <w:r>
              <w:rPr>
                <w:rFonts w:ascii="宋体" w:hAnsi="宋体" w:eastAsia="宋体" w:cs="宋体"/>
                <w:b/>
                <w:bCs/>
                <w:spacing w:val="-5"/>
                <w:sz w:val="24"/>
                <w:szCs w:val="24"/>
              </w:rPr>
              <w:t>序号</w:t>
            </w:r>
          </w:p>
        </w:tc>
        <w:tc>
          <w:tcPr>
            <w:tcW w:w="1059" w:type="dxa"/>
            <w:vAlign w:val="top"/>
          </w:tcPr>
          <w:p>
            <w:pPr>
              <w:spacing w:before="312" w:line="220" w:lineRule="auto"/>
              <w:ind w:left="284"/>
              <w:rPr>
                <w:rFonts w:ascii="宋体" w:hAnsi="宋体" w:eastAsia="宋体" w:cs="宋体"/>
                <w:b/>
                <w:bCs/>
                <w:sz w:val="24"/>
                <w:szCs w:val="24"/>
              </w:rPr>
            </w:pPr>
            <w:r>
              <w:rPr>
                <w:rFonts w:ascii="宋体" w:hAnsi="宋体" w:eastAsia="宋体" w:cs="宋体"/>
                <w:b/>
                <w:bCs/>
                <w:spacing w:val="1"/>
                <w:sz w:val="24"/>
                <w:szCs w:val="24"/>
              </w:rPr>
              <w:t>结构</w:t>
            </w:r>
          </w:p>
        </w:tc>
        <w:tc>
          <w:tcPr>
            <w:tcW w:w="5923" w:type="dxa"/>
            <w:vAlign w:val="top"/>
          </w:tcPr>
          <w:p>
            <w:pPr>
              <w:spacing w:before="315" w:line="219" w:lineRule="auto"/>
              <w:ind w:left="1701"/>
              <w:rPr>
                <w:rFonts w:ascii="宋体" w:hAnsi="宋体" w:eastAsia="宋体" w:cs="宋体"/>
                <w:b/>
                <w:bCs/>
                <w:sz w:val="24"/>
                <w:szCs w:val="24"/>
              </w:rPr>
            </w:pPr>
            <w:r>
              <w:rPr>
                <w:rFonts w:ascii="宋体" w:hAnsi="宋体" w:eastAsia="宋体" w:cs="宋体"/>
                <w:b/>
                <w:bCs/>
                <w:spacing w:val="1"/>
                <w:sz w:val="24"/>
                <w:szCs w:val="24"/>
              </w:rPr>
              <w:t>主体结构、装饰装修要求</w:t>
            </w:r>
          </w:p>
        </w:tc>
        <w:tc>
          <w:tcPr>
            <w:tcW w:w="1234" w:type="dxa"/>
            <w:vAlign w:val="top"/>
          </w:tcPr>
          <w:p>
            <w:pPr>
              <w:spacing w:before="114" w:line="219" w:lineRule="auto"/>
              <w:ind w:left="129"/>
              <w:rPr>
                <w:rFonts w:ascii="宋体" w:hAnsi="宋体" w:eastAsia="宋体" w:cs="宋体"/>
                <w:b/>
                <w:bCs/>
                <w:sz w:val="24"/>
                <w:szCs w:val="24"/>
              </w:rPr>
            </w:pPr>
            <w:r>
              <w:rPr>
                <w:rFonts w:ascii="宋体" w:hAnsi="宋体" w:eastAsia="宋体" w:cs="宋体"/>
                <w:b/>
                <w:bCs/>
                <w:spacing w:val="3"/>
                <w:sz w:val="24"/>
                <w:szCs w:val="24"/>
              </w:rPr>
              <w:t>征收补偿</w:t>
            </w:r>
          </w:p>
          <w:p>
            <w:pPr>
              <w:spacing w:before="32" w:line="220" w:lineRule="auto"/>
              <w:ind w:left="372"/>
              <w:rPr>
                <w:rFonts w:ascii="宋体" w:hAnsi="宋体" w:eastAsia="宋体" w:cs="宋体"/>
                <w:b/>
                <w:bCs/>
                <w:sz w:val="24"/>
                <w:szCs w:val="24"/>
              </w:rPr>
            </w:pPr>
            <w:r>
              <w:rPr>
                <w:rFonts w:ascii="宋体" w:hAnsi="宋体" w:eastAsia="宋体" w:cs="宋体"/>
                <w:b/>
                <w:bCs/>
                <w:spacing w:val="-6"/>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7" w:hRule="atLeast"/>
        </w:trPr>
        <w:tc>
          <w:tcPr>
            <w:tcW w:w="85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78" w:line="178" w:lineRule="auto"/>
              <w:ind w:left="335"/>
              <w:rPr>
                <w:rFonts w:ascii="宋体" w:hAnsi="宋体" w:eastAsia="宋体" w:cs="宋体"/>
                <w:sz w:val="24"/>
                <w:szCs w:val="24"/>
              </w:rPr>
            </w:pPr>
            <w:r>
              <w:rPr>
                <w:rFonts w:ascii="宋体" w:hAnsi="宋体" w:eastAsia="宋体" w:cs="宋体"/>
                <w:sz w:val="24"/>
                <w:szCs w:val="24"/>
              </w:rPr>
              <w:t>二</w:t>
            </w:r>
          </w:p>
        </w:tc>
        <w:tc>
          <w:tcPr>
            <w:tcW w:w="1059"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21" w:lineRule="auto"/>
              <w:ind w:left="284"/>
              <w:rPr>
                <w:rFonts w:ascii="宋体" w:hAnsi="宋体" w:eastAsia="宋体" w:cs="宋体"/>
                <w:sz w:val="24"/>
                <w:szCs w:val="24"/>
              </w:rPr>
            </w:pPr>
            <w:r>
              <w:rPr>
                <w:rFonts w:ascii="宋体" w:hAnsi="宋体" w:eastAsia="宋体" w:cs="宋体"/>
                <w:b/>
                <w:bCs/>
                <w:spacing w:val="-5"/>
                <w:sz w:val="24"/>
                <w:szCs w:val="24"/>
              </w:rPr>
              <w:t>砖混</w:t>
            </w:r>
          </w:p>
        </w:tc>
        <w:tc>
          <w:tcPr>
            <w:tcW w:w="5923" w:type="dxa"/>
            <w:vAlign w:val="top"/>
          </w:tcPr>
          <w:p>
            <w:pPr>
              <w:spacing w:line="367" w:lineRule="auto"/>
              <w:rPr>
                <w:rFonts w:ascii="Arial"/>
                <w:sz w:val="21"/>
              </w:rPr>
            </w:pPr>
          </w:p>
          <w:p>
            <w:pPr>
              <w:spacing w:before="78" w:line="220" w:lineRule="auto"/>
              <w:ind w:left="615"/>
              <w:rPr>
                <w:rFonts w:ascii="宋体" w:hAnsi="宋体" w:eastAsia="宋体" w:cs="宋体"/>
                <w:b w:val="0"/>
                <w:bCs w:val="0"/>
                <w:sz w:val="24"/>
                <w:szCs w:val="24"/>
              </w:rPr>
            </w:pPr>
            <w:r>
              <w:rPr>
                <w:rFonts w:ascii="宋体" w:hAnsi="宋体" w:eastAsia="宋体" w:cs="宋体"/>
                <w:b w:val="0"/>
                <w:bCs w:val="0"/>
                <w:spacing w:val="-2"/>
                <w:sz w:val="24"/>
                <w:szCs w:val="24"/>
              </w:rPr>
              <w:t>1.主体结构要求</w:t>
            </w:r>
          </w:p>
          <w:p>
            <w:pPr>
              <w:spacing w:before="1" w:line="219" w:lineRule="auto"/>
              <w:ind w:left="745"/>
              <w:rPr>
                <w:rFonts w:ascii="宋体" w:hAnsi="宋体" w:eastAsia="宋体" w:cs="宋体"/>
                <w:b w:val="0"/>
                <w:bCs w:val="0"/>
                <w:sz w:val="24"/>
                <w:szCs w:val="24"/>
              </w:rPr>
            </w:pPr>
            <w:r>
              <w:rPr>
                <w:rFonts w:ascii="宋体" w:hAnsi="宋体" w:eastAsia="宋体" w:cs="宋体"/>
                <w:b w:val="0"/>
                <w:bCs w:val="0"/>
                <w:spacing w:val="-2"/>
                <w:sz w:val="24"/>
                <w:szCs w:val="24"/>
              </w:rPr>
              <w:t>(1)砌砖、砌条石、混凝土基础；(2)预制板、现</w:t>
            </w:r>
          </w:p>
          <w:p>
            <w:pPr>
              <w:spacing w:before="32" w:line="245" w:lineRule="auto"/>
              <w:ind w:left="82"/>
              <w:rPr>
                <w:rFonts w:ascii="宋体" w:hAnsi="宋体" w:eastAsia="宋体" w:cs="宋体"/>
                <w:b w:val="0"/>
                <w:bCs w:val="0"/>
                <w:sz w:val="23"/>
                <w:szCs w:val="23"/>
              </w:rPr>
            </w:pPr>
            <w:r>
              <w:rPr>
                <w:rFonts w:ascii="宋体" w:hAnsi="宋体" w:eastAsia="宋体" w:cs="宋体"/>
                <w:b w:val="0"/>
                <w:bCs w:val="0"/>
                <w:spacing w:val="20"/>
                <w:sz w:val="23"/>
                <w:szCs w:val="23"/>
              </w:rPr>
              <w:t>浇架空(防潮层);(3)24厘米眠墙或部分2</w:t>
            </w:r>
            <w:r>
              <w:rPr>
                <w:rFonts w:ascii="宋体" w:hAnsi="宋体" w:eastAsia="宋体" w:cs="宋体"/>
                <w:b w:val="0"/>
                <w:bCs w:val="0"/>
                <w:spacing w:val="19"/>
                <w:sz w:val="23"/>
                <w:szCs w:val="23"/>
              </w:rPr>
              <w:t>4厘米斗墙</w:t>
            </w:r>
            <w:r>
              <w:rPr>
                <w:rFonts w:ascii="宋体" w:hAnsi="宋体" w:eastAsia="宋体" w:cs="宋体"/>
                <w:b w:val="0"/>
                <w:bCs w:val="0"/>
                <w:sz w:val="23"/>
                <w:szCs w:val="23"/>
              </w:rPr>
              <w:t xml:space="preserve">   </w:t>
            </w:r>
            <w:r>
              <w:rPr>
                <w:rFonts w:ascii="宋体" w:hAnsi="宋体" w:eastAsia="宋体" w:cs="宋体"/>
                <w:b w:val="0"/>
                <w:bCs w:val="0"/>
                <w:spacing w:val="7"/>
                <w:sz w:val="23"/>
                <w:szCs w:val="23"/>
              </w:rPr>
              <w:t>的砖砌墙工程；(4)现浇、预制楼梯踏步，护栏为金属、</w:t>
            </w:r>
            <w:r>
              <w:rPr>
                <w:rFonts w:ascii="宋体" w:hAnsi="宋体" w:eastAsia="宋体" w:cs="宋体"/>
                <w:b w:val="0"/>
                <w:bCs w:val="0"/>
                <w:spacing w:val="10"/>
                <w:sz w:val="23"/>
                <w:szCs w:val="23"/>
              </w:rPr>
              <w:t xml:space="preserve"> </w:t>
            </w:r>
            <w:r>
              <w:rPr>
                <w:rFonts w:ascii="宋体" w:hAnsi="宋体" w:eastAsia="宋体" w:cs="宋体"/>
                <w:b w:val="0"/>
                <w:bCs w:val="0"/>
                <w:spacing w:val="7"/>
                <w:sz w:val="23"/>
                <w:szCs w:val="23"/>
              </w:rPr>
              <w:t>木质等；(5)横向承重的梁、楼板、屋面板等采用钢筋</w:t>
            </w:r>
            <w:r>
              <w:rPr>
                <w:rFonts w:ascii="宋体" w:hAnsi="宋体" w:eastAsia="宋体" w:cs="宋体"/>
                <w:b w:val="0"/>
                <w:bCs w:val="0"/>
                <w:sz w:val="23"/>
                <w:szCs w:val="23"/>
              </w:rPr>
              <w:t xml:space="preserve">   </w:t>
            </w:r>
            <w:r>
              <w:rPr>
                <w:rFonts w:ascii="宋体" w:hAnsi="宋体" w:eastAsia="宋体" w:cs="宋体"/>
                <w:b w:val="0"/>
                <w:bCs w:val="0"/>
                <w:spacing w:val="10"/>
                <w:sz w:val="23"/>
                <w:szCs w:val="23"/>
              </w:rPr>
              <w:t>混凝土结构(现浇、预制);(6)屋顶为现</w:t>
            </w:r>
            <w:r>
              <w:rPr>
                <w:rFonts w:ascii="宋体" w:hAnsi="宋体" w:eastAsia="宋体" w:cs="宋体"/>
                <w:b w:val="0"/>
                <w:bCs w:val="0"/>
                <w:spacing w:val="9"/>
                <w:sz w:val="23"/>
                <w:szCs w:val="23"/>
              </w:rPr>
              <w:t>浇钢丝网砼、</w:t>
            </w:r>
          </w:p>
          <w:p>
            <w:pPr>
              <w:spacing w:before="23" w:line="232" w:lineRule="auto"/>
              <w:ind w:left="85" w:right="21" w:firstLine="40"/>
              <w:jc w:val="both"/>
              <w:rPr>
                <w:rFonts w:ascii="宋体" w:hAnsi="宋体" w:eastAsia="宋体" w:cs="宋体"/>
                <w:b w:val="0"/>
                <w:bCs w:val="0"/>
                <w:sz w:val="24"/>
                <w:szCs w:val="24"/>
              </w:rPr>
            </w:pPr>
            <w:r>
              <w:rPr>
                <w:rFonts w:ascii="宋体" w:hAnsi="宋体" w:eastAsia="宋体" w:cs="宋体"/>
                <w:b w:val="0"/>
                <w:bCs w:val="0"/>
                <w:spacing w:val="-1"/>
                <w:sz w:val="24"/>
                <w:szCs w:val="24"/>
              </w:rPr>
              <w:t>空心板隔热层或平顶红瓦屋面；(7)房屋四周水泥砖砌</w:t>
            </w:r>
            <w:r>
              <w:rPr>
                <w:rFonts w:ascii="宋体" w:hAnsi="宋体" w:eastAsia="宋体" w:cs="宋体"/>
                <w:b w:val="0"/>
                <w:bCs w:val="0"/>
                <w:spacing w:val="2"/>
                <w:sz w:val="24"/>
                <w:szCs w:val="24"/>
              </w:rPr>
              <w:t xml:space="preserve">  </w:t>
            </w:r>
            <w:r>
              <w:rPr>
                <w:rFonts w:ascii="宋体" w:hAnsi="宋体" w:eastAsia="宋体" w:cs="宋体"/>
                <w:b w:val="0"/>
                <w:bCs w:val="0"/>
                <w:spacing w:val="-1"/>
                <w:sz w:val="24"/>
                <w:szCs w:val="24"/>
              </w:rPr>
              <w:t>排水明沟或暗沟；(8)配套给水、排水、电气工程；(9)</w:t>
            </w:r>
            <w:r>
              <w:rPr>
                <w:rFonts w:ascii="宋体" w:hAnsi="宋体" w:eastAsia="宋体" w:cs="宋体"/>
                <w:b w:val="0"/>
                <w:bCs w:val="0"/>
                <w:spacing w:val="3"/>
                <w:sz w:val="24"/>
                <w:szCs w:val="24"/>
              </w:rPr>
              <w:t xml:space="preserve"> </w:t>
            </w:r>
            <w:r>
              <w:rPr>
                <w:rFonts w:ascii="宋体" w:hAnsi="宋体" w:eastAsia="宋体" w:cs="宋体"/>
                <w:b w:val="0"/>
                <w:bCs w:val="0"/>
                <w:spacing w:val="2"/>
                <w:sz w:val="24"/>
                <w:szCs w:val="24"/>
              </w:rPr>
              <w:t>层高3米；(10)房屋外墙防水涂料、真石漆</w:t>
            </w:r>
            <w:r>
              <w:rPr>
                <w:rFonts w:ascii="宋体" w:hAnsi="宋体" w:eastAsia="宋体" w:cs="宋体"/>
                <w:b w:val="0"/>
                <w:bCs w:val="0"/>
                <w:spacing w:val="1"/>
                <w:sz w:val="24"/>
                <w:szCs w:val="24"/>
              </w:rPr>
              <w:t>、条形砖、</w:t>
            </w:r>
          </w:p>
          <w:p>
            <w:pPr>
              <w:spacing w:before="59" w:line="219" w:lineRule="auto"/>
              <w:ind w:left="82"/>
              <w:rPr>
                <w:rFonts w:hint="eastAsia" w:ascii="宋体" w:hAnsi="宋体" w:eastAsia="宋体" w:cs="宋体"/>
                <w:sz w:val="24"/>
                <w:szCs w:val="24"/>
                <w:lang w:eastAsia="zh-CN"/>
              </w:rPr>
            </w:pPr>
            <w:r>
              <w:rPr>
                <w:rFonts w:ascii="宋体" w:hAnsi="宋体" w:eastAsia="宋体" w:cs="宋体"/>
                <w:b w:val="0"/>
                <w:bCs w:val="0"/>
                <w:spacing w:val="2"/>
                <w:sz w:val="24"/>
                <w:szCs w:val="24"/>
              </w:rPr>
              <w:t>方砖等贴瓷</w:t>
            </w:r>
            <w:r>
              <w:rPr>
                <w:rFonts w:hint="eastAsia" w:ascii="宋体" w:hAnsi="宋体" w:eastAsia="宋体" w:cs="宋体"/>
                <w:b w:val="0"/>
                <w:bCs w:val="0"/>
                <w:spacing w:val="2"/>
                <w:sz w:val="24"/>
                <w:szCs w:val="24"/>
                <w:lang w:eastAsia="zh-CN"/>
              </w:rPr>
              <w:t>。</w:t>
            </w:r>
          </w:p>
        </w:tc>
        <w:tc>
          <w:tcPr>
            <w:tcW w:w="1234" w:type="dxa"/>
            <w:vAlign w:val="center"/>
          </w:tcPr>
          <w:p>
            <w:pPr>
              <w:spacing w:before="78" w:line="184"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1318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9" w:hRule="atLeast"/>
        </w:trPr>
        <w:tc>
          <w:tcPr>
            <w:tcW w:w="85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5923" w:type="dxa"/>
            <w:vAlign w:val="top"/>
          </w:tcPr>
          <w:p>
            <w:pPr>
              <w:spacing w:line="459" w:lineRule="auto"/>
              <w:rPr>
                <w:rFonts w:ascii="Arial"/>
                <w:sz w:val="21"/>
              </w:rPr>
            </w:pPr>
          </w:p>
          <w:p>
            <w:pPr>
              <w:spacing w:before="78" w:line="219" w:lineRule="auto"/>
              <w:ind w:left="585"/>
              <w:rPr>
                <w:rFonts w:ascii="宋体" w:hAnsi="宋体" w:eastAsia="宋体" w:cs="宋体"/>
                <w:b w:val="0"/>
                <w:bCs w:val="0"/>
                <w:sz w:val="24"/>
                <w:szCs w:val="24"/>
              </w:rPr>
            </w:pPr>
            <w:r>
              <w:rPr>
                <w:rFonts w:ascii="宋体" w:hAnsi="宋体" w:eastAsia="宋体" w:cs="宋体"/>
                <w:b w:val="0"/>
                <w:bCs w:val="0"/>
                <w:spacing w:val="-4"/>
                <w:sz w:val="24"/>
                <w:szCs w:val="24"/>
              </w:rPr>
              <w:t>2.装饰装修要求</w:t>
            </w:r>
          </w:p>
          <w:p>
            <w:pPr>
              <w:spacing w:before="40" w:line="247" w:lineRule="auto"/>
              <w:ind w:left="82" w:firstLine="656"/>
              <w:jc w:val="both"/>
              <w:rPr>
                <w:rFonts w:ascii="宋体" w:hAnsi="宋体" w:eastAsia="宋体" w:cs="宋体"/>
                <w:b w:val="0"/>
                <w:bCs w:val="0"/>
                <w:sz w:val="23"/>
                <w:szCs w:val="23"/>
              </w:rPr>
            </w:pPr>
            <w:r>
              <w:rPr>
                <w:rFonts w:ascii="宋体" w:hAnsi="宋体" w:eastAsia="宋体" w:cs="宋体"/>
                <w:b w:val="0"/>
                <w:bCs w:val="0"/>
                <w:spacing w:val="5"/>
                <w:sz w:val="23"/>
                <w:szCs w:val="23"/>
              </w:rPr>
              <w:t>(1)涂料类：国产高档墙漆、进口墙漆；(2)装饰</w:t>
            </w:r>
            <w:r>
              <w:rPr>
                <w:rFonts w:ascii="宋体" w:hAnsi="宋体" w:eastAsia="宋体" w:cs="宋体"/>
                <w:b w:val="0"/>
                <w:bCs w:val="0"/>
                <w:spacing w:val="8"/>
                <w:sz w:val="23"/>
                <w:szCs w:val="23"/>
              </w:rPr>
              <w:t xml:space="preserve">  类：墙布、贴瓷，局部墙面高级装饰造型；(3)墙裙脚</w:t>
            </w:r>
            <w:r>
              <w:rPr>
                <w:rFonts w:ascii="宋体" w:hAnsi="宋体" w:eastAsia="宋体" w:cs="宋体"/>
                <w:b w:val="0"/>
                <w:bCs w:val="0"/>
                <w:spacing w:val="4"/>
                <w:sz w:val="23"/>
                <w:szCs w:val="23"/>
              </w:rPr>
              <w:t xml:space="preserve">   </w:t>
            </w:r>
            <w:r>
              <w:rPr>
                <w:rFonts w:ascii="宋体" w:hAnsi="宋体" w:eastAsia="宋体" w:cs="宋体"/>
                <w:b w:val="0"/>
                <w:bCs w:val="0"/>
                <w:spacing w:val="7"/>
                <w:sz w:val="23"/>
                <w:szCs w:val="23"/>
              </w:rPr>
              <w:t>线类：各类木质板材质墙裙脚线；(4)各类高档地面砖、</w:t>
            </w:r>
            <w:r>
              <w:rPr>
                <w:rFonts w:ascii="宋体" w:hAnsi="宋体" w:eastAsia="宋体" w:cs="宋体"/>
                <w:b w:val="0"/>
                <w:bCs w:val="0"/>
                <w:spacing w:val="10"/>
                <w:sz w:val="23"/>
                <w:szCs w:val="23"/>
              </w:rPr>
              <w:t xml:space="preserve"> </w:t>
            </w:r>
            <w:r>
              <w:rPr>
                <w:rFonts w:ascii="宋体" w:hAnsi="宋体" w:eastAsia="宋体" w:cs="宋体"/>
                <w:b w:val="0"/>
                <w:bCs w:val="0"/>
                <w:spacing w:val="7"/>
                <w:sz w:val="23"/>
                <w:szCs w:val="23"/>
              </w:rPr>
              <w:t>高档仿古砖、大理石、花岗岩地面砖、微晶石；</w:t>
            </w:r>
            <w:r>
              <w:rPr>
                <w:rFonts w:ascii="宋体" w:hAnsi="宋体" w:eastAsia="宋体" w:cs="宋体"/>
                <w:b w:val="0"/>
                <w:bCs w:val="0"/>
                <w:spacing w:val="6"/>
                <w:sz w:val="23"/>
                <w:szCs w:val="23"/>
              </w:rPr>
              <w:t>(5)高</w:t>
            </w:r>
          </w:p>
          <w:p>
            <w:pPr>
              <w:spacing w:before="23" w:line="232" w:lineRule="auto"/>
              <w:ind w:left="85" w:right="67" w:firstLine="10"/>
              <w:rPr>
                <w:rFonts w:ascii="宋体" w:hAnsi="宋体" w:eastAsia="宋体" w:cs="宋体"/>
                <w:b w:val="0"/>
                <w:bCs w:val="0"/>
                <w:sz w:val="24"/>
                <w:szCs w:val="24"/>
              </w:rPr>
            </w:pPr>
            <w:r>
              <w:rPr>
                <w:rFonts w:ascii="宋体" w:hAnsi="宋体" w:eastAsia="宋体" w:cs="宋体"/>
                <w:b w:val="0"/>
                <w:bCs w:val="0"/>
                <w:spacing w:val="-3"/>
                <w:sz w:val="24"/>
                <w:szCs w:val="24"/>
              </w:rPr>
              <w:t>档原木地板(柚木、紫槽、红橡木、云香等)、高档复合</w:t>
            </w:r>
            <w:r>
              <w:rPr>
                <w:rFonts w:ascii="宋体" w:hAnsi="宋体" w:eastAsia="宋体" w:cs="宋体"/>
                <w:b w:val="0"/>
                <w:bCs w:val="0"/>
                <w:sz w:val="24"/>
                <w:szCs w:val="24"/>
              </w:rPr>
              <w:t xml:space="preserve"> </w:t>
            </w:r>
            <w:r>
              <w:rPr>
                <w:rFonts w:ascii="宋体" w:hAnsi="宋体" w:eastAsia="宋体" w:cs="宋体"/>
                <w:b w:val="0"/>
                <w:bCs w:val="0"/>
                <w:spacing w:val="-1"/>
                <w:sz w:val="24"/>
                <w:szCs w:val="24"/>
              </w:rPr>
              <w:t>木地板；(6)石膏线或木角线装饰、石膏板吊顶(异形)</w:t>
            </w:r>
          </w:p>
          <w:p>
            <w:pPr>
              <w:spacing w:before="21" w:line="237" w:lineRule="auto"/>
              <w:ind w:left="82" w:right="57" w:firstLine="30"/>
              <w:jc w:val="both"/>
              <w:rPr>
                <w:rFonts w:ascii="宋体" w:hAnsi="宋体" w:eastAsia="宋体" w:cs="宋体"/>
                <w:b w:val="0"/>
                <w:bCs w:val="0"/>
                <w:sz w:val="24"/>
                <w:szCs w:val="24"/>
              </w:rPr>
            </w:pPr>
            <w:r>
              <w:rPr>
                <w:rFonts w:ascii="宋体" w:hAnsi="宋体" w:eastAsia="宋体" w:cs="宋体"/>
                <w:b w:val="0"/>
                <w:bCs w:val="0"/>
                <w:spacing w:val="16"/>
                <w:sz w:val="24"/>
                <w:szCs w:val="24"/>
              </w:rPr>
              <w:t>或夹板吊顶(异形);(7)样木吊顶(异形)、水</w:t>
            </w:r>
            <w:r>
              <w:rPr>
                <w:rFonts w:ascii="宋体" w:hAnsi="宋体" w:eastAsia="宋体" w:cs="宋体"/>
                <w:b w:val="0"/>
                <w:bCs w:val="0"/>
                <w:spacing w:val="15"/>
                <w:sz w:val="24"/>
                <w:szCs w:val="24"/>
              </w:rPr>
              <w:t>曲柳民</w:t>
            </w:r>
            <w:r>
              <w:rPr>
                <w:rFonts w:ascii="宋体" w:hAnsi="宋体" w:eastAsia="宋体" w:cs="宋体"/>
                <w:b w:val="0"/>
                <w:bCs w:val="0"/>
                <w:sz w:val="24"/>
                <w:szCs w:val="24"/>
              </w:rPr>
              <w:t xml:space="preserve"> </w:t>
            </w:r>
            <w:r>
              <w:rPr>
                <w:rFonts w:ascii="宋体" w:hAnsi="宋体" w:eastAsia="宋体" w:cs="宋体"/>
                <w:b w:val="0"/>
                <w:bCs w:val="0"/>
                <w:spacing w:val="6"/>
                <w:sz w:val="24"/>
                <w:szCs w:val="24"/>
              </w:rPr>
              <w:t>顶(异形)、玻璃格栅造型顶3级；(8)中空双层玻璃塑</w:t>
            </w:r>
            <w:r>
              <w:rPr>
                <w:rFonts w:ascii="宋体" w:hAnsi="宋体" w:eastAsia="宋体" w:cs="宋体"/>
                <w:b w:val="0"/>
                <w:bCs w:val="0"/>
                <w:spacing w:val="14"/>
                <w:sz w:val="24"/>
                <w:szCs w:val="24"/>
              </w:rPr>
              <w:t xml:space="preserve"> </w:t>
            </w:r>
            <w:r>
              <w:rPr>
                <w:rFonts w:ascii="宋体" w:hAnsi="宋体" w:eastAsia="宋体" w:cs="宋体"/>
                <w:b w:val="0"/>
                <w:bCs w:val="0"/>
                <w:sz w:val="24"/>
                <w:szCs w:val="24"/>
              </w:rPr>
              <w:t>钢窗、电泳铝窗、断桥铝窗、平开铝窗、各类材质防盗</w:t>
            </w:r>
            <w:r>
              <w:rPr>
                <w:rFonts w:ascii="宋体" w:hAnsi="宋体" w:eastAsia="宋体" w:cs="宋体"/>
                <w:b w:val="0"/>
                <w:bCs w:val="0"/>
                <w:spacing w:val="12"/>
                <w:sz w:val="24"/>
                <w:szCs w:val="24"/>
              </w:rPr>
              <w:t xml:space="preserve"> </w:t>
            </w:r>
            <w:r>
              <w:rPr>
                <w:rFonts w:ascii="宋体" w:hAnsi="宋体" w:eastAsia="宋体" w:cs="宋体"/>
                <w:b w:val="0"/>
                <w:bCs w:val="0"/>
                <w:spacing w:val="4"/>
                <w:sz w:val="24"/>
                <w:szCs w:val="24"/>
              </w:rPr>
              <w:t>网，雨蓬等；(9)各类入户不锈钢防盗门(双层带板)、</w:t>
            </w:r>
          </w:p>
          <w:p>
            <w:pPr>
              <w:spacing w:before="31" w:line="235" w:lineRule="auto"/>
              <w:ind w:left="85" w:right="75"/>
              <w:jc w:val="both"/>
              <w:rPr>
                <w:rFonts w:hint="eastAsia" w:ascii="宋体" w:hAnsi="宋体" w:eastAsia="宋体" w:cs="宋体"/>
                <w:sz w:val="24"/>
                <w:szCs w:val="24"/>
                <w:lang w:eastAsia="zh-CN"/>
              </w:rPr>
            </w:pPr>
            <w:r>
              <w:rPr>
                <w:rFonts w:ascii="宋体" w:hAnsi="宋体" w:eastAsia="宋体" w:cs="宋体"/>
                <w:b w:val="0"/>
                <w:bCs w:val="0"/>
                <w:spacing w:val="8"/>
                <w:sz w:val="24"/>
                <w:szCs w:val="24"/>
              </w:rPr>
              <w:t>各类材质装饰门、各类材质门套窗套(双面);(10)各</w:t>
            </w:r>
            <w:r>
              <w:rPr>
                <w:rFonts w:ascii="宋体" w:hAnsi="宋体" w:eastAsia="宋体" w:cs="宋体"/>
                <w:b w:val="0"/>
                <w:bCs w:val="0"/>
                <w:spacing w:val="4"/>
                <w:sz w:val="24"/>
                <w:szCs w:val="24"/>
              </w:rPr>
              <w:t xml:space="preserve">  </w:t>
            </w:r>
            <w:r>
              <w:rPr>
                <w:rFonts w:ascii="宋体" w:hAnsi="宋体" w:eastAsia="宋体" w:cs="宋体"/>
                <w:b w:val="0"/>
                <w:bCs w:val="0"/>
                <w:spacing w:val="-3"/>
                <w:sz w:val="24"/>
                <w:szCs w:val="24"/>
              </w:rPr>
              <w:t>尺寸高档防滑玻化砖、仿古砖，高档墙砖；(11)整体橱</w:t>
            </w:r>
            <w:r>
              <w:rPr>
                <w:rFonts w:ascii="宋体" w:hAnsi="宋体" w:eastAsia="宋体" w:cs="宋体"/>
                <w:b w:val="0"/>
                <w:bCs w:val="0"/>
                <w:spacing w:val="3"/>
                <w:sz w:val="24"/>
                <w:szCs w:val="24"/>
              </w:rPr>
              <w:t xml:space="preserve"> </w:t>
            </w:r>
            <w:r>
              <w:rPr>
                <w:rFonts w:ascii="宋体" w:hAnsi="宋体" w:eastAsia="宋体" w:cs="宋体"/>
                <w:b w:val="0"/>
                <w:bCs w:val="0"/>
                <w:spacing w:val="-3"/>
                <w:sz w:val="24"/>
                <w:szCs w:val="24"/>
              </w:rPr>
              <w:t>柜，各类高档洁具；(12)高档木质吊顶或集成吊顶</w:t>
            </w:r>
            <w:r>
              <w:rPr>
                <w:rFonts w:hint="eastAsia" w:ascii="宋体" w:hAnsi="宋体" w:eastAsia="宋体" w:cs="宋体"/>
                <w:b w:val="0"/>
                <w:bCs w:val="0"/>
                <w:spacing w:val="-3"/>
                <w:sz w:val="24"/>
                <w:szCs w:val="24"/>
                <w:lang w:eastAsia="zh-CN"/>
              </w:rPr>
              <w:t>。</w:t>
            </w:r>
          </w:p>
        </w:tc>
        <w:tc>
          <w:tcPr>
            <w:tcW w:w="1234"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680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85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8" w:line="237" w:lineRule="auto"/>
              <w:ind w:left="335"/>
              <w:rPr>
                <w:rFonts w:ascii="宋体" w:hAnsi="宋体" w:eastAsia="宋体" w:cs="宋体"/>
                <w:sz w:val="24"/>
                <w:szCs w:val="24"/>
              </w:rPr>
            </w:pPr>
            <w:r>
              <w:rPr>
                <w:rFonts w:ascii="宋体" w:hAnsi="宋体" w:eastAsia="宋体" w:cs="宋体"/>
                <w:sz w:val="24"/>
                <w:szCs w:val="24"/>
              </w:rPr>
              <w:t>三</w:t>
            </w:r>
          </w:p>
        </w:tc>
        <w:tc>
          <w:tcPr>
            <w:tcW w:w="105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before="78" w:line="220" w:lineRule="auto"/>
              <w:ind w:left="281"/>
              <w:rPr>
                <w:rFonts w:ascii="宋体" w:hAnsi="宋体" w:eastAsia="宋体" w:cs="宋体"/>
                <w:sz w:val="24"/>
                <w:szCs w:val="24"/>
              </w:rPr>
            </w:pPr>
            <w:r>
              <w:rPr>
                <w:rFonts w:ascii="宋体" w:hAnsi="宋体" w:eastAsia="宋体" w:cs="宋体"/>
                <w:spacing w:val="5"/>
                <w:sz w:val="24"/>
                <w:szCs w:val="24"/>
              </w:rPr>
              <w:t>砖木</w:t>
            </w:r>
          </w:p>
        </w:tc>
        <w:tc>
          <w:tcPr>
            <w:tcW w:w="5923" w:type="dxa"/>
            <w:vAlign w:val="top"/>
          </w:tcPr>
          <w:p>
            <w:pPr>
              <w:spacing w:line="437" w:lineRule="auto"/>
              <w:rPr>
                <w:rFonts w:ascii="Arial"/>
                <w:sz w:val="21"/>
              </w:rPr>
            </w:pPr>
          </w:p>
          <w:p>
            <w:pPr>
              <w:spacing w:before="78" w:line="220" w:lineRule="auto"/>
              <w:ind w:left="592"/>
              <w:rPr>
                <w:rFonts w:ascii="宋体" w:hAnsi="宋体" w:eastAsia="宋体" w:cs="宋体"/>
                <w:b w:val="0"/>
                <w:bCs w:val="0"/>
                <w:sz w:val="24"/>
                <w:szCs w:val="24"/>
              </w:rPr>
            </w:pPr>
            <w:r>
              <w:rPr>
                <w:rFonts w:ascii="宋体" w:hAnsi="宋体" w:eastAsia="宋体" w:cs="宋体"/>
                <w:b w:val="0"/>
                <w:bCs w:val="0"/>
                <w:spacing w:val="1"/>
                <w:sz w:val="24"/>
                <w:szCs w:val="24"/>
              </w:rPr>
              <w:t>1.主体结构要求</w:t>
            </w:r>
          </w:p>
          <w:p>
            <w:pPr>
              <w:spacing w:before="19" w:line="229" w:lineRule="auto"/>
              <w:ind w:left="85" w:right="76" w:firstLine="669"/>
              <w:rPr>
                <w:rFonts w:ascii="宋体" w:hAnsi="宋体" w:eastAsia="宋体" w:cs="宋体"/>
                <w:b w:val="0"/>
                <w:bCs w:val="0"/>
                <w:sz w:val="24"/>
                <w:szCs w:val="24"/>
              </w:rPr>
            </w:pPr>
            <w:r>
              <w:rPr>
                <w:rFonts w:ascii="宋体" w:hAnsi="宋体" w:eastAsia="宋体" w:cs="宋体"/>
                <w:b w:val="0"/>
                <w:bCs w:val="0"/>
                <w:spacing w:val="9"/>
                <w:sz w:val="24"/>
                <w:szCs w:val="24"/>
              </w:rPr>
              <w:t>(1)砌砖、砌条石基础；(2)竖向墙、柱采用24</w:t>
            </w:r>
            <w:r>
              <w:rPr>
                <w:rFonts w:ascii="宋体" w:hAnsi="宋体" w:eastAsia="宋体" w:cs="宋体"/>
                <w:b w:val="0"/>
                <w:bCs w:val="0"/>
                <w:spacing w:val="3"/>
                <w:sz w:val="24"/>
                <w:szCs w:val="24"/>
              </w:rPr>
              <w:t xml:space="preserve"> </w:t>
            </w:r>
            <w:r>
              <w:rPr>
                <w:rFonts w:ascii="宋体" w:hAnsi="宋体" w:eastAsia="宋体" w:cs="宋体"/>
                <w:b w:val="0"/>
                <w:bCs w:val="0"/>
                <w:sz w:val="24"/>
                <w:szCs w:val="24"/>
              </w:rPr>
              <w:t>厘米眠墙或部分24厘米斗墙的砌砖或砌块砌筑；(3)</w:t>
            </w:r>
            <w:r>
              <w:rPr>
                <w:rFonts w:ascii="宋体" w:hAnsi="宋体" w:eastAsia="宋体" w:cs="宋体"/>
                <w:b w:val="0"/>
                <w:bCs w:val="0"/>
                <w:spacing w:val="-1"/>
                <w:sz w:val="24"/>
                <w:szCs w:val="24"/>
              </w:rPr>
              <w:t>横</w:t>
            </w:r>
          </w:p>
          <w:p>
            <w:pPr>
              <w:spacing w:before="19" w:line="235" w:lineRule="auto"/>
              <w:ind w:left="82" w:right="87"/>
              <w:jc w:val="both"/>
              <w:rPr>
                <w:rFonts w:hint="eastAsia" w:ascii="宋体" w:hAnsi="宋体" w:eastAsia="宋体" w:cs="宋体"/>
                <w:sz w:val="24"/>
                <w:szCs w:val="24"/>
                <w:lang w:eastAsia="zh-CN"/>
              </w:rPr>
            </w:pPr>
            <w:r>
              <w:rPr>
                <w:rFonts w:ascii="宋体" w:hAnsi="宋体" w:eastAsia="宋体" w:cs="宋体"/>
                <w:b w:val="0"/>
                <w:bCs w:val="0"/>
                <w:spacing w:val="7"/>
                <w:sz w:val="24"/>
                <w:szCs w:val="24"/>
              </w:rPr>
              <w:t>向木结构楼板；(4)木架、红瓦等屋面；(5)纤维板平</w:t>
            </w:r>
            <w:r>
              <w:rPr>
                <w:rFonts w:ascii="宋体" w:hAnsi="宋体" w:eastAsia="宋体" w:cs="宋体"/>
                <w:b w:val="0"/>
                <w:bCs w:val="0"/>
                <w:spacing w:val="8"/>
                <w:sz w:val="24"/>
                <w:szCs w:val="24"/>
              </w:rPr>
              <w:t xml:space="preserve"> 顶；(6)房屋四周水泥砖砌排水明沟或暗沟；(7)房间</w:t>
            </w:r>
            <w:r>
              <w:rPr>
                <w:rFonts w:ascii="宋体" w:hAnsi="宋体" w:eastAsia="宋体" w:cs="宋体"/>
                <w:b w:val="0"/>
                <w:bCs w:val="0"/>
                <w:spacing w:val="14"/>
                <w:sz w:val="24"/>
                <w:szCs w:val="24"/>
              </w:rPr>
              <w:t xml:space="preserve"> </w:t>
            </w:r>
            <w:r>
              <w:rPr>
                <w:rFonts w:ascii="宋体" w:hAnsi="宋体" w:eastAsia="宋体" w:cs="宋体"/>
                <w:b w:val="0"/>
                <w:bCs w:val="0"/>
                <w:spacing w:val="11"/>
                <w:sz w:val="24"/>
                <w:szCs w:val="24"/>
              </w:rPr>
              <w:t>给水、排水、电气工程；(8)层高3.2米；(9)房屋外</w:t>
            </w:r>
            <w:r>
              <w:rPr>
                <w:rFonts w:ascii="宋体" w:hAnsi="宋体" w:eastAsia="宋体" w:cs="宋体"/>
                <w:b w:val="0"/>
                <w:bCs w:val="0"/>
                <w:spacing w:val="16"/>
                <w:sz w:val="24"/>
                <w:szCs w:val="24"/>
              </w:rPr>
              <w:t xml:space="preserve"> </w:t>
            </w:r>
            <w:r>
              <w:rPr>
                <w:rFonts w:ascii="宋体" w:hAnsi="宋体" w:eastAsia="宋体" w:cs="宋体"/>
                <w:b w:val="0"/>
                <w:bCs w:val="0"/>
                <w:spacing w:val="1"/>
                <w:sz w:val="24"/>
                <w:szCs w:val="24"/>
              </w:rPr>
              <w:t>墙干粘石、粉刷等</w:t>
            </w:r>
            <w:r>
              <w:rPr>
                <w:rFonts w:hint="eastAsia" w:ascii="宋体" w:hAnsi="宋体" w:eastAsia="宋体" w:cs="宋体"/>
                <w:b w:val="0"/>
                <w:bCs w:val="0"/>
                <w:spacing w:val="1"/>
                <w:sz w:val="24"/>
                <w:szCs w:val="24"/>
                <w:lang w:eastAsia="zh-CN"/>
              </w:rPr>
              <w:t>。</w:t>
            </w:r>
          </w:p>
        </w:tc>
        <w:tc>
          <w:tcPr>
            <w:tcW w:w="1234" w:type="dxa"/>
            <w:vAlign w:val="center"/>
          </w:tcPr>
          <w:p>
            <w:pPr>
              <w:spacing w:before="78" w:line="183" w:lineRule="auto"/>
              <w:jc w:val="center"/>
              <w:rPr>
                <w:rFonts w:hint="eastAsia" w:ascii="宋体" w:hAnsi="宋体" w:eastAsia="宋体" w:cs="宋体"/>
                <w:color w:val="auto"/>
                <w:spacing w:val="-3"/>
                <w:sz w:val="24"/>
                <w:szCs w:val="24"/>
                <w:lang w:val="en-US" w:eastAsia="zh-CN"/>
              </w:rPr>
            </w:pPr>
          </w:p>
          <w:p>
            <w:pPr>
              <w:spacing w:before="78" w:line="184"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1003</w:t>
            </w:r>
          </w:p>
        </w:tc>
      </w:tr>
    </w:tbl>
    <w:p>
      <w:pPr>
        <w:spacing w:line="222" w:lineRule="exact"/>
        <w:rPr>
          <w:rFonts w:ascii="Arial"/>
          <w:sz w:val="19"/>
        </w:rPr>
      </w:pPr>
    </w:p>
    <w:p/>
    <w:p/>
    <w:p/>
    <w:p>
      <w:pPr>
        <w:spacing w:line="121" w:lineRule="exact"/>
      </w:pPr>
    </w:p>
    <w:tbl>
      <w:tblPr>
        <w:tblStyle w:val="12"/>
        <w:tblW w:w="91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049"/>
        <w:gridCol w:w="5943"/>
        <w:gridCol w:w="1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844" w:type="dxa"/>
            <w:vAlign w:val="top"/>
          </w:tcPr>
          <w:p>
            <w:pPr>
              <w:spacing w:before="302" w:line="221" w:lineRule="auto"/>
              <w:ind w:left="208"/>
              <w:rPr>
                <w:rFonts w:ascii="宋体" w:hAnsi="宋体" w:eastAsia="宋体" w:cs="宋体"/>
                <w:sz w:val="24"/>
                <w:szCs w:val="24"/>
              </w:rPr>
            </w:pPr>
            <w:r>
              <w:rPr>
                <w:rFonts w:ascii="宋体" w:hAnsi="宋体" w:eastAsia="宋体" w:cs="宋体"/>
                <w:b/>
                <w:bCs/>
                <w:spacing w:val="-5"/>
                <w:sz w:val="24"/>
                <w:szCs w:val="24"/>
              </w:rPr>
              <w:t>序号</w:t>
            </w:r>
          </w:p>
        </w:tc>
        <w:tc>
          <w:tcPr>
            <w:tcW w:w="1049" w:type="dxa"/>
            <w:vAlign w:val="top"/>
          </w:tcPr>
          <w:p>
            <w:pPr>
              <w:spacing w:before="302" w:line="220" w:lineRule="auto"/>
              <w:ind w:left="314"/>
              <w:rPr>
                <w:rFonts w:ascii="宋体" w:hAnsi="宋体" w:eastAsia="宋体" w:cs="宋体"/>
                <w:sz w:val="24"/>
                <w:szCs w:val="24"/>
              </w:rPr>
            </w:pPr>
            <w:r>
              <w:rPr>
                <w:rFonts w:ascii="宋体" w:hAnsi="宋体" w:eastAsia="宋体" w:cs="宋体"/>
                <w:b/>
                <w:bCs/>
                <w:spacing w:val="1"/>
                <w:sz w:val="24"/>
                <w:szCs w:val="24"/>
              </w:rPr>
              <w:t>结构</w:t>
            </w:r>
          </w:p>
        </w:tc>
        <w:tc>
          <w:tcPr>
            <w:tcW w:w="5943" w:type="dxa"/>
            <w:vAlign w:val="top"/>
          </w:tcPr>
          <w:p>
            <w:pPr>
              <w:spacing w:before="305" w:line="219" w:lineRule="auto"/>
              <w:ind w:left="1731"/>
              <w:rPr>
                <w:rFonts w:ascii="宋体" w:hAnsi="宋体" w:eastAsia="宋体" w:cs="宋体"/>
                <w:b/>
                <w:bCs/>
                <w:sz w:val="24"/>
                <w:szCs w:val="24"/>
              </w:rPr>
            </w:pPr>
            <w:r>
              <w:rPr>
                <w:rFonts w:ascii="宋体" w:hAnsi="宋体" w:eastAsia="宋体" w:cs="宋体"/>
                <w:b/>
                <w:bCs/>
                <w:spacing w:val="1"/>
                <w:sz w:val="24"/>
                <w:szCs w:val="24"/>
              </w:rPr>
              <w:t>主体结构、装饰装修要求</w:t>
            </w:r>
          </w:p>
        </w:tc>
        <w:tc>
          <w:tcPr>
            <w:tcW w:w="129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ascii="宋体" w:hAnsi="宋体" w:eastAsia="宋体" w:cs="宋体"/>
                <w:b/>
                <w:bCs/>
                <w:spacing w:val="3"/>
                <w:sz w:val="24"/>
                <w:szCs w:val="24"/>
              </w:rPr>
            </w:pPr>
            <w:r>
              <w:rPr>
                <w:rFonts w:ascii="宋体" w:hAnsi="宋体" w:eastAsia="宋体" w:cs="宋体"/>
                <w:b/>
                <w:bCs/>
                <w:spacing w:val="3"/>
                <w:sz w:val="24"/>
                <w:szCs w:val="24"/>
              </w:rPr>
              <w:t>征收补偿</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center"/>
              <w:textAlignment w:val="baseline"/>
              <w:rPr>
                <w:rFonts w:ascii="宋体" w:hAnsi="宋体" w:eastAsia="宋体" w:cs="宋体"/>
                <w:b/>
                <w:bCs/>
                <w:sz w:val="24"/>
                <w:szCs w:val="24"/>
              </w:rPr>
            </w:pPr>
            <w:r>
              <w:rPr>
                <w:rFonts w:ascii="宋体" w:hAnsi="宋体" w:eastAsia="宋体" w:cs="宋体"/>
                <w:b/>
                <w:bCs/>
                <w:spacing w:val="5"/>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7" w:hRule="atLeast"/>
        </w:trPr>
        <w:tc>
          <w:tcPr>
            <w:tcW w:w="84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before="78" w:line="237" w:lineRule="auto"/>
              <w:ind w:left="444"/>
              <w:rPr>
                <w:rFonts w:ascii="宋体" w:hAnsi="宋体" w:eastAsia="宋体" w:cs="宋体"/>
                <w:sz w:val="24"/>
                <w:szCs w:val="24"/>
              </w:rPr>
            </w:pPr>
            <w:r>
              <w:rPr>
                <w:rFonts w:ascii="宋体" w:hAnsi="宋体" w:eastAsia="宋体" w:cs="宋体"/>
                <w:sz w:val="24"/>
                <w:szCs w:val="24"/>
              </w:rPr>
              <w:t>三</w:t>
            </w:r>
          </w:p>
        </w:tc>
        <w:tc>
          <w:tcPr>
            <w:tcW w:w="1049"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8" w:line="220" w:lineRule="auto"/>
              <w:ind w:left="310"/>
              <w:rPr>
                <w:rFonts w:ascii="宋体" w:hAnsi="宋体" w:eastAsia="宋体" w:cs="宋体"/>
                <w:sz w:val="24"/>
                <w:szCs w:val="24"/>
              </w:rPr>
            </w:pPr>
            <w:r>
              <w:rPr>
                <w:rFonts w:ascii="宋体" w:hAnsi="宋体" w:eastAsia="宋体" w:cs="宋体"/>
                <w:spacing w:val="5"/>
                <w:sz w:val="24"/>
                <w:szCs w:val="24"/>
              </w:rPr>
              <w:t>砖木</w:t>
            </w:r>
          </w:p>
        </w:tc>
        <w:tc>
          <w:tcPr>
            <w:tcW w:w="5943" w:type="dxa"/>
            <w:vAlign w:val="top"/>
          </w:tcPr>
          <w:p>
            <w:pPr>
              <w:spacing w:before="200" w:line="215" w:lineRule="auto"/>
              <w:ind w:left="611"/>
              <w:rPr>
                <w:rFonts w:ascii="宋体" w:hAnsi="宋体" w:eastAsia="宋体" w:cs="宋体"/>
                <w:b w:val="0"/>
                <w:bCs w:val="0"/>
                <w:sz w:val="24"/>
                <w:szCs w:val="24"/>
              </w:rPr>
            </w:pPr>
            <w:r>
              <w:rPr>
                <w:rFonts w:ascii="宋体" w:hAnsi="宋体" w:eastAsia="宋体" w:cs="宋体"/>
                <w:b w:val="0"/>
                <w:bCs w:val="0"/>
                <w:spacing w:val="1"/>
                <w:sz w:val="24"/>
                <w:szCs w:val="24"/>
              </w:rPr>
              <w:t>2.装饰装修要求</w:t>
            </w:r>
          </w:p>
          <w:p>
            <w:pPr>
              <w:spacing w:line="227" w:lineRule="auto"/>
              <w:ind w:left="781"/>
              <w:rPr>
                <w:rFonts w:ascii="宋体" w:hAnsi="宋体" w:eastAsia="宋体" w:cs="宋体"/>
                <w:b w:val="0"/>
                <w:bCs w:val="0"/>
                <w:sz w:val="23"/>
                <w:szCs w:val="23"/>
              </w:rPr>
            </w:pPr>
            <w:r>
              <w:rPr>
                <w:rFonts w:ascii="宋体" w:hAnsi="宋体" w:eastAsia="宋体" w:cs="宋体"/>
                <w:b w:val="0"/>
                <w:bCs w:val="0"/>
                <w:spacing w:val="8"/>
                <w:sz w:val="23"/>
                <w:szCs w:val="23"/>
              </w:rPr>
              <w:t>(1)涂料装饰类：国产墙漆、墙纸、中档墙面砖；</w:t>
            </w:r>
          </w:p>
          <w:p>
            <w:pPr>
              <w:spacing w:before="35" w:line="250" w:lineRule="auto"/>
              <w:ind w:left="131" w:firstLine="169"/>
              <w:jc w:val="both"/>
              <w:rPr>
                <w:rFonts w:hint="eastAsia" w:ascii="宋体" w:hAnsi="宋体" w:eastAsia="宋体" w:cs="宋体"/>
                <w:sz w:val="23"/>
                <w:szCs w:val="23"/>
                <w:lang w:eastAsia="zh-CN"/>
              </w:rPr>
            </w:pPr>
            <w:r>
              <w:rPr>
                <w:rFonts w:ascii="宋体" w:hAnsi="宋体" w:eastAsia="宋体" w:cs="宋体"/>
                <w:b w:val="0"/>
                <w:bCs w:val="0"/>
                <w:spacing w:val="5"/>
                <w:sz w:val="23"/>
                <w:szCs w:val="23"/>
              </w:rPr>
              <w:t>(</w:t>
            </w:r>
            <w:r>
              <w:rPr>
                <w:rFonts w:ascii="宋体" w:hAnsi="宋体" w:eastAsia="宋体" w:cs="宋体"/>
                <w:b w:val="0"/>
                <w:bCs w:val="0"/>
                <w:spacing w:val="-58"/>
                <w:sz w:val="23"/>
                <w:szCs w:val="23"/>
              </w:rPr>
              <w:t xml:space="preserve"> </w:t>
            </w:r>
            <w:r>
              <w:rPr>
                <w:rFonts w:ascii="宋体" w:hAnsi="宋体" w:eastAsia="宋体" w:cs="宋体"/>
                <w:b w:val="0"/>
                <w:bCs w:val="0"/>
                <w:spacing w:val="5"/>
                <w:sz w:val="23"/>
                <w:szCs w:val="23"/>
              </w:rPr>
              <w:t>2)墙裙脚线类：各类木质板材质墙裙脚线；(3)各尺</w:t>
            </w:r>
            <w:r>
              <w:rPr>
                <w:rFonts w:ascii="宋体" w:hAnsi="宋体" w:eastAsia="宋体" w:cs="宋体"/>
                <w:b w:val="0"/>
                <w:bCs w:val="0"/>
                <w:sz w:val="23"/>
                <w:szCs w:val="23"/>
              </w:rPr>
              <w:t xml:space="preserve">  </w:t>
            </w:r>
            <w:r>
              <w:rPr>
                <w:rFonts w:ascii="宋体" w:hAnsi="宋体" w:eastAsia="宋体" w:cs="宋体"/>
                <w:b w:val="0"/>
                <w:bCs w:val="0"/>
                <w:spacing w:val="11"/>
                <w:sz w:val="23"/>
                <w:szCs w:val="23"/>
              </w:rPr>
              <w:t>寸全瓷地砖；(4)中档仿实木地板或中档复合木地板或</w:t>
            </w:r>
            <w:r>
              <w:rPr>
                <w:rFonts w:ascii="宋体" w:hAnsi="宋体" w:eastAsia="宋体" w:cs="宋体"/>
                <w:b w:val="0"/>
                <w:bCs w:val="0"/>
                <w:sz w:val="23"/>
                <w:szCs w:val="23"/>
              </w:rPr>
              <w:t xml:space="preserve">  </w:t>
            </w:r>
            <w:r>
              <w:rPr>
                <w:rFonts w:ascii="宋体" w:hAnsi="宋体" w:eastAsia="宋体" w:cs="宋体"/>
                <w:b w:val="0"/>
                <w:bCs w:val="0"/>
                <w:spacing w:val="16"/>
                <w:sz w:val="23"/>
                <w:szCs w:val="23"/>
              </w:rPr>
              <w:t>实木地板；(5)石膏线或木角线装饰、石膏板吊顶(造</w:t>
            </w:r>
            <w:r>
              <w:rPr>
                <w:rFonts w:ascii="宋体" w:hAnsi="宋体" w:eastAsia="宋体" w:cs="宋体"/>
                <w:b w:val="0"/>
                <w:bCs w:val="0"/>
                <w:spacing w:val="4"/>
                <w:sz w:val="23"/>
                <w:szCs w:val="23"/>
              </w:rPr>
              <w:t xml:space="preserve">  </w:t>
            </w:r>
            <w:r>
              <w:rPr>
                <w:rFonts w:ascii="宋体" w:hAnsi="宋体" w:eastAsia="宋体" w:cs="宋体"/>
                <w:b w:val="0"/>
                <w:bCs w:val="0"/>
                <w:spacing w:val="20"/>
                <w:sz w:val="23"/>
                <w:szCs w:val="23"/>
              </w:rPr>
              <w:t>型)、夹板吊顶(造型);(6)榉木吊顶(造型)、水曲柳</w:t>
            </w:r>
            <w:r>
              <w:rPr>
                <w:rFonts w:ascii="宋体" w:hAnsi="宋体" w:eastAsia="宋体" w:cs="宋体"/>
                <w:b w:val="0"/>
                <w:bCs w:val="0"/>
                <w:spacing w:val="9"/>
                <w:sz w:val="23"/>
                <w:szCs w:val="23"/>
              </w:rPr>
              <w:t xml:space="preserve"> </w:t>
            </w:r>
            <w:r>
              <w:rPr>
                <w:rFonts w:ascii="宋体" w:hAnsi="宋体" w:eastAsia="宋体" w:cs="宋体"/>
                <w:b w:val="0"/>
                <w:bCs w:val="0"/>
                <w:spacing w:val="16"/>
                <w:sz w:val="23"/>
                <w:szCs w:val="23"/>
              </w:rPr>
              <w:t>吊顶(造型)、玻璃格栅造型顶2级；(7)铝合</w:t>
            </w:r>
            <w:r>
              <w:rPr>
                <w:rFonts w:ascii="宋体" w:hAnsi="宋体" w:eastAsia="宋体" w:cs="宋体"/>
                <w:b w:val="0"/>
                <w:bCs w:val="0"/>
                <w:spacing w:val="15"/>
                <w:sz w:val="23"/>
                <w:szCs w:val="23"/>
              </w:rPr>
              <w:t>金窗或塑</w:t>
            </w:r>
            <w:r>
              <w:rPr>
                <w:rFonts w:ascii="宋体" w:hAnsi="宋体" w:eastAsia="宋体" w:cs="宋体"/>
                <w:b w:val="0"/>
                <w:bCs w:val="0"/>
                <w:sz w:val="23"/>
                <w:szCs w:val="23"/>
              </w:rPr>
              <w:t xml:space="preserve">  </w:t>
            </w:r>
            <w:r>
              <w:rPr>
                <w:rFonts w:ascii="宋体" w:hAnsi="宋体" w:eastAsia="宋体" w:cs="宋体"/>
                <w:b w:val="0"/>
                <w:bCs w:val="0"/>
                <w:spacing w:val="13"/>
                <w:sz w:val="23"/>
                <w:szCs w:val="23"/>
              </w:rPr>
              <w:t>钢窗、各类材质防盗网，雨蓬等；(8)各类入</w:t>
            </w:r>
            <w:r>
              <w:rPr>
                <w:rFonts w:ascii="宋体" w:hAnsi="宋体" w:eastAsia="宋体" w:cs="宋体"/>
                <w:b w:val="0"/>
                <w:bCs w:val="0"/>
                <w:spacing w:val="12"/>
                <w:sz w:val="23"/>
                <w:szCs w:val="23"/>
              </w:rPr>
              <w:t>户不锈钢</w:t>
            </w:r>
            <w:r>
              <w:rPr>
                <w:rFonts w:ascii="宋体" w:hAnsi="宋体" w:eastAsia="宋体" w:cs="宋体"/>
                <w:b w:val="0"/>
                <w:bCs w:val="0"/>
                <w:sz w:val="23"/>
                <w:szCs w:val="23"/>
              </w:rPr>
              <w:t xml:space="preserve"> </w:t>
            </w:r>
            <w:r>
              <w:rPr>
                <w:rFonts w:ascii="宋体" w:hAnsi="宋体" w:eastAsia="宋体" w:cs="宋体"/>
                <w:b w:val="0"/>
                <w:bCs w:val="0"/>
                <w:spacing w:val="6"/>
                <w:sz w:val="23"/>
                <w:szCs w:val="23"/>
              </w:rPr>
              <w:t>防盗门(一般)、各类材质装饰门、各类材质门套窗套(单</w:t>
            </w:r>
            <w:r>
              <w:rPr>
                <w:rFonts w:ascii="宋体" w:hAnsi="宋体" w:eastAsia="宋体" w:cs="宋体"/>
                <w:b w:val="0"/>
                <w:bCs w:val="0"/>
                <w:spacing w:val="9"/>
                <w:sz w:val="23"/>
                <w:szCs w:val="23"/>
              </w:rPr>
              <w:t xml:space="preserve"> </w:t>
            </w:r>
            <w:r>
              <w:rPr>
                <w:rFonts w:ascii="宋体" w:hAnsi="宋体" w:eastAsia="宋体" w:cs="宋体"/>
                <w:b w:val="0"/>
                <w:bCs w:val="0"/>
                <w:spacing w:val="19"/>
                <w:sz w:val="23"/>
                <w:szCs w:val="23"/>
              </w:rPr>
              <w:t>面);(9)各尺寸中档防滑地面砖、全瓷墙砖；</w:t>
            </w:r>
            <w:r>
              <w:rPr>
                <w:rFonts w:ascii="宋体" w:hAnsi="宋体" w:eastAsia="宋体" w:cs="宋体"/>
                <w:b w:val="0"/>
                <w:bCs w:val="0"/>
                <w:spacing w:val="18"/>
                <w:sz w:val="23"/>
                <w:szCs w:val="23"/>
              </w:rPr>
              <w:t>(10)整</w:t>
            </w:r>
            <w:r>
              <w:rPr>
                <w:rFonts w:ascii="宋体" w:hAnsi="宋体" w:eastAsia="宋体" w:cs="宋体"/>
                <w:b w:val="0"/>
                <w:bCs w:val="0"/>
                <w:sz w:val="23"/>
                <w:szCs w:val="23"/>
              </w:rPr>
              <w:t xml:space="preserve">  </w:t>
            </w:r>
            <w:r>
              <w:rPr>
                <w:rFonts w:ascii="宋体" w:hAnsi="宋体" w:eastAsia="宋体" w:cs="宋体"/>
                <w:b w:val="0"/>
                <w:bCs w:val="0"/>
                <w:spacing w:val="10"/>
                <w:sz w:val="23"/>
                <w:szCs w:val="23"/>
              </w:rPr>
              <w:t>体橱柜，各类中档洁具，铝扣板吊顶</w:t>
            </w:r>
            <w:r>
              <w:rPr>
                <w:rFonts w:hint="eastAsia" w:ascii="宋体" w:hAnsi="宋体" w:eastAsia="宋体" w:cs="宋体"/>
                <w:b w:val="0"/>
                <w:bCs w:val="0"/>
                <w:spacing w:val="10"/>
                <w:sz w:val="23"/>
                <w:szCs w:val="23"/>
                <w:lang w:eastAsia="zh-CN"/>
              </w:rPr>
              <w:t>。</w:t>
            </w:r>
          </w:p>
        </w:tc>
        <w:tc>
          <w:tcPr>
            <w:tcW w:w="1295"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trPr>
        <w:tc>
          <w:tcPr>
            <w:tcW w:w="844"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8" w:line="222" w:lineRule="auto"/>
              <w:ind w:left="444"/>
              <w:rPr>
                <w:rFonts w:ascii="宋体" w:hAnsi="宋体" w:eastAsia="宋体" w:cs="宋体"/>
                <w:sz w:val="24"/>
                <w:szCs w:val="24"/>
              </w:rPr>
            </w:pPr>
            <w:r>
              <w:rPr>
                <w:rFonts w:ascii="宋体" w:hAnsi="宋体" w:eastAsia="宋体" w:cs="宋体"/>
                <w:sz w:val="24"/>
                <w:szCs w:val="24"/>
              </w:rPr>
              <w:t>四</w:t>
            </w:r>
          </w:p>
        </w:tc>
        <w:tc>
          <w:tcPr>
            <w:tcW w:w="1049"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8" w:line="220" w:lineRule="auto"/>
              <w:ind w:left="310"/>
              <w:rPr>
                <w:rFonts w:ascii="宋体" w:hAnsi="宋体" w:eastAsia="宋体" w:cs="宋体"/>
                <w:sz w:val="24"/>
                <w:szCs w:val="24"/>
              </w:rPr>
            </w:pPr>
            <w:r>
              <w:rPr>
                <w:rFonts w:ascii="宋体" w:hAnsi="宋体" w:eastAsia="宋体" w:cs="宋体"/>
                <w:spacing w:val="5"/>
                <w:sz w:val="24"/>
                <w:szCs w:val="24"/>
              </w:rPr>
              <w:t>土木</w:t>
            </w:r>
          </w:p>
        </w:tc>
        <w:tc>
          <w:tcPr>
            <w:tcW w:w="5943" w:type="dxa"/>
            <w:vAlign w:val="top"/>
          </w:tcPr>
          <w:p>
            <w:pPr>
              <w:spacing w:before="123" w:line="220" w:lineRule="auto"/>
              <w:ind w:left="601"/>
              <w:rPr>
                <w:rFonts w:ascii="宋体" w:hAnsi="宋体" w:eastAsia="宋体" w:cs="宋体"/>
                <w:b w:val="0"/>
                <w:bCs w:val="0"/>
                <w:sz w:val="24"/>
                <w:szCs w:val="24"/>
              </w:rPr>
            </w:pPr>
            <w:r>
              <w:rPr>
                <w:rFonts w:ascii="宋体" w:hAnsi="宋体" w:eastAsia="宋体" w:cs="宋体"/>
                <w:b w:val="0"/>
                <w:bCs w:val="0"/>
                <w:spacing w:val="1"/>
                <w:sz w:val="24"/>
                <w:szCs w:val="24"/>
              </w:rPr>
              <w:t>1.主体结构要求</w:t>
            </w:r>
          </w:p>
          <w:p>
            <w:pPr>
              <w:spacing w:before="44" w:line="228" w:lineRule="auto"/>
              <w:ind w:left="771"/>
              <w:rPr>
                <w:rFonts w:ascii="宋体" w:hAnsi="宋体" w:eastAsia="宋体" w:cs="宋体"/>
                <w:b w:val="0"/>
                <w:bCs w:val="0"/>
                <w:sz w:val="23"/>
                <w:szCs w:val="23"/>
              </w:rPr>
            </w:pPr>
            <w:r>
              <w:rPr>
                <w:rFonts w:ascii="宋体" w:hAnsi="宋体" w:eastAsia="宋体" w:cs="宋体"/>
                <w:b w:val="0"/>
                <w:bCs w:val="0"/>
                <w:spacing w:val="4"/>
                <w:sz w:val="23"/>
                <w:szCs w:val="23"/>
              </w:rPr>
              <w:t>(1)砖石基础；(2)土砖土筑或者节能砖、空心</w:t>
            </w:r>
            <w:r>
              <w:rPr>
                <w:rFonts w:ascii="宋体" w:hAnsi="宋体" w:eastAsia="宋体" w:cs="宋体"/>
                <w:b w:val="0"/>
                <w:bCs w:val="0"/>
                <w:spacing w:val="3"/>
                <w:sz w:val="23"/>
                <w:szCs w:val="23"/>
              </w:rPr>
              <w:t>砖；</w:t>
            </w:r>
          </w:p>
          <w:p>
            <w:pPr>
              <w:spacing w:before="21" w:line="227" w:lineRule="auto"/>
              <w:ind w:left="315"/>
              <w:rPr>
                <w:rFonts w:ascii="宋体" w:hAnsi="宋体" w:eastAsia="宋体" w:cs="宋体"/>
                <w:b w:val="0"/>
                <w:bCs w:val="0"/>
                <w:sz w:val="23"/>
                <w:szCs w:val="23"/>
              </w:rPr>
            </w:pPr>
            <w:r>
              <w:rPr>
                <w:rFonts w:ascii="宋体" w:hAnsi="宋体" w:eastAsia="宋体" w:cs="宋体"/>
                <w:b w:val="0"/>
                <w:bCs w:val="0"/>
                <w:spacing w:val="1"/>
                <w:sz w:val="23"/>
                <w:szCs w:val="23"/>
              </w:rPr>
              <w:t>(3)红瓦屋面；(4)房屋四周水泥砖砌排水明沟或暗沟；</w:t>
            </w:r>
          </w:p>
          <w:p>
            <w:pPr>
              <w:spacing w:before="27" w:line="219" w:lineRule="auto"/>
              <w:ind w:left="295"/>
              <w:rPr>
                <w:rFonts w:ascii="宋体" w:hAnsi="宋体" w:eastAsia="宋体" w:cs="宋体"/>
                <w:b w:val="0"/>
                <w:bCs w:val="0"/>
                <w:sz w:val="24"/>
                <w:szCs w:val="24"/>
              </w:rPr>
            </w:pPr>
            <w:r>
              <w:rPr>
                <w:rFonts w:ascii="宋体" w:hAnsi="宋体" w:eastAsia="宋体" w:cs="宋体"/>
                <w:b w:val="0"/>
                <w:bCs w:val="0"/>
                <w:spacing w:val="-1"/>
                <w:sz w:val="24"/>
                <w:szCs w:val="24"/>
              </w:rPr>
              <w:t>(5)房间给水、排水、电气工程；(6)层高3.2米；(7)</w:t>
            </w:r>
          </w:p>
          <w:p>
            <w:pPr>
              <w:spacing w:before="48" w:line="219" w:lineRule="auto"/>
              <w:ind w:left="131"/>
              <w:rPr>
                <w:rFonts w:hint="eastAsia" w:ascii="宋体" w:hAnsi="宋体" w:eastAsia="宋体" w:cs="宋体"/>
                <w:sz w:val="24"/>
                <w:szCs w:val="24"/>
                <w:lang w:eastAsia="zh-CN"/>
              </w:rPr>
            </w:pPr>
            <w:r>
              <w:rPr>
                <w:rFonts w:ascii="宋体" w:hAnsi="宋体" w:eastAsia="宋体" w:cs="宋体"/>
                <w:b w:val="0"/>
                <w:bCs w:val="0"/>
                <w:spacing w:val="1"/>
                <w:sz w:val="24"/>
                <w:szCs w:val="24"/>
              </w:rPr>
              <w:t>房屋外墙粉刷等</w:t>
            </w:r>
            <w:r>
              <w:rPr>
                <w:rFonts w:hint="eastAsia" w:ascii="宋体" w:hAnsi="宋体" w:eastAsia="宋体" w:cs="宋体"/>
                <w:b w:val="0"/>
                <w:bCs w:val="0"/>
                <w:spacing w:val="1"/>
                <w:sz w:val="24"/>
                <w:szCs w:val="24"/>
                <w:lang w:eastAsia="zh-CN"/>
              </w:rPr>
              <w:t>。</w:t>
            </w:r>
          </w:p>
        </w:tc>
        <w:tc>
          <w:tcPr>
            <w:tcW w:w="1295" w:type="dxa"/>
            <w:vAlign w:val="center"/>
          </w:tcPr>
          <w:p>
            <w:pPr>
              <w:spacing w:before="78" w:line="183" w:lineRule="auto"/>
              <w:jc w:val="center"/>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7" w:hRule="atLeast"/>
        </w:trPr>
        <w:tc>
          <w:tcPr>
            <w:tcW w:w="844"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5943" w:type="dxa"/>
            <w:vAlign w:val="top"/>
          </w:tcPr>
          <w:p>
            <w:pPr>
              <w:spacing w:before="194" w:line="219" w:lineRule="auto"/>
              <w:ind w:left="601"/>
              <w:rPr>
                <w:rFonts w:ascii="宋体" w:hAnsi="宋体" w:eastAsia="宋体" w:cs="宋体"/>
                <w:b w:val="0"/>
                <w:bCs w:val="0"/>
                <w:sz w:val="24"/>
                <w:szCs w:val="24"/>
              </w:rPr>
            </w:pPr>
            <w:r>
              <w:rPr>
                <w:rFonts w:ascii="宋体" w:hAnsi="宋体" w:eastAsia="宋体" w:cs="宋体"/>
                <w:b w:val="0"/>
                <w:bCs w:val="0"/>
                <w:spacing w:val="1"/>
                <w:sz w:val="24"/>
                <w:szCs w:val="24"/>
              </w:rPr>
              <w:t>2.装饰装修要求</w:t>
            </w:r>
          </w:p>
          <w:p>
            <w:pPr>
              <w:spacing w:before="5" w:line="227" w:lineRule="auto"/>
              <w:ind w:left="771"/>
              <w:rPr>
                <w:rFonts w:ascii="宋体" w:hAnsi="宋体" w:eastAsia="宋体" w:cs="宋体"/>
                <w:b w:val="0"/>
                <w:bCs w:val="0"/>
                <w:sz w:val="23"/>
                <w:szCs w:val="23"/>
              </w:rPr>
            </w:pPr>
            <w:r>
              <w:rPr>
                <w:rFonts w:ascii="宋体" w:hAnsi="宋体" w:eastAsia="宋体" w:cs="宋体"/>
                <w:b w:val="0"/>
                <w:bCs w:val="0"/>
                <w:spacing w:val="3"/>
                <w:sz w:val="23"/>
                <w:szCs w:val="23"/>
              </w:rPr>
              <w:t>(1)涂料类：904、308涂料、喷塑墙面、888涂料；</w:t>
            </w:r>
          </w:p>
          <w:p>
            <w:pPr>
              <w:spacing w:before="31" w:line="246" w:lineRule="auto"/>
              <w:ind w:left="135" w:firstLine="139"/>
              <w:rPr>
                <w:rFonts w:ascii="宋体" w:hAnsi="宋体" w:eastAsia="宋体" w:cs="宋体"/>
                <w:b w:val="0"/>
                <w:bCs w:val="0"/>
                <w:sz w:val="23"/>
                <w:szCs w:val="23"/>
              </w:rPr>
            </w:pPr>
            <w:r>
              <w:rPr>
                <w:rFonts w:ascii="宋体" w:hAnsi="宋体" w:eastAsia="宋体" w:cs="宋体"/>
                <w:b w:val="0"/>
                <w:bCs w:val="0"/>
                <w:spacing w:val="7"/>
                <w:sz w:val="23"/>
                <w:szCs w:val="23"/>
              </w:rPr>
              <w:t>(2)墙裙脚线类：水曲柳或瓷砖墙裙脚线；(3)普通复</w:t>
            </w:r>
            <w:r>
              <w:rPr>
                <w:rFonts w:ascii="宋体" w:hAnsi="宋体" w:eastAsia="宋体" w:cs="宋体"/>
                <w:b w:val="0"/>
                <w:bCs w:val="0"/>
                <w:sz w:val="23"/>
                <w:szCs w:val="23"/>
              </w:rPr>
              <w:t xml:space="preserve">  </w:t>
            </w:r>
            <w:r>
              <w:rPr>
                <w:rFonts w:ascii="宋体" w:hAnsi="宋体" w:eastAsia="宋体" w:cs="宋体"/>
                <w:b w:val="0"/>
                <w:bCs w:val="0"/>
                <w:spacing w:val="8"/>
                <w:sz w:val="23"/>
                <w:szCs w:val="23"/>
              </w:rPr>
              <w:t>合木地板或小块拼花木地板；(4)各尺寸陶瓷地砖</w:t>
            </w:r>
            <w:r>
              <w:rPr>
                <w:rFonts w:ascii="宋体" w:hAnsi="宋体" w:eastAsia="宋体" w:cs="宋体"/>
                <w:b w:val="0"/>
                <w:bCs w:val="0"/>
                <w:spacing w:val="7"/>
                <w:sz w:val="23"/>
                <w:szCs w:val="23"/>
              </w:rPr>
              <w:t>；(5)</w:t>
            </w:r>
          </w:p>
          <w:p>
            <w:pPr>
              <w:spacing w:before="12" w:line="247" w:lineRule="auto"/>
              <w:ind w:left="130" w:hanging="19"/>
              <w:jc w:val="both"/>
              <w:rPr>
                <w:rFonts w:ascii="宋体" w:hAnsi="宋体" w:eastAsia="宋体" w:cs="宋体"/>
                <w:b w:val="0"/>
                <w:bCs w:val="0"/>
                <w:sz w:val="23"/>
                <w:szCs w:val="23"/>
              </w:rPr>
            </w:pPr>
            <w:r>
              <w:rPr>
                <w:rFonts w:ascii="宋体" w:hAnsi="宋体" w:eastAsia="宋体" w:cs="宋体"/>
                <w:b w:val="0"/>
                <w:bCs w:val="0"/>
                <w:spacing w:val="7"/>
                <w:sz w:val="23"/>
                <w:szCs w:val="23"/>
              </w:rPr>
              <w:t>石膏线或木角线装饰、石膏板吊顶(平层)、夹板吊顶(平</w:t>
            </w:r>
            <w:r>
              <w:rPr>
                <w:rFonts w:ascii="宋体" w:hAnsi="宋体" w:eastAsia="宋体" w:cs="宋体"/>
                <w:b w:val="0"/>
                <w:bCs w:val="0"/>
                <w:spacing w:val="3"/>
                <w:sz w:val="23"/>
                <w:szCs w:val="23"/>
              </w:rPr>
              <w:t xml:space="preserve"> </w:t>
            </w:r>
            <w:r>
              <w:rPr>
                <w:rFonts w:ascii="宋体" w:hAnsi="宋体" w:eastAsia="宋体" w:cs="宋体"/>
                <w:b w:val="0"/>
                <w:bCs w:val="0"/>
                <w:spacing w:val="19"/>
                <w:sz w:val="23"/>
                <w:szCs w:val="23"/>
              </w:rPr>
              <w:t>层);(6)榉木吊顶(平层)、水曲柳吊顶(平层)、玻璃</w:t>
            </w:r>
            <w:r>
              <w:rPr>
                <w:rFonts w:ascii="宋体" w:hAnsi="宋体" w:eastAsia="宋体" w:cs="宋体"/>
                <w:b w:val="0"/>
                <w:bCs w:val="0"/>
                <w:spacing w:val="6"/>
                <w:sz w:val="23"/>
                <w:szCs w:val="23"/>
              </w:rPr>
              <w:t xml:space="preserve">  </w:t>
            </w:r>
            <w:r>
              <w:rPr>
                <w:rFonts w:ascii="宋体" w:hAnsi="宋体" w:eastAsia="宋体" w:cs="宋体"/>
                <w:b w:val="0"/>
                <w:bCs w:val="0"/>
                <w:spacing w:val="12"/>
                <w:sz w:val="23"/>
                <w:szCs w:val="23"/>
              </w:rPr>
              <w:t>格栅造型顶平层；(7)木制门、木制窗、各类材质门套</w:t>
            </w:r>
            <w:r>
              <w:rPr>
                <w:rFonts w:ascii="宋体" w:hAnsi="宋体" w:eastAsia="宋体" w:cs="宋体"/>
                <w:b w:val="0"/>
                <w:bCs w:val="0"/>
                <w:spacing w:val="16"/>
                <w:sz w:val="23"/>
                <w:szCs w:val="23"/>
              </w:rPr>
              <w:t xml:space="preserve"> </w:t>
            </w:r>
            <w:r>
              <w:rPr>
                <w:rFonts w:ascii="宋体" w:hAnsi="宋体" w:eastAsia="宋体" w:cs="宋体"/>
                <w:b w:val="0"/>
                <w:bCs w:val="0"/>
                <w:spacing w:val="14"/>
                <w:sz w:val="23"/>
                <w:szCs w:val="23"/>
              </w:rPr>
              <w:t>窗套及装饰；(8)一般套装门、普通铁门或简易铁门；</w:t>
            </w:r>
          </w:p>
          <w:p>
            <w:pPr>
              <w:spacing w:before="24" w:line="236" w:lineRule="auto"/>
              <w:ind w:left="135" w:right="191" w:firstLine="160"/>
              <w:rPr>
                <w:rFonts w:hint="eastAsia" w:ascii="宋体" w:hAnsi="宋体" w:eastAsia="宋体" w:cs="宋体"/>
                <w:sz w:val="24"/>
                <w:szCs w:val="24"/>
                <w:lang w:eastAsia="zh-CN"/>
              </w:rPr>
            </w:pPr>
            <w:r>
              <w:rPr>
                <w:rFonts w:ascii="宋体" w:hAnsi="宋体" w:eastAsia="宋体" w:cs="宋体"/>
                <w:b w:val="0"/>
                <w:bCs w:val="0"/>
                <w:spacing w:val="-1"/>
                <w:sz w:val="24"/>
                <w:szCs w:val="24"/>
              </w:rPr>
              <w:t>(9)各尺寸普通防滑地砖或釉面砖、普通墙砖；(10)</w:t>
            </w:r>
            <w:r>
              <w:rPr>
                <w:rFonts w:ascii="宋体" w:hAnsi="宋体" w:eastAsia="宋体" w:cs="宋体"/>
                <w:b w:val="0"/>
                <w:bCs w:val="0"/>
                <w:spacing w:val="5"/>
                <w:sz w:val="24"/>
                <w:szCs w:val="24"/>
              </w:rPr>
              <w:t xml:space="preserve"> </w:t>
            </w:r>
            <w:r>
              <w:rPr>
                <w:rFonts w:ascii="宋体" w:hAnsi="宋体" w:eastAsia="宋体" w:cs="宋体"/>
                <w:b w:val="0"/>
                <w:bCs w:val="0"/>
                <w:sz w:val="24"/>
                <w:szCs w:val="24"/>
              </w:rPr>
              <w:t>塑扣板吊顶(普通)、各类普通洁具</w:t>
            </w:r>
            <w:r>
              <w:rPr>
                <w:rFonts w:hint="eastAsia" w:ascii="宋体" w:hAnsi="宋体" w:eastAsia="宋体" w:cs="宋体"/>
                <w:b w:val="0"/>
                <w:bCs w:val="0"/>
                <w:sz w:val="24"/>
                <w:szCs w:val="24"/>
                <w:lang w:eastAsia="zh-CN"/>
              </w:rPr>
              <w:t>。</w:t>
            </w:r>
          </w:p>
        </w:tc>
        <w:tc>
          <w:tcPr>
            <w:tcW w:w="1295"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lang w:val="en-US" w:eastAsia="zh-CN"/>
              </w:rPr>
              <w:t>451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84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8" w:line="221" w:lineRule="auto"/>
              <w:ind w:left="208"/>
              <w:rPr>
                <w:rFonts w:ascii="宋体" w:hAnsi="宋体" w:eastAsia="宋体" w:cs="宋体"/>
                <w:sz w:val="24"/>
                <w:szCs w:val="24"/>
              </w:rPr>
            </w:pPr>
            <w:r>
              <w:rPr>
                <w:rFonts w:ascii="宋体" w:hAnsi="宋体" w:eastAsia="宋体" w:cs="宋体"/>
                <w:b/>
                <w:bCs/>
                <w:spacing w:val="-6"/>
                <w:sz w:val="24"/>
                <w:szCs w:val="24"/>
              </w:rPr>
              <w:t>备注</w:t>
            </w:r>
          </w:p>
        </w:tc>
        <w:tc>
          <w:tcPr>
            <w:tcW w:w="8287" w:type="dxa"/>
            <w:gridSpan w:val="3"/>
            <w:vAlign w:val="top"/>
          </w:tcPr>
          <w:p>
            <w:pPr>
              <w:spacing w:before="75" w:line="227" w:lineRule="auto"/>
              <w:ind w:left="610"/>
              <w:rPr>
                <w:rFonts w:ascii="宋体" w:hAnsi="宋体" w:eastAsia="宋体" w:cs="宋体"/>
                <w:b w:val="0"/>
                <w:bCs w:val="0"/>
                <w:sz w:val="23"/>
                <w:szCs w:val="23"/>
              </w:rPr>
            </w:pPr>
          </w:p>
          <w:p>
            <w:pPr>
              <w:spacing w:before="75" w:line="227" w:lineRule="auto"/>
              <w:ind w:left="610"/>
              <w:rPr>
                <w:rFonts w:ascii="宋体" w:hAnsi="宋体" w:eastAsia="宋体" w:cs="宋体"/>
                <w:b w:val="0"/>
                <w:bCs w:val="0"/>
                <w:sz w:val="23"/>
                <w:szCs w:val="23"/>
              </w:rPr>
            </w:pPr>
            <w:r>
              <w:rPr>
                <w:rFonts w:ascii="宋体" w:hAnsi="宋体" w:eastAsia="宋体" w:cs="宋体"/>
                <w:b w:val="0"/>
                <w:bCs w:val="0"/>
                <w:sz w:val="23"/>
                <w:szCs w:val="23"/>
              </w:rPr>
              <w:t>1.房屋主体征收补偿标准包括水、电、路三通，宅基地平整、基础等费用。</w:t>
            </w:r>
          </w:p>
          <w:p>
            <w:pPr>
              <w:spacing w:before="46" w:line="225" w:lineRule="auto"/>
              <w:ind w:left="110" w:right="54" w:firstLine="479"/>
              <w:rPr>
                <w:rFonts w:ascii="宋体" w:hAnsi="宋体" w:eastAsia="宋体" w:cs="宋体"/>
                <w:b w:val="0"/>
                <w:bCs w:val="0"/>
                <w:sz w:val="24"/>
                <w:szCs w:val="24"/>
              </w:rPr>
            </w:pPr>
            <w:r>
              <w:rPr>
                <w:rFonts w:ascii="宋体" w:hAnsi="宋体" w:eastAsia="宋体" w:cs="宋体"/>
                <w:b w:val="0"/>
                <w:bCs w:val="0"/>
                <w:sz w:val="24"/>
                <w:szCs w:val="24"/>
              </w:rPr>
              <w:t>2.房屋主体层高依据《说明》修正，其余部分每缺少一项扣减20元/平方</w:t>
            </w:r>
            <w:r>
              <w:rPr>
                <w:rFonts w:ascii="宋体" w:hAnsi="宋体" w:eastAsia="宋体" w:cs="宋体"/>
                <w:b w:val="0"/>
                <w:bCs w:val="0"/>
                <w:spacing w:val="8"/>
                <w:sz w:val="24"/>
                <w:szCs w:val="24"/>
              </w:rPr>
              <w:t xml:space="preserve"> </w:t>
            </w:r>
            <w:r>
              <w:rPr>
                <w:rFonts w:ascii="宋体" w:hAnsi="宋体" w:eastAsia="宋体" w:cs="宋体"/>
                <w:b w:val="0"/>
                <w:bCs w:val="0"/>
                <w:spacing w:val="-5"/>
                <w:sz w:val="24"/>
                <w:szCs w:val="24"/>
              </w:rPr>
              <w:t>米</w:t>
            </w:r>
            <w:r>
              <w:rPr>
                <w:rFonts w:ascii="宋体" w:hAnsi="宋体" w:eastAsia="宋体" w:cs="宋体"/>
                <w:b w:val="0"/>
                <w:bCs w:val="0"/>
                <w:spacing w:val="44"/>
                <w:sz w:val="24"/>
                <w:szCs w:val="24"/>
              </w:rPr>
              <w:t xml:space="preserve"> </w:t>
            </w:r>
            <w:r>
              <w:rPr>
                <w:rFonts w:ascii="宋体" w:hAnsi="宋体" w:eastAsia="宋体" w:cs="宋体"/>
                <w:b w:val="0"/>
                <w:bCs w:val="0"/>
                <w:spacing w:val="-5"/>
                <w:sz w:val="24"/>
                <w:szCs w:val="24"/>
              </w:rPr>
              <w:t>。</w:t>
            </w:r>
          </w:p>
          <w:p>
            <w:pPr>
              <w:spacing w:before="60" w:line="219" w:lineRule="auto"/>
              <w:ind w:left="604"/>
              <w:rPr>
                <w:rFonts w:ascii="宋体" w:hAnsi="宋体" w:eastAsia="宋体" w:cs="宋体"/>
                <w:b w:val="0"/>
                <w:bCs w:val="0"/>
                <w:sz w:val="24"/>
                <w:szCs w:val="24"/>
              </w:rPr>
            </w:pPr>
            <w:r>
              <w:rPr>
                <w:rFonts w:ascii="宋体" w:hAnsi="宋体" w:eastAsia="宋体" w:cs="宋体"/>
                <w:b w:val="0"/>
                <w:bCs w:val="0"/>
                <w:spacing w:val="2"/>
                <w:sz w:val="24"/>
                <w:szCs w:val="24"/>
              </w:rPr>
              <w:t>3.有柱无墙的棚子一律计入房屋设施包干补偿范围。</w:t>
            </w:r>
          </w:p>
          <w:p>
            <w:pPr>
              <w:spacing w:before="7" w:line="226" w:lineRule="auto"/>
              <w:ind w:left="600" w:right="1494" w:firstLine="3"/>
              <w:rPr>
                <w:rFonts w:ascii="宋体" w:hAnsi="宋体" w:eastAsia="宋体" w:cs="宋体"/>
                <w:b w:val="0"/>
                <w:bCs w:val="0"/>
                <w:sz w:val="24"/>
                <w:szCs w:val="24"/>
              </w:rPr>
            </w:pPr>
            <w:r>
              <w:rPr>
                <w:rFonts w:ascii="宋体" w:hAnsi="宋体" w:eastAsia="宋体" w:cs="宋体"/>
                <w:b w:val="0"/>
                <w:bCs w:val="0"/>
                <w:spacing w:val="-4"/>
                <w:sz w:val="24"/>
                <w:szCs w:val="24"/>
              </w:rPr>
              <w:t>4.房屋装饰装修补偿标准包括室内各类间墙、水</w:t>
            </w:r>
            <w:r>
              <w:rPr>
                <w:rFonts w:ascii="宋体" w:hAnsi="宋体" w:eastAsia="宋体" w:cs="宋体"/>
                <w:b w:val="0"/>
                <w:bCs w:val="0"/>
                <w:spacing w:val="-5"/>
                <w:sz w:val="24"/>
                <w:szCs w:val="24"/>
              </w:rPr>
              <w:t>电设施。</w:t>
            </w:r>
            <w:r>
              <w:rPr>
                <w:rFonts w:ascii="宋体" w:hAnsi="宋体" w:eastAsia="宋体" w:cs="宋体"/>
                <w:b w:val="0"/>
                <w:bCs w:val="0"/>
                <w:sz w:val="24"/>
                <w:szCs w:val="24"/>
              </w:rPr>
              <w:t xml:space="preserve"> </w:t>
            </w:r>
            <w:r>
              <w:rPr>
                <w:rFonts w:ascii="宋体" w:hAnsi="宋体" w:eastAsia="宋体" w:cs="宋体"/>
                <w:b w:val="0"/>
                <w:bCs w:val="0"/>
                <w:spacing w:val="5"/>
                <w:sz w:val="24"/>
                <w:szCs w:val="24"/>
              </w:rPr>
              <w:t>5.房屋装饰装修部分每缺少一项扣减20元</w:t>
            </w:r>
            <w:r>
              <w:rPr>
                <w:rFonts w:ascii="宋体" w:hAnsi="宋体" w:eastAsia="宋体" w:cs="宋体"/>
                <w:b w:val="0"/>
                <w:bCs w:val="0"/>
                <w:spacing w:val="4"/>
                <w:sz w:val="24"/>
                <w:szCs w:val="24"/>
              </w:rPr>
              <w:t>/平方米。</w:t>
            </w:r>
          </w:p>
          <w:p>
            <w:pPr>
              <w:spacing w:before="5" w:line="232" w:lineRule="auto"/>
              <w:ind w:left="600" w:right="293"/>
              <w:rPr>
                <w:rFonts w:hint="eastAsia" w:ascii="宋体" w:hAnsi="宋体" w:eastAsia="宋体" w:cs="宋体"/>
                <w:sz w:val="24"/>
                <w:szCs w:val="24"/>
                <w:lang w:eastAsia="zh-CN"/>
              </w:rPr>
            </w:pPr>
            <w:r>
              <w:rPr>
                <w:rFonts w:ascii="宋体" w:hAnsi="宋体" w:eastAsia="宋体" w:cs="宋体"/>
                <w:b w:val="0"/>
                <w:bCs w:val="0"/>
                <w:spacing w:val="4"/>
                <w:sz w:val="24"/>
                <w:szCs w:val="24"/>
              </w:rPr>
              <w:t>6.以上补偿只限住宅房屋装饰装修补偿，按住宅房屋主体面</w:t>
            </w:r>
            <w:r>
              <w:rPr>
                <w:rFonts w:ascii="宋体" w:hAnsi="宋体" w:eastAsia="宋体" w:cs="宋体"/>
                <w:b w:val="0"/>
                <w:bCs w:val="0"/>
                <w:spacing w:val="3"/>
                <w:sz w:val="24"/>
                <w:szCs w:val="24"/>
              </w:rPr>
              <w:t>积计算。</w:t>
            </w:r>
            <w:r>
              <w:rPr>
                <w:rFonts w:ascii="宋体" w:hAnsi="宋体" w:eastAsia="宋体" w:cs="宋体"/>
                <w:b w:val="0"/>
                <w:bCs w:val="0"/>
                <w:sz w:val="24"/>
                <w:szCs w:val="24"/>
              </w:rPr>
              <w:t xml:space="preserve"> 7.别墅、特别豪华装修，按个案相关规定处理</w:t>
            </w:r>
            <w:r>
              <w:rPr>
                <w:rFonts w:hint="eastAsia" w:ascii="宋体" w:hAnsi="宋体" w:eastAsia="宋体" w:cs="宋体"/>
                <w:b w:val="0"/>
                <w:bCs w:val="0"/>
                <w:sz w:val="24"/>
                <w:szCs w:val="24"/>
                <w:lang w:eastAsia="zh-CN"/>
              </w:rPr>
              <w:t>。</w:t>
            </w:r>
          </w:p>
        </w:tc>
      </w:tr>
    </w:tbl>
    <w:p>
      <w:pPr>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附件5-2</w:t>
      </w:r>
    </w:p>
    <w:p>
      <w:pPr>
        <w:spacing w:before="335" w:line="219" w:lineRule="auto"/>
        <w:ind w:left="1271"/>
        <w:rPr>
          <w:rFonts w:ascii="宋体" w:hAnsi="宋体" w:eastAsia="宋体" w:cs="宋体"/>
          <w:sz w:val="44"/>
          <w:szCs w:val="44"/>
        </w:rPr>
      </w:pPr>
      <w:r>
        <w:rPr>
          <w:rFonts w:ascii="宋体" w:hAnsi="宋体" w:eastAsia="宋体" w:cs="宋体"/>
          <w:b/>
          <w:bCs/>
          <w:spacing w:val="-8"/>
          <w:sz w:val="44"/>
          <w:szCs w:val="44"/>
        </w:rPr>
        <w:t>偏杂屋结构、设施要求及补偿标准</w:t>
      </w:r>
    </w:p>
    <w:p>
      <w:pPr>
        <w:spacing w:line="320" w:lineRule="auto"/>
        <w:rPr>
          <w:rFonts w:ascii="Arial"/>
          <w:sz w:val="21"/>
        </w:rPr>
      </w:pPr>
    </w:p>
    <w:p>
      <w:pPr>
        <w:spacing w:before="82" w:line="221" w:lineRule="auto"/>
        <w:ind w:right="81"/>
        <w:jc w:val="right"/>
        <w:rPr>
          <w:rFonts w:ascii="黑体" w:hAnsi="黑体" w:eastAsia="黑体" w:cs="黑体"/>
          <w:sz w:val="25"/>
          <w:szCs w:val="25"/>
        </w:rPr>
      </w:pPr>
      <w:r>
        <w:rPr>
          <w:rFonts w:ascii="黑体" w:hAnsi="黑体" w:eastAsia="黑体" w:cs="黑体"/>
          <w:spacing w:val="-13"/>
          <w:sz w:val="25"/>
          <w:szCs w:val="25"/>
        </w:rPr>
        <w:t>单位：元/平方米</w:t>
      </w:r>
    </w:p>
    <w:p>
      <w:pPr>
        <w:spacing w:line="127" w:lineRule="exact"/>
      </w:pPr>
    </w:p>
    <w:tbl>
      <w:tblPr>
        <w:tblStyle w:val="12"/>
        <w:tblW w:w="90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6593"/>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844" w:type="dxa"/>
            <w:vAlign w:val="top"/>
          </w:tcPr>
          <w:p>
            <w:pPr>
              <w:spacing w:before="295" w:line="219" w:lineRule="auto"/>
              <w:ind w:left="174"/>
              <w:rPr>
                <w:rFonts w:ascii="宋体" w:hAnsi="宋体" w:eastAsia="宋体" w:cs="宋体"/>
                <w:b/>
                <w:bCs/>
                <w:sz w:val="24"/>
                <w:szCs w:val="24"/>
              </w:rPr>
            </w:pPr>
            <w:r>
              <w:rPr>
                <w:rFonts w:ascii="宋体" w:hAnsi="宋体" w:eastAsia="宋体" w:cs="宋体"/>
                <w:b/>
                <w:bCs/>
                <w:spacing w:val="7"/>
                <w:sz w:val="24"/>
                <w:szCs w:val="24"/>
              </w:rPr>
              <w:t>等级</w:t>
            </w:r>
          </w:p>
        </w:tc>
        <w:tc>
          <w:tcPr>
            <w:tcW w:w="6593" w:type="dxa"/>
            <w:vAlign w:val="top"/>
          </w:tcPr>
          <w:p>
            <w:pPr>
              <w:spacing w:before="295" w:line="219" w:lineRule="auto"/>
              <w:ind w:left="1940"/>
              <w:rPr>
                <w:rFonts w:ascii="宋体" w:hAnsi="宋体" w:eastAsia="宋体" w:cs="宋体"/>
                <w:b/>
                <w:bCs/>
                <w:sz w:val="24"/>
                <w:szCs w:val="24"/>
              </w:rPr>
            </w:pPr>
            <w:r>
              <w:rPr>
                <w:rFonts w:ascii="宋体" w:hAnsi="宋体" w:eastAsia="宋体" w:cs="宋体"/>
                <w:b/>
                <w:bCs/>
                <w:sz w:val="24"/>
                <w:szCs w:val="24"/>
              </w:rPr>
              <w:t>结构、设施、装饰装修要求</w:t>
            </w:r>
          </w:p>
        </w:tc>
        <w:tc>
          <w:tcPr>
            <w:tcW w:w="1654" w:type="dxa"/>
            <w:vAlign w:val="top"/>
          </w:tcPr>
          <w:p>
            <w:pPr>
              <w:spacing w:before="124" w:line="321" w:lineRule="exact"/>
              <w:ind w:left="337"/>
              <w:rPr>
                <w:rFonts w:ascii="宋体" w:hAnsi="宋体" w:eastAsia="宋体" w:cs="宋体"/>
                <w:b/>
                <w:bCs/>
                <w:sz w:val="24"/>
                <w:szCs w:val="24"/>
              </w:rPr>
            </w:pPr>
            <w:r>
              <w:rPr>
                <w:rFonts w:ascii="宋体" w:hAnsi="宋体" w:eastAsia="宋体" w:cs="宋体"/>
                <w:b/>
                <w:bCs/>
                <w:spacing w:val="3"/>
                <w:position w:val="5"/>
                <w:sz w:val="24"/>
                <w:szCs w:val="24"/>
              </w:rPr>
              <w:t>征收补偿</w:t>
            </w:r>
          </w:p>
          <w:p>
            <w:pPr>
              <w:spacing w:line="220" w:lineRule="auto"/>
              <w:ind w:left="578"/>
              <w:rPr>
                <w:rFonts w:ascii="宋体" w:hAnsi="宋体" w:eastAsia="宋体" w:cs="宋体"/>
                <w:b/>
                <w:bCs/>
                <w:sz w:val="24"/>
                <w:szCs w:val="24"/>
              </w:rPr>
            </w:pPr>
            <w:r>
              <w:rPr>
                <w:rFonts w:ascii="宋体" w:hAnsi="宋体" w:eastAsia="宋体" w:cs="宋体"/>
                <w:b/>
                <w:bCs/>
                <w:spacing w:val="5"/>
                <w:sz w:val="24"/>
                <w:szCs w:val="24"/>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7" w:hRule="atLeast"/>
        </w:trPr>
        <w:tc>
          <w:tcPr>
            <w:tcW w:w="844"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8" w:line="219" w:lineRule="auto"/>
              <w:ind w:left="174"/>
              <w:rPr>
                <w:rFonts w:ascii="宋体" w:hAnsi="宋体" w:eastAsia="宋体" w:cs="宋体"/>
                <w:sz w:val="24"/>
                <w:szCs w:val="24"/>
              </w:rPr>
            </w:pPr>
            <w:r>
              <w:rPr>
                <w:rFonts w:ascii="宋体" w:hAnsi="宋体" w:eastAsia="宋体" w:cs="宋体"/>
                <w:spacing w:val="11"/>
                <w:sz w:val="24"/>
                <w:szCs w:val="24"/>
              </w:rPr>
              <w:t>一等</w:t>
            </w:r>
          </w:p>
        </w:tc>
        <w:tc>
          <w:tcPr>
            <w:tcW w:w="6593" w:type="dxa"/>
            <w:vAlign w:val="top"/>
          </w:tcPr>
          <w:p>
            <w:pPr>
              <w:spacing w:before="231" w:line="220" w:lineRule="auto"/>
              <w:ind w:left="610"/>
              <w:rPr>
                <w:rFonts w:ascii="宋体" w:hAnsi="宋体" w:eastAsia="宋体" w:cs="宋体"/>
                <w:b w:val="0"/>
                <w:bCs w:val="0"/>
                <w:sz w:val="24"/>
                <w:szCs w:val="24"/>
              </w:rPr>
            </w:pPr>
            <w:r>
              <w:rPr>
                <w:rFonts w:ascii="宋体" w:hAnsi="宋体" w:eastAsia="宋体" w:cs="宋体"/>
                <w:b w:val="0"/>
                <w:bCs w:val="0"/>
                <w:spacing w:val="3"/>
                <w:sz w:val="24"/>
                <w:szCs w:val="24"/>
              </w:rPr>
              <w:t>1</w:t>
            </w:r>
            <w:r>
              <w:rPr>
                <w:rFonts w:ascii="宋体" w:hAnsi="宋体" w:eastAsia="宋体" w:cs="宋体"/>
                <w:b w:val="0"/>
                <w:bCs w:val="0"/>
                <w:spacing w:val="-71"/>
                <w:sz w:val="24"/>
                <w:szCs w:val="24"/>
              </w:rPr>
              <w:t xml:space="preserve"> </w:t>
            </w:r>
            <w:r>
              <w:rPr>
                <w:rFonts w:ascii="宋体" w:hAnsi="宋体" w:eastAsia="宋体" w:cs="宋体"/>
                <w:b w:val="0"/>
                <w:bCs w:val="0"/>
                <w:spacing w:val="3"/>
                <w:sz w:val="24"/>
                <w:szCs w:val="24"/>
              </w:rPr>
              <w:t>.</w:t>
            </w:r>
            <w:r>
              <w:rPr>
                <w:rFonts w:ascii="宋体" w:hAnsi="宋体" w:eastAsia="宋体" w:cs="宋体"/>
                <w:b w:val="0"/>
                <w:bCs w:val="0"/>
                <w:spacing w:val="-71"/>
                <w:sz w:val="24"/>
                <w:szCs w:val="24"/>
              </w:rPr>
              <w:t xml:space="preserve"> </w:t>
            </w:r>
            <w:r>
              <w:rPr>
                <w:rFonts w:ascii="宋体" w:hAnsi="宋体" w:eastAsia="宋体" w:cs="宋体"/>
                <w:b w:val="0"/>
                <w:bCs w:val="0"/>
                <w:spacing w:val="3"/>
                <w:sz w:val="24"/>
                <w:szCs w:val="24"/>
              </w:rPr>
              <w:t>结构要求：</w:t>
            </w:r>
          </w:p>
          <w:p>
            <w:pPr>
              <w:spacing w:before="11" w:line="232" w:lineRule="auto"/>
              <w:ind w:left="124" w:right="105" w:firstLine="630"/>
              <w:rPr>
                <w:rFonts w:ascii="宋体" w:hAnsi="宋体" w:eastAsia="宋体" w:cs="宋体"/>
                <w:b w:val="0"/>
                <w:bCs w:val="0"/>
                <w:sz w:val="24"/>
                <w:szCs w:val="24"/>
              </w:rPr>
            </w:pPr>
            <w:r>
              <w:rPr>
                <w:rFonts w:ascii="宋体" w:hAnsi="宋体" w:eastAsia="宋体" w:cs="宋体"/>
                <w:b w:val="0"/>
                <w:bCs w:val="0"/>
                <w:spacing w:val="9"/>
                <w:sz w:val="24"/>
                <w:szCs w:val="24"/>
              </w:rPr>
              <w:t>(1)砖、石、混凝土基础；(2)砖砌24墙工程；(3)现</w:t>
            </w:r>
            <w:r>
              <w:rPr>
                <w:rFonts w:ascii="宋体" w:hAnsi="宋体" w:eastAsia="宋体" w:cs="宋体"/>
                <w:b w:val="0"/>
                <w:bCs w:val="0"/>
                <w:sz w:val="24"/>
                <w:szCs w:val="24"/>
              </w:rPr>
              <w:t xml:space="preserve"> </w:t>
            </w:r>
            <w:r>
              <w:rPr>
                <w:rFonts w:ascii="宋体" w:hAnsi="宋体" w:eastAsia="宋体" w:cs="宋体"/>
                <w:b w:val="0"/>
                <w:bCs w:val="0"/>
                <w:spacing w:val="-3"/>
                <w:sz w:val="24"/>
                <w:szCs w:val="24"/>
              </w:rPr>
              <w:t>浇、预制平顶红瓦屋面、天沟排水；(4)房屋四周散水等设施</w:t>
            </w:r>
          </w:p>
          <w:p>
            <w:pPr>
              <w:spacing w:before="7" w:line="227" w:lineRule="auto"/>
              <w:ind w:left="581" w:right="141" w:hanging="470"/>
              <w:rPr>
                <w:rFonts w:ascii="宋体" w:hAnsi="宋体" w:eastAsia="宋体" w:cs="宋体"/>
                <w:b w:val="0"/>
                <w:bCs w:val="0"/>
                <w:sz w:val="24"/>
                <w:szCs w:val="24"/>
              </w:rPr>
            </w:pPr>
            <w:r>
              <w:rPr>
                <w:rFonts w:ascii="宋体" w:hAnsi="宋体" w:eastAsia="宋体" w:cs="宋体"/>
                <w:b w:val="0"/>
                <w:bCs w:val="0"/>
                <w:spacing w:val="7"/>
                <w:sz w:val="24"/>
                <w:szCs w:val="24"/>
              </w:rPr>
              <w:t>齐全；(5)配套给水、排水、电气工程；(6)层高2.2米以上</w:t>
            </w:r>
            <w:r>
              <w:rPr>
                <w:rFonts w:ascii="宋体" w:hAnsi="宋体" w:eastAsia="宋体" w:cs="宋体"/>
                <w:b w:val="0"/>
                <w:bCs w:val="0"/>
                <w:sz w:val="24"/>
                <w:szCs w:val="24"/>
              </w:rPr>
              <w:t xml:space="preserve"> </w:t>
            </w:r>
            <w:r>
              <w:rPr>
                <w:rFonts w:ascii="宋体" w:hAnsi="宋体" w:eastAsia="宋体" w:cs="宋体"/>
                <w:b w:val="0"/>
                <w:bCs w:val="0"/>
                <w:spacing w:val="17"/>
                <w:sz w:val="24"/>
                <w:szCs w:val="24"/>
              </w:rPr>
              <w:t>2.设施要求：</w:t>
            </w:r>
          </w:p>
          <w:p>
            <w:pPr>
              <w:spacing w:before="32" w:line="241" w:lineRule="auto"/>
              <w:ind w:left="111" w:firstLine="618"/>
              <w:rPr>
                <w:rFonts w:ascii="宋体" w:hAnsi="宋体" w:eastAsia="宋体" w:cs="宋体"/>
                <w:b w:val="0"/>
                <w:bCs w:val="0"/>
                <w:sz w:val="23"/>
                <w:szCs w:val="23"/>
              </w:rPr>
            </w:pPr>
            <w:r>
              <w:rPr>
                <w:rFonts w:ascii="宋体" w:hAnsi="宋体" w:eastAsia="宋体" w:cs="宋体"/>
                <w:b w:val="0"/>
                <w:bCs w:val="0"/>
                <w:spacing w:val="8"/>
                <w:sz w:val="23"/>
                <w:szCs w:val="23"/>
              </w:rPr>
              <w:t>(1)室内地面铺设防滑地面砖、花岗岩、大理石或实木、</w:t>
            </w:r>
            <w:r>
              <w:rPr>
                <w:rFonts w:ascii="宋体" w:hAnsi="宋体" w:eastAsia="宋体" w:cs="宋体"/>
                <w:b w:val="0"/>
                <w:bCs w:val="0"/>
                <w:spacing w:val="6"/>
                <w:sz w:val="23"/>
                <w:szCs w:val="23"/>
              </w:rPr>
              <w:t xml:space="preserve"> </w:t>
            </w:r>
            <w:r>
              <w:rPr>
                <w:rFonts w:ascii="宋体" w:hAnsi="宋体" w:eastAsia="宋体" w:cs="宋体"/>
                <w:b w:val="0"/>
                <w:bCs w:val="0"/>
                <w:spacing w:val="5"/>
                <w:sz w:val="23"/>
                <w:szCs w:val="23"/>
              </w:rPr>
              <w:t>仿实木地板等装饰；(2)室内墙面贴瓷、刮涂、各类木制板</w:t>
            </w:r>
            <w:r>
              <w:rPr>
                <w:rFonts w:ascii="宋体" w:hAnsi="宋体" w:eastAsia="宋体" w:cs="宋体"/>
                <w:b w:val="0"/>
                <w:bCs w:val="0"/>
                <w:spacing w:val="4"/>
                <w:sz w:val="23"/>
                <w:szCs w:val="23"/>
              </w:rPr>
              <w:t>材</w:t>
            </w:r>
          </w:p>
          <w:p>
            <w:pPr>
              <w:spacing w:before="36" w:line="233" w:lineRule="auto"/>
              <w:ind w:left="114" w:right="122"/>
              <w:rPr>
                <w:rFonts w:hint="eastAsia" w:ascii="宋体" w:hAnsi="宋体" w:eastAsia="宋体" w:cs="宋体"/>
                <w:sz w:val="24"/>
                <w:szCs w:val="24"/>
                <w:lang w:eastAsia="zh-CN"/>
              </w:rPr>
            </w:pPr>
            <w:r>
              <w:rPr>
                <w:rFonts w:ascii="宋体" w:hAnsi="宋体" w:eastAsia="宋体" w:cs="宋体"/>
                <w:b w:val="0"/>
                <w:bCs w:val="0"/>
                <w:spacing w:val="1"/>
                <w:sz w:val="24"/>
                <w:szCs w:val="24"/>
              </w:rPr>
              <w:t>质墙裙；(3)天花一级吊顶以上装饰装修标准；(4)各类门窗</w:t>
            </w:r>
            <w:r>
              <w:rPr>
                <w:rFonts w:ascii="宋体" w:hAnsi="宋体" w:eastAsia="宋体" w:cs="宋体"/>
                <w:b w:val="0"/>
                <w:bCs w:val="0"/>
                <w:spacing w:val="2"/>
                <w:sz w:val="24"/>
                <w:szCs w:val="24"/>
              </w:rPr>
              <w:t xml:space="preserve"> </w:t>
            </w:r>
            <w:r>
              <w:rPr>
                <w:rFonts w:ascii="宋体" w:hAnsi="宋体" w:eastAsia="宋体" w:cs="宋体"/>
                <w:b w:val="0"/>
                <w:bCs w:val="0"/>
                <w:spacing w:val="-5"/>
                <w:sz w:val="24"/>
                <w:szCs w:val="24"/>
              </w:rPr>
              <w:t>装饰及配套</w:t>
            </w:r>
            <w:r>
              <w:rPr>
                <w:rFonts w:hint="eastAsia" w:ascii="宋体" w:hAnsi="宋体" w:eastAsia="宋体" w:cs="宋体"/>
                <w:b w:val="0"/>
                <w:bCs w:val="0"/>
                <w:spacing w:val="-5"/>
                <w:sz w:val="24"/>
                <w:szCs w:val="24"/>
                <w:lang w:eastAsia="zh-CN"/>
              </w:rPr>
              <w:t>。</w:t>
            </w:r>
          </w:p>
        </w:tc>
        <w:tc>
          <w:tcPr>
            <w:tcW w:w="1654" w:type="dxa"/>
            <w:vAlign w:val="center"/>
          </w:tcPr>
          <w:p>
            <w:pPr>
              <w:spacing w:before="78" w:line="184"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6"/>
                <w:sz w:val="24"/>
                <w:szCs w:val="24"/>
                <w:lang w:val="en-US" w:eastAsia="zh-CN"/>
              </w:rPr>
              <w:t>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7" w:hRule="atLeast"/>
        </w:trPr>
        <w:tc>
          <w:tcPr>
            <w:tcW w:w="844"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19" w:lineRule="auto"/>
              <w:ind w:left="178"/>
              <w:rPr>
                <w:rFonts w:ascii="宋体" w:hAnsi="宋体" w:eastAsia="宋体" w:cs="宋体"/>
                <w:sz w:val="24"/>
                <w:szCs w:val="24"/>
              </w:rPr>
            </w:pPr>
            <w:r>
              <w:rPr>
                <w:rFonts w:ascii="宋体" w:hAnsi="宋体" w:eastAsia="宋体" w:cs="宋体"/>
                <w:b/>
                <w:bCs/>
                <w:spacing w:val="-6"/>
                <w:sz w:val="24"/>
                <w:szCs w:val="24"/>
              </w:rPr>
              <w:t>二等</w:t>
            </w:r>
          </w:p>
        </w:tc>
        <w:tc>
          <w:tcPr>
            <w:tcW w:w="6593" w:type="dxa"/>
            <w:vAlign w:val="top"/>
          </w:tcPr>
          <w:p>
            <w:pPr>
              <w:spacing w:before="244" w:line="220" w:lineRule="auto"/>
              <w:ind w:left="590"/>
              <w:rPr>
                <w:rFonts w:hint="eastAsia" w:ascii="宋体" w:hAnsi="宋体" w:eastAsia="宋体" w:cs="宋体"/>
                <w:b w:val="0"/>
                <w:bCs w:val="0"/>
                <w:sz w:val="24"/>
                <w:szCs w:val="24"/>
                <w:lang w:eastAsia="zh-CN"/>
              </w:rPr>
            </w:pPr>
            <w:r>
              <w:rPr>
                <w:rFonts w:ascii="宋体" w:hAnsi="宋体" w:eastAsia="宋体" w:cs="宋体"/>
                <w:b w:val="0"/>
                <w:bCs w:val="0"/>
                <w:spacing w:val="15"/>
                <w:sz w:val="24"/>
                <w:szCs w:val="24"/>
              </w:rPr>
              <w:t>1.结构要求</w:t>
            </w:r>
            <w:r>
              <w:rPr>
                <w:rFonts w:hint="eastAsia" w:ascii="宋体" w:hAnsi="宋体" w:eastAsia="宋体" w:cs="宋体"/>
                <w:b w:val="0"/>
                <w:bCs w:val="0"/>
                <w:spacing w:val="15"/>
                <w:sz w:val="24"/>
                <w:szCs w:val="24"/>
                <w:lang w:eastAsia="zh-CN"/>
              </w:rPr>
              <w:t>：</w:t>
            </w:r>
          </w:p>
          <w:p>
            <w:pPr>
              <w:spacing w:before="33" w:line="228" w:lineRule="auto"/>
              <w:ind w:left="111" w:right="99" w:firstLine="619"/>
              <w:rPr>
                <w:rFonts w:ascii="宋体" w:hAnsi="宋体" w:eastAsia="宋体" w:cs="宋体"/>
                <w:b w:val="0"/>
                <w:bCs w:val="0"/>
                <w:sz w:val="24"/>
                <w:szCs w:val="24"/>
              </w:rPr>
            </w:pPr>
            <w:r>
              <w:rPr>
                <w:rFonts w:ascii="宋体" w:hAnsi="宋体" w:eastAsia="宋体" w:cs="宋体"/>
                <w:b w:val="0"/>
                <w:bCs w:val="0"/>
                <w:spacing w:val="13"/>
                <w:sz w:val="24"/>
                <w:szCs w:val="24"/>
              </w:rPr>
              <w:t>(1)砖、石基础；(2)砖砌墙体工程；(3)木架、红瓦</w:t>
            </w:r>
            <w:r>
              <w:rPr>
                <w:rFonts w:ascii="宋体" w:hAnsi="宋体" w:eastAsia="宋体" w:cs="宋体"/>
                <w:b w:val="0"/>
                <w:bCs w:val="0"/>
                <w:sz w:val="24"/>
                <w:szCs w:val="24"/>
              </w:rPr>
              <w:t xml:space="preserve"> </w:t>
            </w:r>
            <w:r>
              <w:rPr>
                <w:rFonts w:ascii="宋体" w:hAnsi="宋体" w:eastAsia="宋体" w:cs="宋体"/>
                <w:b w:val="0"/>
                <w:bCs w:val="0"/>
                <w:spacing w:val="2"/>
                <w:sz w:val="24"/>
                <w:szCs w:val="24"/>
              </w:rPr>
              <w:t>等屋面或纤维板等平板；(4)房屋四周散水等设施</w:t>
            </w:r>
            <w:r>
              <w:rPr>
                <w:rFonts w:ascii="宋体" w:hAnsi="宋体" w:eastAsia="宋体" w:cs="宋体"/>
                <w:b w:val="0"/>
                <w:bCs w:val="0"/>
                <w:spacing w:val="1"/>
                <w:sz w:val="24"/>
                <w:szCs w:val="24"/>
              </w:rPr>
              <w:t>齐全；(5)</w:t>
            </w:r>
          </w:p>
          <w:p>
            <w:pPr>
              <w:spacing w:before="33" w:line="234" w:lineRule="auto"/>
              <w:ind w:left="593" w:right="1224" w:hanging="479"/>
              <w:rPr>
                <w:rFonts w:hint="eastAsia" w:ascii="宋体" w:hAnsi="宋体" w:eastAsia="宋体" w:cs="宋体"/>
                <w:b w:val="0"/>
                <w:bCs w:val="0"/>
                <w:sz w:val="24"/>
                <w:szCs w:val="24"/>
                <w:lang w:eastAsia="zh-CN"/>
              </w:rPr>
            </w:pPr>
            <w:r>
              <w:rPr>
                <w:rFonts w:ascii="宋体" w:hAnsi="宋体" w:eastAsia="宋体" w:cs="宋体"/>
                <w:b w:val="0"/>
                <w:bCs w:val="0"/>
                <w:spacing w:val="6"/>
                <w:sz w:val="24"/>
                <w:szCs w:val="24"/>
              </w:rPr>
              <w:t>配套给水、排水、电气工程；(6)层高2.2米以</w:t>
            </w:r>
            <w:r>
              <w:rPr>
                <w:rFonts w:ascii="宋体" w:hAnsi="宋体" w:eastAsia="宋体" w:cs="宋体"/>
                <w:b w:val="0"/>
                <w:bCs w:val="0"/>
                <w:spacing w:val="5"/>
                <w:sz w:val="24"/>
                <w:szCs w:val="24"/>
              </w:rPr>
              <w:t>上</w:t>
            </w:r>
            <w:r>
              <w:rPr>
                <w:rFonts w:ascii="宋体" w:hAnsi="宋体" w:eastAsia="宋体" w:cs="宋体"/>
                <w:b w:val="0"/>
                <w:bCs w:val="0"/>
                <w:sz w:val="24"/>
                <w:szCs w:val="24"/>
              </w:rPr>
              <w:t xml:space="preserve"> </w:t>
            </w:r>
            <w:r>
              <w:rPr>
                <w:rFonts w:ascii="宋体" w:hAnsi="宋体" w:eastAsia="宋体" w:cs="宋体"/>
                <w:b w:val="0"/>
                <w:bCs w:val="0"/>
                <w:spacing w:val="11"/>
                <w:sz w:val="24"/>
                <w:szCs w:val="24"/>
              </w:rPr>
              <w:t>2.设施要求</w:t>
            </w:r>
            <w:r>
              <w:rPr>
                <w:rFonts w:hint="eastAsia" w:ascii="宋体" w:hAnsi="宋体" w:eastAsia="宋体" w:cs="宋体"/>
                <w:b w:val="0"/>
                <w:bCs w:val="0"/>
                <w:spacing w:val="11"/>
                <w:sz w:val="24"/>
                <w:szCs w:val="24"/>
                <w:lang w:eastAsia="zh-CN"/>
              </w:rPr>
              <w:t>：</w:t>
            </w:r>
          </w:p>
          <w:p>
            <w:pPr>
              <w:spacing w:before="13" w:line="250" w:lineRule="auto"/>
              <w:ind w:left="111" w:firstLine="608"/>
              <w:rPr>
                <w:rFonts w:hint="eastAsia" w:ascii="宋体" w:hAnsi="宋体" w:eastAsia="宋体" w:cs="宋体"/>
                <w:sz w:val="23"/>
                <w:szCs w:val="23"/>
                <w:lang w:eastAsia="zh-CN"/>
              </w:rPr>
            </w:pPr>
            <w:r>
              <w:rPr>
                <w:rFonts w:ascii="宋体" w:hAnsi="宋体" w:eastAsia="宋体" w:cs="宋体"/>
                <w:b w:val="0"/>
                <w:bCs w:val="0"/>
                <w:spacing w:val="8"/>
                <w:sz w:val="23"/>
                <w:szCs w:val="23"/>
              </w:rPr>
              <w:t>(1)室内地面铺设防滑地面砖、花岗岩、大理石或实木、</w:t>
            </w:r>
            <w:r>
              <w:rPr>
                <w:rFonts w:ascii="宋体" w:hAnsi="宋体" w:eastAsia="宋体" w:cs="宋体"/>
                <w:b w:val="0"/>
                <w:bCs w:val="0"/>
                <w:spacing w:val="16"/>
                <w:sz w:val="23"/>
                <w:szCs w:val="23"/>
              </w:rPr>
              <w:t xml:space="preserve"> </w:t>
            </w:r>
            <w:r>
              <w:rPr>
                <w:rFonts w:ascii="宋体" w:hAnsi="宋体" w:eastAsia="宋体" w:cs="宋体"/>
                <w:b w:val="0"/>
                <w:bCs w:val="0"/>
                <w:spacing w:val="5"/>
                <w:sz w:val="23"/>
                <w:szCs w:val="23"/>
              </w:rPr>
              <w:t>仿实木地板等装饰；(2)室内墙面贴瓷、</w:t>
            </w:r>
            <w:r>
              <w:rPr>
                <w:rFonts w:ascii="宋体" w:hAnsi="宋体" w:eastAsia="宋体" w:cs="宋体"/>
                <w:spacing w:val="5"/>
                <w:sz w:val="23"/>
                <w:szCs w:val="23"/>
              </w:rPr>
              <w:t>刮涂、各类木制板</w:t>
            </w:r>
            <w:r>
              <w:rPr>
                <w:rFonts w:ascii="宋体" w:hAnsi="宋体" w:eastAsia="宋体" w:cs="宋体"/>
                <w:spacing w:val="4"/>
                <w:sz w:val="23"/>
                <w:szCs w:val="23"/>
              </w:rPr>
              <w:t>材</w:t>
            </w:r>
            <w:r>
              <w:rPr>
                <w:rFonts w:ascii="宋体" w:hAnsi="宋体" w:eastAsia="宋体" w:cs="宋体"/>
                <w:sz w:val="23"/>
                <w:szCs w:val="23"/>
              </w:rPr>
              <w:t xml:space="preserve">   </w:t>
            </w:r>
            <w:r>
              <w:rPr>
                <w:rFonts w:ascii="宋体" w:hAnsi="宋体" w:eastAsia="宋体" w:cs="宋体"/>
                <w:spacing w:val="10"/>
                <w:sz w:val="23"/>
                <w:szCs w:val="23"/>
              </w:rPr>
              <w:t>质墙裙；(3)各类门窗装饰及配套</w:t>
            </w:r>
            <w:r>
              <w:rPr>
                <w:rFonts w:hint="eastAsia" w:ascii="宋体" w:hAnsi="宋体" w:eastAsia="宋体" w:cs="宋体"/>
                <w:spacing w:val="10"/>
                <w:sz w:val="23"/>
                <w:szCs w:val="23"/>
                <w:lang w:eastAsia="zh-CN"/>
              </w:rPr>
              <w:t>。</w:t>
            </w:r>
          </w:p>
        </w:tc>
        <w:tc>
          <w:tcPr>
            <w:tcW w:w="1654"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lang w:val="en-US" w:eastAsia="zh-CN"/>
              </w:rPr>
              <w:t>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8" w:hRule="atLeast"/>
        </w:trPr>
        <w:tc>
          <w:tcPr>
            <w:tcW w:w="84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before="78" w:line="219" w:lineRule="auto"/>
              <w:ind w:left="174"/>
              <w:rPr>
                <w:rFonts w:ascii="宋体" w:hAnsi="宋体" w:eastAsia="宋体" w:cs="宋体"/>
                <w:sz w:val="24"/>
                <w:szCs w:val="24"/>
              </w:rPr>
            </w:pPr>
            <w:r>
              <w:rPr>
                <w:rFonts w:ascii="宋体" w:hAnsi="宋体" w:eastAsia="宋体" w:cs="宋体"/>
                <w:spacing w:val="5"/>
                <w:sz w:val="24"/>
                <w:szCs w:val="24"/>
              </w:rPr>
              <w:t>三等</w:t>
            </w:r>
          </w:p>
        </w:tc>
        <w:tc>
          <w:tcPr>
            <w:tcW w:w="6593" w:type="dxa"/>
            <w:vAlign w:val="top"/>
          </w:tcPr>
          <w:p>
            <w:pPr>
              <w:spacing w:before="224" w:line="220" w:lineRule="auto"/>
              <w:ind w:left="594"/>
              <w:rPr>
                <w:rFonts w:hint="eastAsia" w:ascii="宋体" w:hAnsi="宋体" w:eastAsia="宋体" w:cs="宋体"/>
                <w:b w:val="0"/>
                <w:bCs w:val="0"/>
                <w:sz w:val="24"/>
                <w:szCs w:val="24"/>
                <w:lang w:eastAsia="zh-CN"/>
              </w:rPr>
            </w:pPr>
            <w:r>
              <w:rPr>
                <w:rFonts w:ascii="宋体" w:hAnsi="宋体" w:eastAsia="宋体" w:cs="宋体"/>
                <w:b w:val="0"/>
                <w:bCs w:val="0"/>
                <w:spacing w:val="11"/>
                <w:sz w:val="24"/>
                <w:szCs w:val="24"/>
              </w:rPr>
              <w:t>1.结构要求</w:t>
            </w:r>
            <w:r>
              <w:rPr>
                <w:rFonts w:hint="eastAsia" w:ascii="宋体" w:hAnsi="宋体" w:eastAsia="宋体" w:cs="宋体"/>
                <w:b w:val="0"/>
                <w:bCs w:val="0"/>
                <w:spacing w:val="11"/>
                <w:sz w:val="24"/>
                <w:szCs w:val="24"/>
                <w:lang w:eastAsia="zh-CN"/>
              </w:rPr>
              <w:t>：</w:t>
            </w:r>
          </w:p>
          <w:p>
            <w:pPr>
              <w:spacing w:before="23" w:line="219" w:lineRule="auto"/>
              <w:ind w:left="734"/>
              <w:rPr>
                <w:rFonts w:ascii="宋体" w:hAnsi="宋体" w:eastAsia="宋体" w:cs="宋体"/>
                <w:b w:val="0"/>
                <w:bCs w:val="0"/>
                <w:sz w:val="24"/>
                <w:szCs w:val="24"/>
              </w:rPr>
            </w:pPr>
            <w:r>
              <w:rPr>
                <w:rFonts w:ascii="宋体" w:hAnsi="宋体" w:eastAsia="宋体" w:cs="宋体"/>
                <w:b w:val="0"/>
                <w:bCs w:val="0"/>
                <w:spacing w:val="4"/>
                <w:sz w:val="24"/>
                <w:szCs w:val="24"/>
              </w:rPr>
              <w:t>(1)砖、石基础；(2)土筑或节砖墙；(3)各类瓦屋面：</w:t>
            </w:r>
          </w:p>
          <w:p>
            <w:pPr>
              <w:spacing w:before="28" w:line="234" w:lineRule="auto"/>
              <w:ind w:left="589" w:right="4181" w:hanging="319"/>
              <w:rPr>
                <w:rFonts w:ascii="宋体" w:hAnsi="宋体" w:eastAsia="宋体" w:cs="宋体"/>
                <w:b w:val="0"/>
                <w:bCs w:val="0"/>
                <w:sz w:val="24"/>
                <w:szCs w:val="24"/>
              </w:rPr>
            </w:pPr>
            <w:r>
              <w:rPr>
                <w:rFonts w:ascii="宋体" w:hAnsi="宋体" w:eastAsia="宋体" w:cs="宋体"/>
                <w:b w:val="0"/>
                <w:bCs w:val="0"/>
                <w:spacing w:val="19"/>
                <w:sz w:val="24"/>
                <w:szCs w:val="24"/>
              </w:rPr>
              <w:t>(4)层高2.2米以上</w:t>
            </w:r>
            <w:r>
              <w:rPr>
                <w:rFonts w:ascii="宋体" w:hAnsi="宋体" w:eastAsia="宋体" w:cs="宋体"/>
                <w:b w:val="0"/>
                <w:bCs w:val="0"/>
                <w:sz w:val="24"/>
                <w:szCs w:val="24"/>
              </w:rPr>
              <w:t xml:space="preserve"> </w:t>
            </w:r>
            <w:r>
              <w:rPr>
                <w:rFonts w:ascii="宋体" w:hAnsi="宋体" w:eastAsia="宋体" w:cs="宋体"/>
                <w:b w:val="0"/>
                <w:bCs w:val="0"/>
                <w:spacing w:val="17"/>
                <w:sz w:val="24"/>
                <w:szCs w:val="24"/>
              </w:rPr>
              <w:t>2.设施要求：</w:t>
            </w:r>
          </w:p>
          <w:p>
            <w:pPr>
              <w:spacing w:before="11" w:line="219" w:lineRule="auto"/>
              <w:ind w:left="730"/>
              <w:rPr>
                <w:rFonts w:ascii="宋体" w:hAnsi="宋体" w:eastAsia="宋体" w:cs="宋体"/>
                <w:b w:val="0"/>
                <w:bCs w:val="0"/>
                <w:sz w:val="24"/>
                <w:szCs w:val="24"/>
              </w:rPr>
            </w:pPr>
            <w:r>
              <w:rPr>
                <w:rFonts w:ascii="宋体" w:hAnsi="宋体" w:eastAsia="宋体" w:cs="宋体"/>
                <w:b w:val="0"/>
                <w:bCs w:val="0"/>
                <w:spacing w:val="18"/>
                <w:sz w:val="24"/>
                <w:szCs w:val="24"/>
              </w:rPr>
              <w:t>(1)室内地面(含防潮层)硬化及以上标准；(2)室内</w:t>
            </w:r>
          </w:p>
          <w:p>
            <w:pPr>
              <w:spacing w:before="25" w:line="219" w:lineRule="auto"/>
              <w:ind w:left="111"/>
              <w:rPr>
                <w:rFonts w:hint="eastAsia" w:ascii="宋体" w:hAnsi="宋体" w:eastAsia="宋体" w:cs="宋体"/>
                <w:sz w:val="24"/>
                <w:szCs w:val="24"/>
                <w:lang w:eastAsia="zh-CN"/>
              </w:rPr>
            </w:pPr>
            <w:r>
              <w:rPr>
                <w:rFonts w:ascii="宋体" w:hAnsi="宋体" w:eastAsia="宋体" w:cs="宋体"/>
                <w:b w:val="0"/>
                <w:bCs w:val="0"/>
                <w:spacing w:val="5"/>
                <w:sz w:val="24"/>
                <w:szCs w:val="24"/>
              </w:rPr>
              <w:t>墙面粉刷及以上标准；(3)门窗设施齐全</w:t>
            </w:r>
            <w:r>
              <w:rPr>
                <w:rFonts w:hint="eastAsia" w:ascii="宋体" w:hAnsi="宋体" w:eastAsia="宋体" w:cs="宋体"/>
                <w:b w:val="0"/>
                <w:bCs w:val="0"/>
                <w:spacing w:val="5"/>
                <w:sz w:val="24"/>
                <w:szCs w:val="24"/>
                <w:lang w:eastAsia="zh-CN"/>
              </w:rPr>
              <w:t>。</w:t>
            </w:r>
          </w:p>
        </w:tc>
        <w:tc>
          <w:tcPr>
            <w:tcW w:w="1654" w:type="dxa"/>
            <w:vAlign w:val="center"/>
          </w:tcPr>
          <w:p>
            <w:pPr>
              <w:spacing w:before="78" w:line="183"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lang w:val="en-US" w:eastAsia="zh-CN"/>
              </w:rPr>
              <w:t>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844" w:type="dxa"/>
            <w:vAlign w:val="top"/>
          </w:tcPr>
          <w:p>
            <w:pPr>
              <w:spacing w:line="324" w:lineRule="auto"/>
              <w:rPr>
                <w:rFonts w:ascii="Arial"/>
                <w:sz w:val="21"/>
              </w:rPr>
            </w:pPr>
          </w:p>
          <w:p>
            <w:pPr>
              <w:spacing w:line="324" w:lineRule="auto"/>
              <w:rPr>
                <w:rFonts w:ascii="Arial"/>
                <w:sz w:val="21"/>
              </w:rPr>
            </w:pPr>
          </w:p>
          <w:p>
            <w:pPr>
              <w:spacing w:before="78" w:line="221" w:lineRule="auto"/>
              <w:ind w:left="174"/>
              <w:rPr>
                <w:rFonts w:ascii="宋体" w:hAnsi="宋体" w:eastAsia="宋体" w:cs="宋体"/>
                <w:sz w:val="24"/>
                <w:szCs w:val="24"/>
              </w:rPr>
            </w:pPr>
            <w:r>
              <w:rPr>
                <w:rFonts w:ascii="宋体" w:hAnsi="宋体" w:eastAsia="宋体" w:cs="宋体"/>
                <w:spacing w:val="6"/>
                <w:sz w:val="24"/>
                <w:szCs w:val="24"/>
              </w:rPr>
              <w:t>备注</w:t>
            </w:r>
          </w:p>
        </w:tc>
        <w:tc>
          <w:tcPr>
            <w:tcW w:w="8247" w:type="dxa"/>
            <w:gridSpan w:val="2"/>
            <w:vAlign w:val="top"/>
          </w:tcPr>
          <w:p>
            <w:pPr>
              <w:spacing w:before="243" w:line="227" w:lineRule="auto"/>
              <w:ind w:left="594"/>
              <w:rPr>
                <w:rFonts w:ascii="宋体" w:hAnsi="宋体" w:eastAsia="宋体" w:cs="宋体"/>
                <w:b w:val="0"/>
                <w:bCs w:val="0"/>
                <w:sz w:val="23"/>
                <w:szCs w:val="23"/>
              </w:rPr>
            </w:pPr>
            <w:r>
              <w:rPr>
                <w:rFonts w:ascii="宋体" w:hAnsi="宋体" w:eastAsia="宋体" w:cs="宋体"/>
                <w:b w:val="0"/>
                <w:bCs w:val="0"/>
                <w:spacing w:val="6"/>
                <w:sz w:val="23"/>
                <w:szCs w:val="23"/>
              </w:rPr>
              <w:t>1.偏杂屋是指被征拆人住宅房屋以外，依法修建的为生产、生活服务的辅</w:t>
            </w:r>
          </w:p>
          <w:p>
            <w:pPr>
              <w:spacing w:before="42" w:line="219" w:lineRule="auto"/>
              <w:ind w:left="111"/>
              <w:rPr>
                <w:rFonts w:hint="eastAsia" w:ascii="宋体" w:hAnsi="宋体" w:eastAsia="宋体" w:cs="宋体"/>
                <w:sz w:val="24"/>
                <w:szCs w:val="24"/>
                <w:lang w:eastAsia="zh-CN"/>
              </w:rPr>
            </w:pPr>
            <w:r>
              <w:rPr>
                <w:rFonts w:ascii="宋体" w:hAnsi="宋体" w:eastAsia="宋体" w:cs="宋体"/>
                <w:spacing w:val="6"/>
                <w:sz w:val="24"/>
                <w:szCs w:val="24"/>
              </w:rPr>
              <w:t>助性房屋，如厨房、厕所、畜禽舍等房屋</w:t>
            </w:r>
            <w:r>
              <w:rPr>
                <w:rFonts w:hint="eastAsia" w:ascii="宋体" w:hAnsi="宋体" w:eastAsia="宋体" w:cs="宋体"/>
                <w:spacing w:val="6"/>
                <w:sz w:val="24"/>
                <w:szCs w:val="24"/>
                <w:lang w:eastAsia="zh-CN"/>
              </w:rPr>
              <w:t>。</w:t>
            </w:r>
          </w:p>
          <w:p>
            <w:pPr>
              <w:spacing w:before="24" w:line="229" w:lineRule="auto"/>
              <w:ind w:left="571" w:right="1546"/>
              <w:rPr>
                <w:rFonts w:hint="eastAsia" w:ascii="宋体" w:hAnsi="宋体" w:eastAsia="宋体" w:cs="宋体"/>
                <w:sz w:val="24"/>
                <w:szCs w:val="24"/>
                <w:lang w:eastAsia="zh-CN"/>
              </w:rPr>
            </w:pPr>
            <w:r>
              <w:rPr>
                <w:rFonts w:ascii="宋体" w:hAnsi="宋体" w:eastAsia="宋体" w:cs="宋体"/>
                <w:spacing w:val="4"/>
                <w:sz w:val="24"/>
                <w:szCs w:val="24"/>
              </w:rPr>
              <w:t>2.有柱无墙的棚子一律计入房屋设施包干补偿奖励范围。</w:t>
            </w:r>
            <w:r>
              <w:rPr>
                <w:rFonts w:ascii="宋体" w:hAnsi="宋体" w:eastAsia="宋体" w:cs="宋体"/>
                <w:spacing w:val="14"/>
                <w:sz w:val="24"/>
                <w:szCs w:val="24"/>
              </w:rPr>
              <w:t xml:space="preserve"> </w:t>
            </w:r>
            <w:r>
              <w:rPr>
                <w:rFonts w:ascii="宋体" w:hAnsi="宋体" w:eastAsia="宋体" w:cs="宋体"/>
                <w:sz w:val="24"/>
                <w:szCs w:val="24"/>
              </w:rPr>
              <w:t>3.偏杂屋不享受安置补助和奖励、无搬家、过渡费</w:t>
            </w:r>
            <w:r>
              <w:rPr>
                <w:rFonts w:hint="eastAsia" w:ascii="宋体" w:hAnsi="宋体" w:eastAsia="宋体" w:cs="宋体"/>
                <w:sz w:val="24"/>
                <w:szCs w:val="24"/>
                <w:lang w:eastAsia="zh-CN"/>
              </w:rPr>
              <w:t>。</w:t>
            </w:r>
          </w:p>
        </w:tc>
      </w:tr>
    </w:tbl>
    <w:p>
      <w:pPr>
        <w:rPr>
          <w:rFonts w:ascii="Arial"/>
          <w:sz w:val="21"/>
        </w:rPr>
      </w:pPr>
    </w:p>
    <w:p>
      <w:pPr>
        <w:spacing w:before="110" w:line="224" w:lineRule="auto"/>
        <w:ind w:left="159"/>
        <w:jc w:val="center"/>
        <w:rPr>
          <w:rFonts w:ascii="黑体" w:hAnsi="黑体" w:eastAsia="黑体" w:cs="黑体"/>
          <w:b w:val="0"/>
          <w:bCs w:val="0"/>
          <w:color w:val="auto"/>
          <w:spacing w:val="6"/>
          <w:sz w:val="44"/>
          <w:szCs w:val="44"/>
        </w:rPr>
      </w:pPr>
      <w:r>
        <w:rPr>
          <w:rFonts w:ascii="黑体" w:hAnsi="黑体" w:eastAsia="黑体" w:cs="黑体"/>
          <w:b w:val="0"/>
          <w:bCs w:val="0"/>
          <w:color w:val="auto"/>
          <w:spacing w:val="6"/>
          <w:sz w:val="44"/>
          <w:szCs w:val="44"/>
        </w:rPr>
        <w:t>说 明</w:t>
      </w:r>
    </w:p>
    <w:p>
      <w:pPr>
        <w:spacing w:line="243" w:lineRule="auto"/>
        <w:rPr>
          <w:rFonts w:ascii="Arial"/>
          <w:sz w:val="21"/>
        </w:rPr>
      </w:pP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一、房屋建筑面积的计算一律以房屋外墙外围水平面积计算，不包括出檐、出梢。有柱走廊按柱外围水平面积计算，有围护结构的阳台按其围护结构外围水平面积计算；无柱的走廊、无围护结构的阳台按其水平投影面积的一半计算。砖混房室外楼梯，如有顶棚则按水平投影面积计算全部建筑面积，如无顶棚则按水平投影计算一半建筑面积。</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二、 住宅高(低)于标准层高的，每高(低)10厘米按该房屋结构主体补偿单价增(减)3%</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三、房屋层高的测定方法为：砖木、土木取室内地面至前后檐平均高度，框架、砖混房取室内地面至屋顶落水檐口高度除以层数。</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四、房屋架空层及瓦顶隔热(前后檐平均高度)的高度2.2米以下(不含2.2米)不予单独补偿，计入房屋层高系数补偿。</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五、企业生产性用房单层层高加价标准(以下起数不含本数，止数含本数):</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1.单层层高在3.2-4.5米的，层高加价为该房屋主体补偿标准的20%</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2.单层层高在4.5-5.5米的，层高加价为该房屋主体补偿标准的30%</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3.单层层高在5.5-6.5米的，层高加价为该房屋主体补偿标准的40%</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4.单层层高在6.5米以上的，层高加价为该房屋主体补偿标准的50%；另6.5米以上每增加0.1米增加3%补偿。</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hint="eastAsia" w:ascii="仿宋_GB2312" w:hAnsi="仿宋_GB2312" w:eastAsia="仿宋_GB2312" w:cs="仿宋_GB2312"/>
          <w:b w:val="0"/>
          <w:bCs w:val="0"/>
          <w:color w:val="auto"/>
          <w:spacing w:val="6"/>
          <w:sz w:val="32"/>
          <w:szCs w:val="32"/>
        </w:rPr>
      </w:pPr>
      <w:r>
        <w:rPr>
          <w:rFonts w:hint="eastAsia" w:ascii="仿宋_GB2312" w:hAnsi="仿宋_GB2312" w:eastAsia="仿宋_GB2312" w:cs="仿宋_GB2312"/>
          <w:b w:val="0"/>
          <w:bCs w:val="0"/>
          <w:color w:val="auto"/>
          <w:spacing w:val="6"/>
          <w:sz w:val="32"/>
          <w:szCs w:val="32"/>
        </w:rPr>
        <w:t>六、被征拆人办理了不动产权证的或集体土地使用证、房屋所有权证两证齐全的，给予不超过8000元的办证补偿。</w:t>
      </w:r>
    </w:p>
    <w:p>
      <w:pPr>
        <w:keepNext w:val="0"/>
        <w:keepLines w:val="0"/>
        <w:pageBreakBefore w:val="0"/>
        <w:widowControl/>
        <w:kinsoku/>
        <w:wordWrap/>
        <w:overflowPunct/>
        <w:topLinePunct w:val="0"/>
        <w:autoSpaceDE w:val="0"/>
        <w:autoSpaceDN w:val="0"/>
        <w:bidi w:val="0"/>
        <w:adjustRightInd w:val="0"/>
        <w:snapToGrid w:val="0"/>
        <w:spacing w:line="440" w:lineRule="exact"/>
        <w:ind w:left="0" w:firstLine="664" w:firstLineChars="200"/>
        <w:textAlignment w:val="baseline"/>
        <w:rPr>
          <w:rFonts w:ascii="黑体" w:hAnsi="黑体" w:eastAsia="黑体" w:cs="黑体"/>
          <w:b w:val="0"/>
          <w:bCs w:val="0"/>
          <w:color w:val="auto"/>
          <w:spacing w:val="6"/>
          <w:sz w:val="28"/>
          <w:szCs w:val="28"/>
        </w:rPr>
      </w:pPr>
      <w:r>
        <w:rPr>
          <w:rFonts w:hint="eastAsia" w:ascii="仿宋_GB2312" w:hAnsi="仿宋_GB2312" w:eastAsia="仿宋_GB2312" w:cs="仿宋_GB2312"/>
          <w:b w:val="0"/>
          <w:bCs w:val="0"/>
          <w:color w:val="auto"/>
          <w:spacing w:val="6"/>
          <w:sz w:val="32"/>
          <w:szCs w:val="32"/>
        </w:rPr>
        <w:t>七、框架结构的认定，由</w:t>
      </w:r>
      <w:r>
        <w:rPr>
          <w:rFonts w:hint="eastAsia" w:ascii="仿宋_GB2312" w:hAnsi="仿宋_GB2312" w:eastAsia="仿宋_GB2312" w:cs="仿宋_GB2312"/>
          <w:b w:val="0"/>
          <w:bCs w:val="0"/>
          <w:color w:val="auto"/>
          <w:spacing w:val="6"/>
          <w:sz w:val="32"/>
          <w:szCs w:val="32"/>
          <w:u w:val="none"/>
        </w:rPr>
        <w:t>县人民政府</w:t>
      </w:r>
      <w:r>
        <w:rPr>
          <w:rFonts w:hint="eastAsia" w:ascii="仿宋_GB2312" w:hAnsi="仿宋_GB2312" w:eastAsia="仿宋_GB2312" w:cs="仿宋_GB2312"/>
          <w:b w:val="0"/>
          <w:bCs w:val="0"/>
          <w:color w:val="auto"/>
          <w:spacing w:val="6"/>
          <w:sz w:val="32"/>
          <w:szCs w:val="32"/>
        </w:rPr>
        <w:t>组织相关专家予以认定。</w:t>
      </w: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附件6</w:t>
      </w:r>
    </w:p>
    <w:p>
      <w:pPr>
        <w:spacing w:before="278" w:line="219" w:lineRule="auto"/>
        <w:ind w:left="2381"/>
        <w:rPr>
          <w:rFonts w:ascii="宋体" w:hAnsi="宋体" w:eastAsia="宋体" w:cs="宋体"/>
          <w:sz w:val="44"/>
          <w:szCs w:val="44"/>
        </w:rPr>
      </w:pPr>
      <w:r>
        <w:rPr>
          <w:rFonts w:ascii="宋体" w:hAnsi="宋体" w:eastAsia="宋体" w:cs="宋体"/>
          <w:b/>
          <w:bCs/>
          <w:spacing w:val="-11"/>
          <w:sz w:val="44"/>
          <w:szCs w:val="44"/>
        </w:rPr>
        <w:t>搬家、过渡费补偿标准</w:t>
      </w:r>
    </w:p>
    <w:p>
      <w:pPr>
        <w:spacing w:line="310" w:lineRule="auto"/>
        <w:rPr>
          <w:rFonts w:ascii="Arial"/>
          <w:sz w:val="21"/>
        </w:rPr>
      </w:pPr>
    </w:p>
    <w:p>
      <w:pPr>
        <w:spacing w:before="84" w:line="222" w:lineRule="auto"/>
        <w:ind w:right="73"/>
        <w:jc w:val="right"/>
        <w:rPr>
          <w:rFonts w:ascii="黑体" w:hAnsi="黑体" w:eastAsia="黑体" w:cs="黑体"/>
          <w:sz w:val="26"/>
          <w:szCs w:val="26"/>
        </w:rPr>
      </w:pPr>
      <w:r>
        <w:rPr>
          <w:rFonts w:ascii="黑体" w:hAnsi="黑体" w:eastAsia="黑体" w:cs="黑体"/>
          <w:spacing w:val="-17"/>
          <w:sz w:val="26"/>
          <w:szCs w:val="26"/>
        </w:rPr>
        <w:t>单位：元</w:t>
      </w:r>
    </w:p>
    <w:p>
      <w:pPr>
        <w:spacing w:line="151" w:lineRule="exact"/>
      </w:pPr>
    </w:p>
    <w:tbl>
      <w:tblPr>
        <w:tblStyle w:val="12"/>
        <w:tblW w:w="909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1328"/>
        <w:gridCol w:w="1418"/>
        <w:gridCol w:w="1348"/>
        <w:gridCol w:w="3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1304" w:type="dxa"/>
            <w:vAlign w:val="top"/>
          </w:tcPr>
          <w:p>
            <w:pPr>
              <w:spacing w:before="312" w:line="220" w:lineRule="auto"/>
              <w:ind w:left="408"/>
              <w:rPr>
                <w:rFonts w:ascii="宋体" w:hAnsi="宋体" w:eastAsia="宋体" w:cs="宋体"/>
                <w:sz w:val="24"/>
                <w:szCs w:val="24"/>
              </w:rPr>
            </w:pPr>
            <w:r>
              <w:rPr>
                <w:rFonts w:ascii="宋体" w:hAnsi="宋体" w:eastAsia="宋体" w:cs="宋体"/>
                <w:b/>
                <w:bCs/>
                <w:spacing w:val="16"/>
                <w:sz w:val="24"/>
                <w:szCs w:val="24"/>
              </w:rPr>
              <w:t>项目</w:t>
            </w:r>
          </w:p>
        </w:tc>
        <w:tc>
          <w:tcPr>
            <w:tcW w:w="1328" w:type="dxa"/>
            <w:vAlign w:val="top"/>
          </w:tcPr>
          <w:p>
            <w:pPr>
              <w:spacing w:before="312" w:line="220" w:lineRule="auto"/>
              <w:ind w:left="414"/>
              <w:rPr>
                <w:rFonts w:ascii="宋体" w:hAnsi="宋体" w:eastAsia="宋体" w:cs="宋体"/>
                <w:sz w:val="24"/>
                <w:szCs w:val="24"/>
              </w:rPr>
            </w:pPr>
            <w:r>
              <w:rPr>
                <w:rFonts w:ascii="宋体" w:hAnsi="宋体" w:eastAsia="宋体" w:cs="宋体"/>
                <w:b/>
                <w:bCs/>
                <w:spacing w:val="-6"/>
                <w:sz w:val="24"/>
                <w:szCs w:val="24"/>
              </w:rPr>
              <w:t>单位</w:t>
            </w:r>
          </w:p>
        </w:tc>
        <w:tc>
          <w:tcPr>
            <w:tcW w:w="1418" w:type="dxa"/>
            <w:vAlign w:val="top"/>
          </w:tcPr>
          <w:p>
            <w:pPr>
              <w:spacing w:before="311" w:line="219" w:lineRule="auto"/>
              <w:ind w:left="226"/>
              <w:rPr>
                <w:rFonts w:ascii="宋体" w:hAnsi="宋体" w:eastAsia="宋体" w:cs="宋体"/>
                <w:sz w:val="24"/>
                <w:szCs w:val="24"/>
              </w:rPr>
            </w:pPr>
            <w:r>
              <w:rPr>
                <w:rFonts w:ascii="宋体" w:hAnsi="宋体" w:eastAsia="宋体" w:cs="宋体"/>
                <w:b/>
                <w:bCs/>
                <w:spacing w:val="-5"/>
                <w:sz w:val="24"/>
                <w:szCs w:val="24"/>
              </w:rPr>
              <w:t>补偿金额</w:t>
            </w:r>
          </w:p>
        </w:tc>
        <w:tc>
          <w:tcPr>
            <w:tcW w:w="5042" w:type="dxa"/>
            <w:gridSpan w:val="2"/>
            <w:vAlign w:val="top"/>
          </w:tcPr>
          <w:p>
            <w:pPr>
              <w:spacing w:before="312" w:line="221" w:lineRule="auto"/>
              <w:ind w:left="2268"/>
              <w:rPr>
                <w:rFonts w:ascii="宋体" w:hAnsi="宋体" w:eastAsia="宋体" w:cs="宋体"/>
                <w:sz w:val="24"/>
                <w:szCs w:val="24"/>
              </w:rPr>
            </w:pPr>
            <w:r>
              <w:rPr>
                <w:rFonts w:ascii="宋体" w:hAnsi="宋体" w:eastAsia="宋体" w:cs="宋体"/>
                <w:b/>
                <w:bCs/>
                <w:spacing w:val="-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5" w:hRule="atLeast"/>
        </w:trPr>
        <w:tc>
          <w:tcPr>
            <w:tcW w:w="1304"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8" w:line="220" w:lineRule="auto"/>
              <w:ind w:left="284"/>
              <w:rPr>
                <w:rFonts w:ascii="宋体" w:hAnsi="宋体" w:eastAsia="宋体" w:cs="宋体"/>
                <w:sz w:val="24"/>
                <w:szCs w:val="24"/>
              </w:rPr>
            </w:pPr>
            <w:r>
              <w:rPr>
                <w:rFonts w:ascii="宋体" w:hAnsi="宋体" w:eastAsia="宋体" w:cs="宋体"/>
                <w:spacing w:val="5"/>
                <w:sz w:val="24"/>
                <w:szCs w:val="24"/>
              </w:rPr>
              <w:t>搬家费</w:t>
            </w:r>
          </w:p>
        </w:tc>
        <w:tc>
          <w:tcPr>
            <w:tcW w:w="1328"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8" w:line="219" w:lineRule="auto"/>
              <w:ind w:left="291"/>
              <w:rPr>
                <w:rFonts w:ascii="宋体" w:hAnsi="宋体" w:eastAsia="宋体" w:cs="宋体"/>
                <w:sz w:val="24"/>
                <w:szCs w:val="24"/>
              </w:rPr>
            </w:pPr>
            <w:r>
              <w:rPr>
                <w:rFonts w:ascii="宋体" w:hAnsi="宋体" w:eastAsia="宋体" w:cs="宋体"/>
                <w:spacing w:val="-29"/>
                <w:sz w:val="24"/>
                <w:szCs w:val="24"/>
              </w:rPr>
              <w:t>户 ·次</w:t>
            </w:r>
          </w:p>
        </w:tc>
        <w:tc>
          <w:tcPr>
            <w:tcW w:w="141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78" w:line="183" w:lineRule="auto"/>
              <w:ind w:left="463"/>
              <w:rPr>
                <w:rFonts w:ascii="宋体" w:hAnsi="宋体" w:eastAsia="宋体" w:cs="宋体"/>
                <w:sz w:val="24"/>
                <w:szCs w:val="24"/>
              </w:rPr>
            </w:pPr>
            <w:r>
              <w:rPr>
                <w:rFonts w:ascii="宋体" w:hAnsi="宋体" w:eastAsia="宋体" w:cs="宋体"/>
                <w:spacing w:val="-3"/>
                <w:sz w:val="24"/>
                <w:szCs w:val="24"/>
              </w:rPr>
              <w:t>2000</w:t>
            </w:r>
          </w:p>
        </w:tc>
        <w:tc>
          <w:tcPr>
            <w:tcW w:w="134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8" w:line="366" w:lineRule="auto"/>
              <w:ind w:left="75" w:right="163"/>
              <w:jc w:val="both"/>
              <w:rPr>
                <w:rFonts w:ascii="宋体" w:hAnsi="宋体" w:eastAsia="宋体" w:cs="宋体"/>
                <w:sz w:val="24"/>
                <w:szCs w:val="24"/>
              </w:rPr>
            </w:pPr>
            <w:r>
              <w:rPr>
                <w:rFonts w:ascii="宋体" w:hAnsi="宋体" w:eastAsia="宋体" w:cs="宋体"/>
                <w:spacing w:val="2"/>
                <w:sz w:val="24"/>
                <w:szCs w:val="24"/>
              </w:rPr>
              <w:t>3人以上每</w:t>
            </w:r>
            <w:r>
              <w:rPr>
                <w:rFonts w:ascii="宋体" w:hAnsi="宋体" w:eastAsia="宋体" w:cs="宋体"/>
                <w:sz w:val="24"/>
                <w:szCs w:val="24"/>
              </w:rPr>
              <w:t xml:space="preserve"> </w:t>
            </w:r>
            <w:r>
              <w:rPr>
                <w:rFonts w:ascii="宋体" w:hAnsi="宋体" w:eastAsia="宋体" w:cs="宋体"/>
                <w:spacing w:val="3"/>
                <w:sz w:val="24"/>
                <w:szCs w:val="24"/>
              </w:rPr>
              <w:t>增加1人增</w:t>
            </w:r>
          </w:p>
          <w:p>
            <w:pPr>
              <w:spacing w:line="220" w:lineRule="auto"/>
              <w:ind w:left="75"/>
              <w:rPr>
                <w:rFonts w:ascii="宋体" w:hAnsi="宋体" w:eastAsia="宋体" w:cs="宋体"/>
                <w:sz w:val="24"/>
                <w:szCs w:val="24"/>
              </w:rPr>
            </w:pPr>
            <w:r>
              <w:rPr>
                <w:rFonts w:ascii="宋体" w:hAnsi="宋体" w:eastAsia="宋体" w:cs="宋体"/>
                <w:spacing w:val="-2"/>
                <w:sz w:val="24"/>
                <w:szCs w:val="24"/>
              </w:rPr>
              <w:t>加150元</w:t>
            </w:r>
          </w:p>
        </w:tc>
        <w:tc>
          <w:tcPr>
            <w:tcW w:w="369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1.每户人数以征收土地预公告发布后确定的人口为准。</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2.被拆迁户的搬家费，按两次计算。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选择重新安排宅基地安置或安置房安置的被拆迁户，过渡时间不超过24个月。由于征地方的责任延长过渡期的，经批准后按实际过渡时间补偿过渡费。由于被拆迁户的责任延长过渡期限的，停发过渡费。选择货币安置的，过渡时间按不超过12个月计算。</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4.拆迁非住宅房屋不计算搬家费和过渡费</w:t>
            </w:r>
            <w:r>
              <w:rPr>
                <w:rFonts w:hint="eastAsia" w:ascii="宋体" w:hAnsi="宋体" w:eastAsia="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0" w:hRule="atLeast"/>
        </w:trPr>
        <w:tc>
          <w:tcPr>
            <w:tcW w:w="1304"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19" w:lineRule="auto"/>
              <w:ind w:left="284"/>
              <w:rPr>
                <w:rFonts w:ascii="宋体" w:hAnsi="宋体" w:eastAsia="宋体" w:cs="宋体"/>
                <w:sz w:val="24"/>
                <w:szCs w:val="24"/>
              </w:rPr>
            </w:pPr>
            <w:r>
              <w:rPr>
                <w:rFonts w:ascii="宋体" w:hAnsi="宋体" w:eastAsia="宋体" w:cs="宋体"/>
                <w:spacing w:val="5"/>
                <w:sz w:val="24"/>
                <w:szCs w:val="24"/>
              </w:rPr>
              <w:t>过渡费</w:t>
            </w:r>
          </w:p>
        </w:tc>
        <w:tc>
          <w:tcPr>
            <w:tcW w:w="132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78" w:line="219" w:lineRule="auto"/>
              <w:ind w:left="291"/>
              <w:rPr>
                <w:rFonts w:ascii="宋体" w:hAnsi="宋体" w:eastAsia="宋体" w:cs="宋体"/>
                <w:sz w:val="24"/>
                <w:szCs w:val="24"/>
              </w:rPr>
            </w:pPr>
            <w:r>
              <w:rPr>
                <w:rFonts w:ascii="宋体" w:hAnsi="宋体" w:eastAsia="宋体" w:cs="宋体"/>
                <w:spacing w:val="-35"/>
                <w:sz w:val="24"/>
                <w:szCs w:val="24"/>
              </w:rPr>
              <w:t>户</w:t>
            </w:r>
            <w:r>
              <w:rPr>
                <w:rFonts w:ascii="宋体" w:hAnsi="宋体" w:eastAsia="宋体" w:cs="宋体"/>
                <w:spacing w:val="3"/>
                <w:sz w:val="24"/>
                <w:szCs w:val="24"/>
              </w:rPr>
              <w:t xml:space="preserve"> </w:t>
            </w:r>
            <w:r>
              <w:rPr>
                <w:rFonts w:ascii="宋体" w:hAnsi="宋体" w:eastAsia="宋体" w:cs="宋体"/>
                <w:spacing w:val="-35"/>
                <w:sz w:val="24"/>
                <w:szCs w:val="24"/>
              </w:rPr>
              <w:t>·</w:t>
            </w:r>
            <w:r>
              <w:rPr>
                <w:rFonts w:ascii="宋体" w:hAnsi="宋体" w:eastAsia="宋体" w:cs="宋体"/>
                <w:spacing w:val="-76"/>
                <w:sz w:val="24"/>
                <w:szCs w:val="24"/>
              </w:rPr>
              <w:t xml:space="preserve"> </w:t>
            </w:r>
            <w:r>
              <w:rPr>
                <w:rFonts w:ascii="宋体" w:hAnsi="宋体" w:eastAsia="宋体" w:cs="宋体"/>
                <w:spacing w:val="-35"/>
                <w:sz w:val="24"/>
                <w:szCs w:val="24"/>
              </w:rPr>
              <w:t>月</w:t>
            </w:r>
          </w:p>
        </w:tc>
        <w:tc>
          <w:tcPr>
            <w:tcW w:w="141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78" w:line="184" w:lineRule="auto"/>
              <w:ind w:left="463"/>
              <w:rPr>
                <w:rFonts w:ascii="宋体" w:hAnsi="宋体" w:eastAsia="宋体" w:cs="宋体"/>
                <w:sz w:val="24"/>
                <w:szCs w:val="24"/>
              </w:rPr>
            </w:pPr>
            <w:r>
              <w:rPr>
                <w:rFonts w:ascii="宋体" w:hAnsi="宋体" w:eastAsia="宋体" w:cs="宋体"/>
                <w:spacing w:val="-6"/>
                <w:sz w:val="24"/>
                <w:szCs w:val="24"/>
              </w:rPr>
              <w:t>1200</w:t>
            </w:r>
          </w:p>
        </w:tc>
        <w:tc>
          <w:tcPr>
            <w:tcW w:w="134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362" w:lineRule="auto"/>
              <w:ind w:left="75" w:right="163"/>
              <w:jc w:val="both"/>
              <w:rPr>
                <w:rFonts w:ascii="宋体" w:hAnsi="宋体" w:eastAsia="宋体" w:cs="宋体"/>
                <w:sz w:val="24"/>
                <w:szCs w:val="24"/>
              </w:rPr>
            </w:pPr>
            <w:r>
              <w:rPr>
                <w:rFonts w:ascii="宋体" w:hAnsi="宋体" w:eastAsia="宋体" w:cs="宋体"/>
                <w:spacing w:val="2"/>
                <w:sz w:val="24"/>
                <w:szCs w:val="24"/>
              </w:rPr>
              <w:t>3人以上每</w:t>
            </w:r>
            <w:r>
              <w:rPr>
                <w:rFonts w:ascii="宋体" w:hAnsi="宋体" w:eastAsia="宋体" w:cs="宋体"/>
                <w:sz w:val="24"/>
                <w:szCs w:val="24"/>
              </w:rPr>
              <w:t xml:space="preserve"> </w:t>
            </w:r>
            <w:r>
              <w:rPr>
                <w:rFonts w:ascii="宋体" w:hAnsi="宋体" w:eastAsia="宋体" w:cs="宋体"/>
                <w:spacing w:val="3"/>
                <w:sz w:val="24"/>
                <w:szCs w:val="24"/>
              </w:rPr>
              <w:t>增加1人增</w:t>
            </w:r>
          </w:p>
          <w:p>
            <w:pPr>
              <w:spacing w:line="220" w:lineRule="auto"/>
              <w:ind w:left="75"/>
              <w:rPr>
                <w:rFonts w:ascii="宋体" w:hAnsi="宋体" w:eastAsia="宋体" w:cs="宋体"/>
                <w:sz w:val="24"/>
                <w:szCs w:val="24"/>
              </w:rPr>
            </w:pPr>
            <w:r>
              <w:rPr>
                <w:rFonts w:ascii="宋体" w:hAnsi="宋体" w:eastAsia="宋体" w:cs="宋体"/>
                <w:spacing w:val="-2"/>
                <w:sz w:val="24"/>
                <w:szCs w:val="24"/>
              </w:rPr>
              <w:t>加50元</w:t>
            </w:r>
          </w:p>
        </w:tc>
        <w:tc>
          <w:tcPr>
            <w:tcW w:w="3694" w:type="dxa"/>
            <w:vMerge w:val="continue"/>
            <w:tcBorders>
              <w:top w:val="nil"/>
            </w:tcBorders>
            <w:vAlign w:val="top"/>
          </w:tcPr>
          <w:p>
            <w:pPr>
              <w:rPr>
                <w:rFonts w:ascii="Arial"/>
                <w:sz w:val="21"/>
              </w:rPr>
            </w:pPr>
          </w:p>
        </w:tc>
      </w:tr>
    </w:tbl>
    <w:p>
      <w:pPr>
        <w:rPr>
          <w:rFonts w:ascii="Arial"/>
          <w:sz w:val="21"/>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p>
    <w:p>
      <w:pPr>
        <w:spacing w:before="110" w:line="224" w:lineRule="auto"/>
        <w:ind w:left="159"/>
        <w:rPr>
          <w:rFonts w:ascii="黑体" w:hAnsi="黑体" w:eastAsia="黑体" w:cs="黑体"/>
          <w:b w:val="0"/>
          <w:bCs w:val="0"/>
          <w:color w:val="auto"/>
          <w:spacing w:val="6"/>
          <w:sz w:val="32"/>
          <w:szCs w:val="32"/>
        </w:rPr>
      </w:pPr>
      <w:r>
        <w:rPr>
          <w:rFonts w:ascii="黑体" w:hAnsi="黑体" w:eastAsia="黑体" w:cs="黑体"/>
          <w:b w:val="0"/>
          <w:bCs w:val="0"/>
          <w:color w:val="auto"/>
          <w:spacing w:val="6"/>
          <w:sz w:val="32"/>
          <w:szCs w:val="32"/>
        </w:rPr>
        <w:t>附件7</w:t>
      </w:r>
    </w:p>
    <w:p>
      <w:pPr>
        <w:spacing w:before="281" w:line="219" w:lineRule="auto"/>
        <w:ind w:left="2421"/>
        <w:rPr>
          <w:rFonts w:ascii="宋体" w:hAnsi="宋体" w:eastAsia="宋体" w:cs="宋体"/>
          <w:sz w:val="44"/>
          <w:szCs w:val="44"/>
        </w:rPr>
      </w:pPr>
      <w:r>
        <w:rPr>
          <w:rFonts w:ascii="宋体" w:hAnsi="宋体" w:eastAsia="宋体" w:cs="宋体"/>
          <w:b/>
          <w:bCs/>
          <w:spacing w:val="-12"/>
          <w:sz w:val="44"/>
          <w:szCs w:val="44"/>
        </w:rPr>
        <w:t>征拆工作费用计提标准</w:t>
      </w:r>
    </w:p>
    <w:p/>
    <w:p>
      <w:pPr>
        <w:spacing w:line="149" w:lineRule="exact"/>
      </w:pPr>
    </w:p>
    <w:tbl>
      <w:tblPr>
        <w:tblStyle w:val="12"/>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2"/>
        <w:gridCol w:w="3356"/>
        <w:gridCol w:w="3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2322" w:type="dxa"/>
            <w:vAlign w:val="top"/>
          </w:tcPr>
          <w:p>
            <w:pPr>
              <w:spacing w:line="246" w:lineRule="auto"/>
              <w:rPr>
                <w:rFonts w:ascii="Arial"/>
                <w:b/>
                <w:bCs/>
                <w:sz w:val="21"/>
              </w:rPr>
            </w:pPr>
          </w:p>
          <w:p>
            <w:pPr>
              <w:spacing w:before="78" w:line="220" w:lineRule="auto"/>
              <w:ind w:left="914"/>
              <w:rPr>
                <w:rFonts w:ascii="宋体" w:hAnsi="宋体" w:eastAsia="宋体" w:cs="宋体"/>
                <w:b/>
                <w:bCs/>
                <w:sz w:val="24"/>
                <w:szCs w:val="24"/>
              </w:rPr>
            </w:pPr>
            <w:r>
              <w:rPr>
                <w:rFonts w:ascii="宋体" w:hAnsi="宋体" w:eastAsia="宋体" w:cs="宋体"/>
                <w:b/>
                <w:bCs/>
                <w:spacing w:val="-7"/>
                <w:sz w:val="24"/>
                <w:szCs w:val="24"/>
              </w:rPr>
              <w:t>项</w:t>
            </w:r>
            <w:r>
              <w:rPr>
                <w:rFonts w:ascii="宋体" w:hAnsi="宋体" w:eastAsia="宋体" w:cs="宋体"/>
                <w:b/>
                <w:bCs/>
                <w:spacing w:val="-6"/>
                <w:sz w:val="24"/>
                <w:szCs w:val="24"/>
              </w:rPr>
              <w:t xml:space="preserve"> </w:t>
            </w:r>
            <w:r>
              <w:rPr>
                <w:rFonts w:ascii="宋体" w:hAnsi="宋体" w:eastAsia="宋体" w:cs="宋体"/>
                <w:b/>
                <w:bCs/>
                <w:spacing w:val="-7"/>
                <w:sz w:val="24"/>
                <w:szCs w:val="24"/>
              </w:rPr>
              <w:t>目</w:t>
            </w:r>
          </w:p>
        </w:tc>
        <w:tc>
          <w:tcPr>
            <w:tcW w:w="3356" w:type="dxa"/>
            <w:vAlign w:val="top"/>
          </w:tcPr>
          <w:p>
            <w:pPr>
              <w:spacing w:line="246" w:lineRule="auto"/>
              <w:rPr>
                <w:rFonts w:ascii="Arial"/>
                <w:b/>
                <w:bCs/>
                <w:sz w:val="21"/>
              </w:rPr>
            </w:pPr>
          </w:p>
          <w:p>
            <w:pPr>
              <w:spacing w:before="78" w:line="220" w:lineRule="auto"/>
              <w:ind w:left="1242"/>
              <w:rPr>
                <w:rFonts w:ascii="宋体" w:hAnsi="宋体" w:eastAsia="宋体" w:cs="宋体"/>
                <w:b/>
                <w:bCs/>
                <w:sz w:val="24"/>
                <w:szCs w:val="24"/>
              </w:rPr>
            </w:pPr>
            <w:r>
              <w:rPr>
                <w:rFonts w:ascii="宋体" w:hAnsi="宋体" w:eastAsia="宋体" w:cs="宋体"/>
                <w:b/>
                <w:bCs/>
                <w:spacing w:val="2"/>
                <w:sz w:val="24"/>
                <w:szCs w:val="24"/>
              </w:rPr>
              <w:t>计提标准</w:t>
            </w:r>
          </w:p>
        </w:tc>
        <w:tc>
          <w:tcPr>
            <w:tcW w:w="3401" w:type="dxa"/>
            <w:vAlign w:val="top"/>
          </w:tcPr>
          <w:p>
            <w:pPr>
              <w:spacing w:line="246" w:lineRule="auto"/>
              <w:rPr>
                <w:rFonts w:ascii="Arial"/>
                <w:b/>
                <w:bCs/>
                <w:sz w:val="21"/>
              </w:rPr>
            </w:pPr>
          </w:p>
          <w:p>
            <w:pPr>
              <w:spacing w:before="78" w:line="221" w:lineRule="auto"/>
              <w:ind w:left="1486"/>
              <w:rPr>
                <w:rFonts w:ascii="宋体" w:hAnsi="宋体" w:eastAsia="宋体" w:cs="宋体"/>
                <w:b/>
                <w:bCs/>
                <w:sz w:val="24"/>
                <w:szCs w:val="24"/>
              </w:rPr>
            </w:pPr>
            <w:r>
              <w:rPr>
                <w:rFonts w:ascii="宋体" w:hAnsi="宋体" w:eastAsia="宋体" w:cs="宋体"/>
                <w:b/>
                <w:bCs/>
                <w:spacing w:val="16"/>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555"/>
              <w:jc w:val="both"/>
              <w:textAlignment w:val="baseline"/>
              <w:rPr>
                <w:rFonts w:ascii="宋体" w:hAnsi="宋体" w:eastAsia="宋体" w:cs="宋体"/>
                <w:sz w:val="24"/>
                <w:szCs w:val="24"/>
              </w:rPr>
            </w:pPr>
            <w:r>
              <w:rPr>
                <w:rFonts w:ascii="宋体" w:hAnsi="宋体" w:eastAsia="宋体" w:cs="宋体"/>
                <w:spacing w:val="2"/>
                <w:sz w:val="24"/>
                <w:szCs w:val="24"/>
              </w:rPr>
              <w:t>征拆服务费</w:t>
            </w:r>
          </w:p>
        </w:tc>
        <w:tc>
          <w:tcPr>
            <w:tcW w:w="33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2" w:right="75" w:firstLine="500"/>
              <w:jc w:val="both"/>
              <w:textAlignment w:val="baseline"/>
              <w:rPr>
                <w:rFonts w:ascii="宋体" w:hAnsi="宋体" w:eastAsia="宋体" w:cs="宋体"/>
                <w:sz w:val="24"/>
                <w:szCs w:val="24"/>
              </w:rPr>
            </w:pPr>
            <w:r>
              <w:rPr>
                <w:rFonts w:ascii="宋体" w:hAnsi="宋体" w:eastAsia="宋体" w:cs="宋体"/>
                <w:spacing w:val="1"/>
                <w:sz w:val="24"/>
                <w:szCs w:val="24"/>
              </w:rPr>
              <w:t>依据服务质量比照征拆资</w:t>
            </w:r>
            <w:r>
              <w:rPr>
                <w:rFonts w:ascii="宋体" w:hAnsi="宋体" w:eastAsia="宋体" w:cs="宋体"/>
                <w:spacing w:val="5"/>
                <w:sz w:val="24"/>
                <w:szCs w:val="24"/>
              </w:rPr>
              <w:t xml:space="preserve"> </w:t>
            </w:r>
            <w:r>
              <w:rPr>
                <w:rFonts w:ascii="宋体" w:hAnsi="宋体" w:eastAsia="宋体" w:cs="宋体"/>
                <w:spacing w:val="1"/>
                <w:sz w:val="24"/>
                <w:szCs w:val="24"/>
              </w:rPr>
              <w:t>金概算费用分段累进计提，小</w:t>
            </w:r>
            <w:r>
              <w:rPr>
                <w:rFonts w:ascii="宋体" w:hAnsi="宋体" w:eastAsia="宋体" w:cs="宋体"/>
                <w:spacing w:val="5"/>
                <w:sz w:val="24"/>
                <w:szCs w:val="24"/>
              </w:rPr>
              <w:t xml:space="preserve"> </w:t>
            </w:r>
            <w:r>
              <w:rPr>
                <w:rFonts w:ascii="宋体" w:hAnsi="宋体" w:eastAsia="宋体" w:cs="宋体"/>
                <w:spacing w:val="8"/>
                <w:sz w:val="24"/>
                <w:szCs w:val="24"/>
              </w:rPr>
              <w:t>于等于5000万元的，按1.5</w:t>
            </w:r>
            <w:r>
              <w:rPr>
                <w:rFonts w:hint="eastAsia" w:ascii="宋体" w:hAnsi="宋体" w:eastAsia="宋体" w:cs="宋体"/>
                <w:spacing w:val="8"/>
                <w:sz w:val="24"/>
                <w:szCs w:val="24"/>
                <w:lang w:val="en-US" w:eastAsia="zh-CN"/>
              </w:rPr>
              <w:t>%计</w:t>
            </w:r>
            <w:r>
              <w:rPr>
                <w:rFonts w:ascii="宋体" w:hAnsi="宋体" w:eastAsia="宋体" w:cs="宋体"/>
                <w:spacing w:val="16"/>
                <w:sz w:val="24"/>
                <w:szCs w:val="24"/>
              </w:rPr>
              <w:t>提；大于5000万元的，按1</w:t>
            </w:r>
            <w:r>
              <w:rPr>
                <w:rFonts w:hint="eastAsia" w:ascii="宋体" w:hAnsi="宋体" w:eastAsia="宋体" w:cs="宋体"/>
                <w:spacing w:val="16"/>
                <w:sz w:val="24"/>
                <w:szCs w:val="24"/>
                <w:lang w:val="en-US" w:eastAsia="zh-CN"/>
              </w:rPr>
              <w:t>%计</w:t>
            </w:r>
            <w:r>
              <w:rPr>
                <w:rFonts w:ascii="宋体" w:hAnsi="宋体" w:eastAsia="宋体" w:cs="宋体"/>
                <w:sz w:val="24"/>
                <w:szCs w:val="24"/>
              </w:rPr>
              <w:t>提</w:t>
            </w:r>
          </w:p>
        </w:tc>
        <w:tc>
          <w:tcPr>
            <w:tcW w:w="340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1.由从事土地调查、协助 公告办理、负责概算编制等工</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作的征地拆迁事务机构收取。</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2.收费对象为用地单位，不得向被征拆人收取。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4"/>
              <w:jc w:val="center"/>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征拆实施奖励</w:t>
            </w:r>
          </w:p>
        </w:tc>
        <w:tc>
          <w:tcPr>
            <w:tcW w:w="33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4" w:firstLineChars="200"/>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按征拆直接补偿资金费用1.25%计提</w:t>
            </w:r>
          </w:p>
        </w:tc>
        <w:tc>
          <w:tcPr>
            <w:tcW w:w="340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4"/>
              <w:jc w:val="both"/>
              <w:textAlignment w:val="baseline"/>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主要用于征拆工作实施单位和参与征拆的有关单位和个人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宋体" w:eastAsia="仿宋_GB2312" w:cs="Arial"/>
                <w:snapToGrid w:val="0"/>
                <w:color w:val="000000"/>
                <w:kern w:val="0"/>
                <w:sz w:val="24"/>
                <w:szCs w:val="21"/>
              </w:rPr>
            </w:pPr>
            <w:r>
              <w:rPr>
                <w:rFonts w:hint="eastAsia" w:ascii="仿宋_GB2312" w:hAnsi="宋体" w:eastAsia="仿宋_GB2312"/>
                <w:sz w:val="24"/>
              </w:rPr>
              <w:t>概算审查工作经费</w:t>
            </w:r>
          </w:p>
        </w:tc>
        <w:tc>
          <w:tcPr>
            <w:tcW w:w="33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仿宋_GB2312" w:hAnsi="宋体" w:eastAsia="仿宋_GB2312" w:cs="Arial"/>
                <w:snapToGrid w:val="0"/>
                <w:color w:val="000000"/>
                <w:kern w:val="0"/>
                <w:sz w:val="24"/>
                <w:szCs w:val="21"/>
              </w:rPr>
            </w:pPr>
            <w:r>
              <w:rPr>
                <w:rFonts w:hint="eastAsia" w:ascii="仿宋_GB2312" w:hAnsi="宋体" w:eastAsia="仿宋_GB2312"/>
                <w:sz w:val="24"/>
              </w:rPr>
              <w:t>按征拆直接补偿资金费用0.5%计提。</w:t>
            </w:r>
          </w:p>
        </w:tc>
        <w:tc>
          <w:tcPr>
            <w:tcW w:w="340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504" w:firstLineChars="200"/>
              <w:jc w:val="both"/>
              <w:textAlignment w:val="baseline"/>
              <w:rPr>
                <w:rFonts w:hint="eastAsia" w:ascii="仿宋_GB2312" w:hAnsi="宋体" w:eastAsia="仿宋_GB2312" w:cs="Arial"/>
                <w:snapToGrid w:val="0"/>
                <w:color w:val="000000"/>
                <w:kern w:val="0"/>
                <w:sz w:val="24"/>
                <w:szCs w:val="21"/>
              </w:rPr>
            </w:pPr>
            <w:r>
              <w:rPr>
                <w:rFonts w:hint="eastAsia" w:ascii="宋体" w:hAnsi="宋体" w:eastAsia="宋体" w:cs="宋体"/>
                <w:spacing w:val="6"/>
                <w:sz w:val="24"/>
                <w:szCs w:val="24"/>
              </w:rPr>
              <w:t>县自然资源部门负责审核县级建设项目征地拆迁补偿概算报告，概算审查工作经费由县自然资源部门收取。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6" w:hRule="atLeast"/>
        </w:trPr>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4" w:leftChars="0"/>
              <w:jc w:val="center"/>
              <w:textAlignment w:val="baseline"/>
              <w:rPr>
                <w:rFonts w:ascii="宋体" w:hAnsi="宋体" w:eastAsia="宋体" w:cs="宋体"/>
                <w:snapToGrid w:val="0"/>
                <w:color w:val="000000"/>
                <w:kern w:val="0"/>
                <w:sz w:val="24"/>
                <w:szCs w:val="24"/>
              </w:rPr>
            </w:pPr>
            <w:r>
              <w:rPr>
                <w:rFonts w:ascii="宋体" w:hAnsi="宋体" w:eastAsia="宋体" w:cs="宋体"/>
                <w:spacing w:val="1"/>
                <w:sz w:val="24"/>
                <w:szCs w:val="24"/>
              </w:rPr>
              <w:t>征拆实施工作经费</w:t>
            </w:r>
          </w:p>
        </w:tc>
        <w:tc>
          <w:tcPr>
            <w:tcW w:w="33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2" w:leftChars="0" w:right="73" w:rightChars="0" w:firstLine="510" w:firstLineChars="0"/>
              <w:jc w:val="both"/>
              <w:textAlignment w:val="baseline"/>
              <w:rPr>
                <w:rFonts w:ascii="宋体" w:hAnsi="宋体" w:eastAsia="宋体" w:cs="宋体"/>
                <w:snapToGrid w:val="0"/>
                <w:color w:val="000000"/>
                <w:kern w:val="0"/>
                <w:sz w:val="24"/>
                <w:szCs w:val="24"/>
              </w:rPr>
            </w:pPr>
            <w:r>
              <w:rPr>
                <w:rFonts w:ascii="宋体" w:hAnsi="宋体" w:eastAsia="宋体" w:cs="宋体"/>
                <w:sz w:val="24"/>
                <w:szCs w:val="24"/>
              </w:rPr>
              <w:t>按征拆资金概算费用分段</w:t>
            </w:r>
            <w:r>
              <w:rPr>
                <w:rFonts w:ascii="宋体" w:hAnsi="宋体" w:eastAsia="宋体" w:cs="宋体"/>
                <w:spacing w:val="8"/>
                <w:sz w:val="24"/>
                <w:szCs w:val="24"/>
              </w:rPr>
              <w:t xml:space="preserve"> </w:t>
            </w:r>
            <w:r>
              <w:rPr>
                <w:rFonts w:ascii="宋体" w:hAnsi="宋体" w:eastAsia="宋体" w:cs="宋体"/>
                <w:spacing w:val="2"/>
                <w:sz w:val="24"/>
                <w:szCs w:val="24"/>
              </w:rPr>
              <w:t>累进计提，小于等于5000万元</w:t>
            </w:r>
            <w:r>
              <w:rPr>
                <w:rFonts w:ascii="宋体" w:hAnsi="宋体" w:eastAsia="宋体" w:cs="宋体"/>
                <w:sz w:val="24"/>
                <w:szCs w:val="24"/>
              </w:rPr>
              <w:t xml:space="preserve"> </w:t>
            </w:r>
            <w:r>
              <w:rPr>
                <w:rFonts w:ascii="宋体" w:hAnsi="宋体" w:eastAsia="宋体" w:cs="宋体"/>
                <w:spacing w:val="5"/>
                <w:sz w:val="24"/>
                <w:szCs w:val="24"/>
              </w:rPr>
              <w:t>的，按2.5</w:t>
            </w:r>
            <w:r>
              <w:rPr>
                <w:rFonts w:hint="eastAsia" w:ascii="宋体" w:hAnsi="宋体" w:eastAsia="宋体" w:cs="宋体"/>
                <w:spacing w:val="5"/>
                <w:sz w:val="24"/>
                <w:szCs w:val="24"/>
                <w:lang w:val="en-US" w:eastAsia="zh-CN"/>
              </w:rPr>
              <w:t>%</w:t>
            </w:r>
            <w:r>
              <w:rPr>
                <w:rFonts w:ascii="宋体" w:hAnsi="宋体" w:eastAsia="宋体" w:cs="宋体"/>
                <w:spacing w:val="5"/>
                <w:sz w:val="24"/>
                <w:szCs w:val="24"/>
              </w:rPr>
              <w:t>计提；大于5000万</w:t>
            </w:r>
            <w:r>
              <w:rPr>
                <w:rFonts w:ascii="宋体" w:hAnsi="宋体" w:eastAsia="宋体" w:cs="宋体"/>
                <w:spacing w:val="1"/>
                <w:sz w:val="24"/>
                <w:szCs w:val="24"/>
              </w:rPr>
              <w:t>元的，按2</w:t>
            </w:r>
            <w:r>
              <w:rPr>
                <w:rFonts w:hint="eastAsia" w:ascii="宋体" w:hAnsi="宋体" w:eastAsia="宋体" w:cs="宋体"/>
                <w:spacing w:val="1"/>
                <w:sz w:val="24"/>
                <w:szCs w:val="24"/>
                <w:lang w:val="en-US" w:eastAsia="zh-CN"/>
              </w:rPr>
              <w:t>%计</w:t>
            </w:r>
            <w:r>
              <w:rPr>
                <w:rFonts w:ascii="宋体" w:hAnsi="宋体" w:eastAsia="宋体" w:cs="宋体"/>
                <w:spacing w:val="1"/>
                <w:sz w:val="24"/>
                <w:szCs w:val="24"/>
              </w:rPr>
              <w:t>提</w:t>
            </w:r>
          </w:p>
        </w:tc>
        <w:tc>
          <w:tcPr>
            <w:tcW w:w="3401"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36" w:leftChars="0" w:firstLine="504" w:firstLineChars="200"/>
              <w:jc w:val="both"/>
              <w:textAlignment w:val="baseline"/>
              <w:rPr>
                <w:rFonts w:hint="eastAsia" w:ascii="宋体" w:hAnsi="宋体" w:eastAsia="宋体" w:cs="宋体"/>
                <w:snapToGrid w:val="0"/>
                <w:color w:val="000000"/>
                <w:kern w:val="0"/>
                <w:sz w:val="23"/>
                <w:szCs w:val="23"/>
                <w:lang w:eastAsia="zh-CN"/>
              </w:rPr>
            </w:pPr>
            <w:r>
              <w:rPr>
                <w:rFonts w:hint="eastAsia" w:ascii="宋体" w:hAnsi="宋体" w:eastAsia="宋体" w:cs="宋体"/>
                <w:spacing w:val="6"/>
                <w:sz w:val="24"/>
                <w:szCs w:val="24"/>
              </w:rPr>
              <w:t>由从事现场宣传动员、现  场调查、张榜公示、实施补偿、搬家腾地、现场清表、房屋拆除、建筑垃圾清运等工作的征拆机构收取</w:t>
            </w:r>
            <w:r>
              <w:rPr>
                <w:rFonts w:hint="eastAsia" w:ascii="宋体" w:hAnsi="宋体" w:eastAsia="宋体" w:cs="宋体"/>
                <w:spacing w:val="6"/>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23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674" w:leftChars="0"/>
              <w:jc w:val="center"/>
              <w:textAlignment w:val="baseline"/>
              <w:rPr>
                <w:rFonts w:ascii="宋体" w:hAnsi="宋体" w:eastAsia="宋体" w:cs="宋体"/>
                <w:snapToGrid w:val="0"/>
                <w:color w:val="000000"/>
                <w:kern w:val="0"/>
                <w:sz w:val="24"/>
                <w:szCs w:val="24"/>
              </w:rPr>
            </w:pPr>
            <w:r>
              <w:rPr>
                <w:rFonts w:ascii="宋体" w:hAnsi="宋体" w:eastAsia="宋体" w:cs="宋体"/>
                <w:spacing w:val="3"/>
                <w:sz w:val="24"/>
                <w:szCs w:val="24"/>
              </w:rPr>
              <w:t>误工补助</w:t>
            </w:r>
          </w:p>
        </w:tc>
        <w:tc>
          <w:tcPr>
            <w:tcW w:w="335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623"/>
              <w:jc w:val="both"/>
              <w:textAlignment w:val="baseline"/>
              <w:rPr>
                <w:rFonts w:ascii="宋体" w:hAnsi="宋体" w:eastAsia="宋体" w:cs="宋体"/>
                <w:sz w:val="23"/>
                <w:szCs w:val="23"/>
              </w:rPr>
            </w:pPr>
            <w:r>
              <w:rPr>
                <w:rFonts w:ascii="宋体" w:hAnsi="宋体" w:eastAsia="宋体" w:cs="宋体"/>
                <w:spacing w:val="13"/>
                <w:sz w:val="23"/>
                <w:szCs w:val="23"/>
              </w:rPr>
              <w:t>1.按400元/亩标准补助。</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2" w:right="63" w:firstLine="479"/>
              <w:jc w:val="both"/>
              <w:textAlignment w:val="baseline"/>
              <w:rPr>
                <w:rFonts w:ascii="宋体" w:hAnsi="宋体" w:eastAsia="宋体" w:cs="宋体"/>
                <w:sz w:val="24"/>
                <w:szCs w:val="24"/>
              </w:rPr>
            </w:pPr>
            <w:r>
              <w:rPr>
                <w:rFonts w:ascii="宋体" w:hAnsi="宋体" w:eastAsia="宋体" w:cs="宋体"/>
                <w:spacing w:val="4"/>
                <w:sz w:val="24"/>
                <w:szCs w:val="24"/>
              </w:rPr>
              <w:t>2.有房屋拆迁的以被拆迁</w:t>
            </w:r>
            <w:r>
              <w:rPr>
                <w:rFonts w:ascii="宋体" w:hAnsi="宋体" w:eastAsia="宋体" w:cs="宋体"/>
                <w:sz w:val="24"/>
                <w:szCs w:val="24"/>
              </w:rPr>
              <w:t xml:space="preserve"> 房屋总建筑面积为基数，按10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2" w:leftChars="0"/>
              <w:jc w:val="both"/>
              <w:textAlignment w:val="baseline"/>
              <w:rPr>
                <w:rFonts w:ascii="宋体" w:hAnsi="宋体" w:eastAsia="宋体" w:cs="宋体"/>
                <w:snapToGrid w:val="0"/>
                <w:color w:val="000000"/>
                <w:kern w:val="0"/>
                <w:sz w:val="24"/>
                <w:szCs w:val="24"/>
              </w:rPr>
            </w:pPr>
            <w:r>
              <w:rPr>
                <w:rFonts w:ascii="宋体" w:hAnsi="宋体" w:eastAsia="宋体" w:cs="宋体"/>
                <w:spacing w:val="1"/>
                <w:sz w:val="24"/>
                <w:szCs w:val="24"/>
              </w:rPr>
              <w:t>元/平方米的标准增加补助</w:t>
            </w:r>
          </w:p>
        </w:tc>
        <w:tc>
          <w:tcPr>
            <w:tcW w:w="3401" w:type="dxa"/>
            <w:vAlign w:val="center"/>
          </w:tcPr>
          <w:p>
            <w:pPr>
              <w:keepNext w:val="0"/>
              <w:keepLines w:val="0"/>
              <w:pageBreakBefore w:val="0"/>
              <w:widowControl/>
              <w:tabs>
                <w:tab w:val="left" w:pos="306"/>
              </w:tabs>
              <w:kinsoku w:val="0"/>
              <w:wordWrap/>
              <w:overflowPunct/>
              <w:topLinePunct w:val="0"/>
              <w:autoSpaceDE w:val="0"/>
              <w:autoSpaceDN w:val="0"/>
              <w:bidi w:val="0"/>
              <w:adjustRightInd w:val="0"/>
              <w:snapToGrid w:val="0"/>
              <w:spacing w:line="400" w:lineRule="exact"/>
              <w:ind w:left="136" w:right="70" w:firstLine="490"/>
              <w:jc w:val="both"/>
              <w:textAlignment w:val="baseline"/>
              <w:rPr>
                <w:rFonts w:ascii="宋体" w:hAnsi="宋体" w:eastAsia="宋体" w:cs="宋体"/>
                <w:sz w:val="24"/>
                <w:szCs w:val="24"/>
              </w:rPr>
            </w:pPr>
            <w:r>
              <w:rPr>
                <w:rFonts w:ascii="宋体" w:hAnsi="宋体" w:eastAsia="宋体" w:cs="宋体"/>
                <w:sz w:val="24"/>
                <w:szCs w:val="24"/>
              </w:rPr>
              <w:t>1.误工补助是指补助给直</w:t>
            </w:r>
            <w:r>
              <w:rPr>
                <w:rFonts w:ascii="宋体" w:hAnsi="宋体" w:eastAsia="宋体" w:cs="宋体"/>
                <w:spacing w:val="10"/>
                <w:sz w:val="24"/>
                <w:szCs w:val="24"/>
              </w:rPr>
              <w:t xml:space="preserve"> </w:t>
            </w:r>
            <w:r>
              <w:rPr>
                <w:rFonts w:ascii="宋体" w:hAnsi="宋体" w:eastAsia="宋体" w:cs="宋体"/>
                <w:spacing w:val="2"/>
                <w:sz w:val="24"/>
                <w:szCs w:val="24"/>
              </w:rPr>
              <w:t>接参与和协助、配合征拆工作</w:t>
            </w:r>
            <w:r>
              <w:rPr>
                <w:rFonts w:ascii="宋体" w:hAnsi="宋体" w:eastAsia="宋体" w:cs="宋体"/>
                <w:spacing w:val="8"/>
                <w:sz w:val="24"/>
                <w:szCs w:val="24"/>
              </w:rPr>
              <w:t xml:space="preserve"> </w:t>
            </w:r>
            <w:r>
              <w:rPr>
                <w:rFonts w:ascii="宋体" w:hAnsi="宋体" w:eastAsia="宋体" w:cs="宋体"/>
                <w:spacing w:val="20"/>
                <w:sz w:val="24"/>
                <w:szCs w:val="24"/>
              </w:rPr>
              <w:t>的村(居)委会、组工作人员</w:t>
            </w:r>
            <w:r>
              <w:rPr>
                <w:rFonts w:ascii="宋体" w:hAnsi="宋体" w:eastAsia="宋体" w:cs="宋体"/>
                <w:spacing w:val="11"/>
                <w:sz w:val="24"/>
                <w:szCs w:val="24"/>
              </w:rPr>
              <w:t xml:space="preserve"> </w:t>
            </w:r>
            <w:r>
              <w:rPr>
                <w:rFonts w:ascii="宋体" w:hAnsi="宋体" w:eastAsia="宋体" w:cs="宋体"/>
                <w:spacing w:val="10"/>
                <w:sz w:val="24"/>
                <w:szCs w:val="24"/>
              </w:rPr>
              <w:t>(国家工作人员除外)的误工</w:t>
            </w:r>
          </w:p>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ascii="宋体" w:hAnsi="宋体" w:eastAsia="宋体" w:cs="宋体"/>
                <w:sz w:val="24"/>
                <w:szCs w:val="24"/>
              </w:rPr>
            </w:pPr>
            <w:r>
              <w:rPr>
                <w:rFonts w:ascii="宋体" w:hAnsi="宋体" w:eastAsia="宋体" w:cs="宋体"/>
                <w:spacing w:val="-12"/>
                <w:sz w:val="24"/>
                <w:szCs w:val="24"/>
              </w:rPr>
              <w:t>费用</w:t>
            </w:r>
            <w:r>
              <w:rPr>
                <w:rFonts w:ascii="宋体" w:hAnsi="宋体" w:eastAsia="宋体" w:cs="宋体"/>
                <w:spacing w:val="-32"/>
                <w:sz w:val="24"/>
                <w:szCs w:val="24"/>
              </w:rPr>
              <w:t xml:space="preserve"> </w:t>
            </w:r>
            <w:r>
              <w:rPr>
                <w:rFonts w:ascii="宋体" w:hAnsi="宋体" w:eastAsia="宋体" w:cs="宋体"/>
                <w:spacing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36" w:right="79" w:firstLine="480"/>
              <w:jc w:val="both"/>
              <w:textAlignment w:val="baseline"/>
              <w:rPr>
                <w:rFonts w:ascii="宋体" w:hAnsi="宋体" w:eastAsia="宋体" w:cs="宋体"/>
                <w:sz w:val="24"/>
                <w:szCs w:val="24"/>
              </w:rPr>
            </w:pPr>
            <w:r>
              <w:rPr>
                <w:rFonts w:ascii="宋体" w:hAnsi="宋体" w:eastAsia="宋体" w:cs="宋体"/>
                <w:spacing w:val="3"/>
                <w:sz w:val="24"/>
                <w:szCs w:val="24"/>
              </w:rPr>
              <w:t>2.误工补助以村(居)委会</w:t>
            </w:r>
            <w:r>
              <w:rPr>
                <w:rFonts w:ascii="宋体" w:hAnsi="宋体" w:eastAsia="宋体" w:cs="宋体"/>
                <w:spacing w:val="10"/>
                <w:sz w:val="24"/>
                <w:szCs w:val="24"/>
              </w:rPr>
              <w:t xml:space="preserve"> </w:t>
            </w:r>
            <w:r>
              <w:rPr>
                <w:rFonts w:ascii="宋体" w:hAnsi="宋体" w:eastAsia="宋体" w:cs="宋体"/>
                <w:spacing w:val="3"/>
                <w:sz w:val="24"/>
                <w:szCs w:val="24"/>
              </w:rPr>
              <w:t>为计算单位，不足3万元的按3</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36" w:leftChars="0"/>
              <w:jc w:val="both"/>
              <w:textAlignment w:val="baseline"/>
              <w:rPr>
                <w:rFonts w:ascii="宋体" w:hAnsi="宋体" w:eastAsia="宋体" w:cs="宋体"/>
                <w:snapToGrid w:val="0"/>
                <w:color w:val="000000"/>
                <w:kern w:val="0"/>
                <w:sz w:val="24"/>
                <w:szCs w:val="24"/>
              </w:rPr>
            </w:pPr>
            <w:r>
              <w:rPr>
                <w:rFonts w:ascii="宋体" w:hAnsi="宋体" w:eastAsia="宋体" w:cs="宋体"/>
                <w:spacing w:val="2"/>
                <w:sz w:val="24"/>
                <w:szCs w:val="24"/>
              </w:rPr>
              <w:t>万元计提</w:t>
            </w:r>
          </w:p>
        </w:tc>
      </w:tr>
    </w:tbl>
    <w:p>
      <w:pPr>
        <w:spacing w:before="112" w:line="830" w:lineRule="exact"/>
        <w:textAlignment w:val="center"/>
      </w:pPr>
    </w:p>
    <w:sectPr>
      <w:headerReference r:id="rId5" w:type="default"/>
      <w:footerReference r:id="rId6" w:type="default"/>
      <w:pgSz w:w="12130" w:h="16990"/>
      <w:pgMar w:top="1440" w:right="1800" w:bottom="1440" w:left="1800" w:header="0" w:footer="113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58"/>
        <w:tab w:val="clear" w:pos="415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A0MTI4MWFmZDg4Y2Q5NDdiOTA5OWFhZDE0YzJlYjMifQ=="/>
    <w:docVar w:name="KSO_WPS_MARK_KEY" w:val="c857b4e0-f416-4958-8372-9c14c1ebb857"/>
  </w:docVars>
  <w:rsids>
    <w:rsidRoot w:val="00000000"/>
    <w:rsid w:val="019A236C"/>
    <w:rsid w:val="02DC4CCF"/>
    <w:rsid w:val="039A7825"/>
    <w:rsid w:val="04251534"/>
    <w:rsid w:val="058530A9"/>
    <w:rsid w:val="06E3660B"/>
    <w:rsid w:val="08122176"/>
    <w:rsid w:val="08493DEA"/>
    <w:rsid w:val="08B269C7"/>
    <w:rsid w:val="09BD4D36"/>
    <w:rsid w:val="0A8940E5"/>
    <w:rsid w:val="0B103727"/>
    <w:rsid w:val="0EE859DF"/>
    <w:rsid w:val="0FDB5602"/>
    <w:rsid w:val="0FE200C5"/>
    <w:rsid w:val="108053CF"/>
    <w:rsid w:val="11EA684F"/>
    <w:rsid w:val="126D4B79"/>
    <w:rsid w:val="12A3059B"/>
    <w:rsid w:val="13243011"/>
    <w:rsid w:val="13E672EB"/>
    <w:rsid w:val="14DC1B42"/>
    <w:rsid w:val="14FC5383"/>
    <w:rsid w:val="14FD794D"/>
    <w:rsid w:val="16480E08"/>
    <w:rsid w:val="18233995"/>
    <w:rsid w:val="190A2BB2"/>
    <w:rsid w:val="1A9C27DC"/>
    <w:rsid w:val="1AC12B11"/>
    <w:rsid w:val="1ACB48A2"/>
    <w:rsid w:val="1AD42A96"/>
    <w:rsid w:val="1B655202"/>
    <w:rsid w:val="1B99253B"/>
    <w:rsid w:val="1CCC06EE"/>
    <w:rsid w:val="1D09693C"/>
    <w:rsid w:val="1F26058A"/>
    <w:rsid w:val="1FF407A0"/>
    <w:rsid w:val="211072FD"/>
    <w:rsid w:val="213845A4"/>
    <w:rsid w:val="21414386"/>
    <w:rsid w:val="22396826"/>
    <w:rsid w:val="22FB6171"/>
    <w:rsid w:val="25531E3C"/>
    <w:rsid w:val="25787665"/>
    <w:rsid w:val="2708078A"/>
    <w:rsid w:val="27BA16B3"/>
    <w:rsid w:val="27FC0898"/>
    <w:rsid w:val="281F4D21"/>
    <w:rsid w:val="28A16ED3"/>
    <w:rsid w:val="28B409B4"/>
    <w:rsid w:val="2AF20717"/>
    <w:rsid w:val="2B4F2EB5"/>
    <w:rsid w:val="2C0E2347"/>
    <w:rsid w:val="2CD0506F"/>
    <w:rsid w:val="2F57653D"/>
    <w:rsid w:val="2F8632A3"/>
    <w:rsid w:val="30163664"/>
    <w:rsid w:val="305F5149"/>
    <w:rsid w:val="30820938"/>
    <w:rsid w:val="32F96DFA"/>
    <w:rsid w:val="338B350F"/>
    <w:rsid w:val="33F615BE"/>
    <w:rsid w:val="33F75CE7"/>
    <w:rsid w:val="3417762F"/>
    <w:rsid w:val="35BF617A"/>
    <w:rsid w:val="36123FBF"/>
    <w:rsid w:val="373553B6"/>
    <w:rsid w:val="38881523"/>
    <w:rsid w:val="3B9558B8"/>
    <w:rsid w:val="3D9461B9"/>
    <w:rsid w:val="3DEA1C25"/>
    <w:rsid w:val="3E2E6F1F"/>
    <w:rsid w:val="3E484095"/>
    <w:rsid w:val="3FDC2362"/>
    <w:rsid w:val="3FE74E12"/>
    <w:rsid w:val="403611AC"/>
    <w:rsid w:val="407D238F"/>
    <w:rsid w:val="40A610D2"/>
    <w:rsid w:val="40EE7A40"/>
    <w:rsid w:val="42F07BB5"/>
    <w:rsid w:val="43086074"/>
    <w:rsid w:val="433C6E2B"/>
    <w:rsid w:val="44272B45"/>
    <w:rsid w:val="44F13461"/>
    <w:rsid w:val="45056DB6"/>
    <w:rsid w:val="45F4468E"/>
    <w:rsid w:val="46C42AFD"/>
    <w:rsid w:val="46D87544"/>
    <w:rsid w:val="46E011F7"/>
    <w:rsid w:val="47694C08"/>
    <w:rsid w:val="47940D7C"/>
    <w:rsid w:val="4C0D3ED9"/>
    <w:rsid w:val="4D1D1666"/>
    <w:rsid w:val="4D4C06D8"/>
    <w:rsid w:val="506B406F"/>
    <w:rsid w:val="534D3630"/>
    <w:rsid w:val="548712BD"/>
    <w:rsid w:val="548D0C03"/>
    <w:rsid w:val="548D39E9"/>
    <w:rsid w:val="568149BC"/>
    <w:rsid w:val="57DA004C"/>
    <w:rsid w:val="57EF4CB5"/>
    <w:rsid w:val="59613991"/>
    <w:rsid w:val="5CD56B70"/>
    <w:rsid w:val="5E0216DD"/>
    <w:rsid w:val="5F0813F1"/>
    <w:rsid w:val="5FCC24AC"/>
    <w:rsid w:val="5FFD692F"/>
    <w:rsid w:val="602816AC"/>
    <w:rsid w:val="60C57626"/>
    <w:rsid w:val="60F97169"/>
    <w:rsid w:val="642E6B65"/>
    <w:rsid w:val="647459F7"/>
    <w:rsid w:val="64954973"/>
    <w:rsid w:val="66016989"/>
    <w:rsid w:val="675D3E5D"/>
    <w:rsid w:val="68322D20"/>
    <w:rsid w:val="68A5389A"/>
    <w:rsid w:val="6A2159D2"/>
    <w:rsid w:val="6A6E5F0E"/>
    <w:rsid w:val="6A81465A"/>
    <w:rsid w:val="6ACA2CA4"/>
    <w:rsid w:val="6C532CBE"/>
    <w:rsid w:val="6D4D659D"/>
    <w:rsid w:val="6E0C3878"/>
    <w:rsid w:val="6E6F6E3E"/>
    <w:rsid w:val="6F060E8D"/>
    <w:rsid w:val="6F507677"/>
    <w:rsid w:val="72B9351D"/>
    <w:rsid w:val="72E34AD5"/>
    <w:rsid w:val="72F20BFC"/>
    <w:rsid w:val="73AC1B78"/>
    <w:rsid w:val="76A44FAD"/>
    <w:rsid w:val="77510E85"/>
    <w:rsid w:val="7801298E"/>
    <w:rsid w:val="795026BF"/>
    <w:rsid w:val="7A1643CC"/>
    <w:rsid w:val="7B701E52"/>
    <w:rsid w:val="7C1C7EBF"/>
    <w:rsid w:val="7CED53B8"/>
    <w:rsid w:val="7D674E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next w:val="1"/>
    <w:qFormat/>
    <w:uiPriority w:val="0"/>
    <w:pPr>
      <w:widowControl/>
      <w:spacing w:before="100" w:beforeAutospacing="1" w:after="100" w:afterAutospacing="1"/>
      <w:jc w:val="left"/>
      <w:outlineLvl w:val="0"/>
    </w:pPr>
    <w:rPr>
      <w:rFonts w:ascii="宋体" w:hAnsi="宋体" w:eastAsia="宋体" w:cs="宋体"/>
      <w:b/>
      <w:bCs/>
      <w:kern w:val="36"/>
      <w:sz w:val="48"/>
      <w:szCs w:val="48"/>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630"/>
      <w:jc w:val="both"/>
    </w:pPr>
    <w:rPr>
      <w:rFonts w:ascii="Calibri" w:hAnsi="Calibri" w:eastAsia="宋体" w:cs="Times New Roman"/>
      <w:kern w:val="0"/>
      <w:sz w:val="21"/>
      <w:szCs w:val="20"/>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17148</Words>
  <Characters>18099</Characters>
  <TotalTime>0</TotalTime>
  <ScaleCrop>false</ScaleCrop>
  <LinksUpToDate>false</LinksUpToDate>
  <CharactersWithSpaces>18399</CharactersWithSpaces>
  <Application>WPS Office_11.1.0.14244_F1E327BC-269C-435d-A152-05C5408002CA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2023-10-14T08:42:00Z</dcterms:created>
  <dc:creator>Kingsoft-PDF</dc:creator>
  <cp:lastModifiedBy>刘望龙</cp:lastModifiedBy>
  <cp:lastPrinted>2024-02-26T03:00:00Z</cp:lastPrinted>
  <dcterms:modified xsi:type="dcterms:W3CDTF">2024-05-21T03:18:43Z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2023-10-14T08:42:04Z</vt:filetime>
  </property>
  <property fmtid="{D5CDD505-2E9C-101B-9397-08002B2CF9AE}" pid="4" name="UsrData">
    <vt:lpwstr>6529e3d2782fbf001fea7270wl</vt:lpwstr>
  </property>
  <property fmtid="{D5CDD505-2E9C-101B-9397-08002B2CF9AE}" pid="5" name="KSOProductBuildVer">
    <vt:lpwstr>2052-11.1.0.14244</vt:lpwstr>
  </property>
  <property fmtid="{D5CDD505-2E9C-101B-9397-08002B2CF9AE}" pid="6" name="ICV">
    <vt:lpwstr>FFC0746F177F4C2E975DBE3787998CDD_13</vt:lpwstr>
  </property>
</Properties>
</file>